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0782484 B.C. Ltd. v. E-Pro Enterprises Inc., [2017] B.C.J. No. 2485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P.G. Voith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6,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7,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S113857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2485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2245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0782484 B.C. Ltd. and South Island Aggregates Ltd., Plaintiffs, and E-Pro Enterprises Inc., Kevin Adrian Bromley carrying on business as E-Pro Enterprises, Quantum Murray LP, 0848052 B.C. Ltd., H. Volk Transport and 0880056 B.C. Ltd., Defendants, and E-Pro Enterprises Inc., Kevin Adrian Bromley carrying on business as E-Pro Enterprises and 0848052 B.C. Ltd.,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Civil litigation — Civil procedure — Discovery — Production and inspection of documents — Solicitor-client privilege — Waiver of privilege — Applications by defendant 0848 and proposed defendants for disclosure of portions of the files of solicitors for plaintiffs allowed — In application to add certain defendants, plaintiffs respondent to limitation defence by raising legal advice received — Plaintiffs had voluntarily put their understanding of their legal position in issue — By waiving privilege over the advice given after September 2016, the plaintiffs had waived privilege over earlier legal advice in relation to that same issue.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Applications by the defendant 0848 and the proposed defendants for disclosure of portions of the files of the solicitors for the plaintiffs on the basis that the plaintiffs had voluntarily or impliedly waived privilege over those files. The plaintiff SIA alleged the defendants moved contaminated soil onto the SIA property in 2010. The plaintiffs also claimed reimbursement for their legal costs incurred in other proceedings relating to the contamination. They intended to call the lawyer who acted for them in those proceedings as a witness in the present action. The action was commenced in 2011. In 2017 the plaintiffs brought an application to add the proposed defendants to this action. The proposed defendants raised a limitation defence. The joinder application had not yet been determined. In response to the limitation issue, the plaintiffs alleged that it was only as a result of the defendants' additional document disclosure in September 2016, and the subsequent advice of counsel, that an awareness of potential causes of action against the proposed defendants emerged. The plaintiffs admitted that they had had impliedly waived the privilege that would otherwise have attached to the communications between counsel and the plaintiffs but that this waiver only attached to the communications with counsel that took place in or about September 2016.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 w:name="Holdings of Court"/>
            <w:bookmarkEnd w:id="2"/>
            <w:r>
              <w:rPr>
                <w:rFonts w:ascii="arial" w:eastAsia="arial" w:hAnsi="arial" w:cs="arial"/>
                <w:color w:val="000000"/>
                <w:sz w:val="20"/>
                <w:lang w:val="en-US" w:eastAsia="en-US" w:bidi="ar-SA"/>
              </w:rPr>
              <w:t>HELD: Applications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were ordered to disclose the files of their solicitors that relate to the initial identification and selection of defendants in this action, the joinder or potential joinder of additional parties to the action and the examinations for discovery of either the defendant Bromley or his company. The plaintiffs had voluntarily put their understanding of their legal position in issue. It was not open for the plaintiffs to waive the privilege over an aspect of the legal advice they received, in relation to a specific issue, while continuing to assert privilege over other legal advice provided earlier, in relation to that same issue. The advice the plaintiffs received at earlier points in time about possibly adding the proposed defendants to the action was directly relevant to their state of mind both in relation to their knowledge and awareness of potential causes of action against the proposed defendants and in relation to the advice that the plaintiffs received in or after September 2016. The plaintiffs waived the privilege that was otherwise attached to the advice that they had received after September 16 to conduct the discovery of Bromley. It was clear that the plaintiffs' received legal advice about whether to conduct an examination for discovery of Bromley and the plaintiffs relied on the legal advice they received to justify their conduct. By waiving privilege over the advice given after September 2016, the plaintiffs had waived privilege over earlier legal advice in relation to that same issue. The plaintiffs were also ordered to produce the file of the solicitor who represented them in the other proceedings relating to the contamination and the documents in their possession in relation to the plaintiffs' relationship with Active Earth which had prepared an expert report on behalf of the plaintiffs in this action.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 w:name="Legislation Cited"/>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Environmental Management Act, </w:t>
      </w:r>
      <w:hyperlink r:id="rId11" w:history="1">
        <w:r>
          <w:rPr>
            <w:rFonts w:ascii="arial" w:eastAsia="arial" w:hAnsi="arial" w:cs="arial"/>
            <w:i/>
            <w:color w:val="0077CC"/>
            <w:sz w:val="20"/>
            <w:u w:val="single"/>
            <w:shd w:val="clear" w:color="auto" w:fill="FFFFFF"/>
            <w:lang w:val="en-US" w:eastAsia="en-US" w:bidi="ar-SA"/>
          </w:rPr>
          <w:t>S.B.C. 2003, c.53, s. 45</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6-2</w:t>
      </w:r>
      <w:r>
        <w:rPr>
          <w:rFonts w:ascii="arial" w:eastAsia="arial" w:hAnsi="arial" w:cs="arial"/>
          <w:color w:val="000000"/>
          <w:sz w:val="20"/>
          <w:lang w:val="en-US" w:eastAsia="en-US" w:bidi="ar-SA"/>
        </w:rPr>
        <w:t>(7)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 w:name="Counsel"/>
      <w:bookmarkEnd w:id="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7" style="position:absolute;z-index:2517606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J.M. Hutchison,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and Third Party, 0848052 B.C. Ltd., : R. Lesperance.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Kevin Adrian Bromley on his own behalf and for E-Pro Enterprises Inc.: Not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 Volk Transport Limited: Not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and Third Party, Quantum Murray LP: (Participated by Telephone) J.D.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0880056 B.C. Ltd.: Not Present.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 w:name="Judgment"/>
      <w:bookmarkEnd w:id="5"/>
      <w:r>
        <w:pict>
          <v:line id="_x0000_s1028" style="position:absolute;z-index:2518118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 w:name="P.G. VOITH J."/>
            <w:bookmarkEnd w:id="6"/>
            <w:r>
              <w:rPr>
                <w:rFonts w:ascii="arial" w:eastAsia="arial" w:hAnsi="arial" w:cs="arial"/>
                <w:b/>
                <w:color w:val="000000"/>
                <w:sz w:val="30"/>
                <w:lang w:val="en-US" w:eastAsia="en-US" w:bidi="ar-SA"/>
              </w:rPr>
              <w:t>P.G. VOITH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0848052 B.C. Ltd. ("0848"), and five proposed defendants, Great Pacific Mortgage and Investments Ltd., Accredit Mortgage Ltd., Rory Howard Campbell, Jeffrey Alexander Moses and Walter Rodney Neufeld (collectively the "Proposed Defendants") seek various forms of relief. I have referred to 0848 and the Proposed Defendants collectively as the "Applicants". The primary focus of the Applicants relates to the disclosure of portions of the files of the solicitors for the plaintiffs on the basis that the plaintiffs have voluntarily or impliedly waived privilege over those files.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0848 also seeks disclosure of various other categories of documents. The Notice of Application that was filed also sought the cross-examination of Mr. Michael Kelly, a principal of the plaintiffs, on various affidavits that he has filed. That relief has been consented to subject to counsel agreeing on a date for Mr. Kelly's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Different sets of facts relate to different aspects of the various applications that were advanced. The following general background facts are, however,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claim by South Island Aggregates Ltd. ("SIA") against the defendants is based on allegations that contaminated soil was moved by the defendants from a property in View Royal to SIA's property on Stebbings Road in Shawnigan Lake, British Columbia (the "SIA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Key to this case are the alleged actions against the defendant Kevin Bromley. Mr. Bromley was, at the time, a professional engineer. He is also the principal of the defendant, E-Pro Enterprises Ltd. ("E-Pro").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0848 retained E-Pro to remediate a property that 0848 owned at 140 Hallowell Road, View Royal, British Columbia (the "Hallowell Property"). E-Pro was, at the time, the owner of a property at 1012 Yates Street, Victoria, British Columbia ("E-Pro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Based on the allegations made in the Notice of Civil Claim and the Third Party Notice of the defendant Quantum Murray LP ("Quantum"), Mr. Bromley took contaminated soil from the E-Pro Property and moved it to the Hallowell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is also alleged that Mr. Bromley took contaminated soil from the properties of two other E-Pro clients and deposited them on the Hallowell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After allegedly moving contaminated soil from these various properties to the Hallowell Property, it is further alleged that on or about October 29, 2010 and until on or about November 5, 2010, Mr. Bromley arranged for Quantum, H. Volk Transport Limited ("Volk") and Don Mann Excavating Ltd. to transport that soil from the Hallowell Property to the SIA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SIA's position is that while it agreed to receive soil from Quantum and E-Pro, it was not aware that the soil was allegedly contaminated.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On September 19, 2011, SIA commenced this action. In its Notice of Civil Claim, SIA advances claims against all defendants under the </w:t>
      </w:r>
      <w:r>
        <w:rPr>
          <w:rFonts w:ascii="arial" w:eastAsia="arial" w:hAnsi="arial" w:cs="arial"/>
          <w:i/>
          <w:color w:val="000000"/>
          <w:sz w:val="20"/>
          <w:lang w:val="en-US" w:eastAsia="en-US" w:bidi="ar-SA"/>
        </w:rPr>
        <w:t>Environmental Management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53</w:t>
      </w:r>
      <w:r>
        <w:rPr>
          <w:rFonts w:ascii="arial" w:eastAsia="arial" w:hAnsi="arial" w:cs="arial"/>
          <w:color w:val="000000"/>
          <w:sz w:val="20"/>
          <w:lang w:val="en-US" w:eastAsia="en-US" w:bidi="ar-SA"/>
        </w:rPr>
        <w:t>. Under that legislation, a party who incurs costs to remediate a contaminated site may recover its reasonably incurred costs from a class of persons called "responsible persons" (see section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SIA further claims against Quantum, Mr. Bromley, E-Pro and Volk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against Quantum, Mr. Bromley and E-Pro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have said that this action arises out of activities that took place in 2010 and that this action was commenced in 2011. The action was initially scheduled to go to trial in September, 2016. 0848 made further document disclosure just prior to the trial with the result that the trial was adjourned. On September 15, 2017 the plaintiffs brought an application to add the Proposed Defendants to this action (the "Joinder Application"). On October 2, 2017 Master Dick adjourned the Joinder Application so that this application could be heard first.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1: Waiver of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One of the issues in the rescheduled Joinder Application will be whether or not the relevant limitation periods have expired in relation to the claims that the plaintiffs now seek to advance against the Proposed Defendants. This issue is relevant because one consideration, when deciding whether to add a party to an existing action, is whether it is "just and convenient to do so": Rule 6-2(7)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Whether it is "just and convenient" to add a party to an action, in turn, is contingent on various factors including, for example, delay and, more importantly in this case, the expiration of a limitation period: </w:t>
      </w:r>
      <w:r>
        <w:rPr>
          <w:rFonts w:ascii="arial" w:eastAsia="arial" w:hAnsi="arial" w:cs="arial"/>
          <w:i/>
          <w:color w:val="000000"/>
          <w:sz w:val="20"/>
          <w:lang w:val="en-US" w:eastAsia="en-US" w:bidi="ar-SA"/>
        </w:rPr>
        <w:t>Med Finance Co. S.A. v. Bank of Montréal (B.C.C.A.)</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(1993), 79 B.C.L.R. (2d) 222</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Owners, Strata Plan LMS 1725 v. Star Masonry Ltd.</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2007 BCCA 611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Before me there was some issue about whether the former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and s. 6 or the postponement provisions of that legislation was relevant. Though the plaintiffs do not, in their proposed pleading, plead postponement, the Applicants assert that it is s. 6 of the former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that will provide the conceptual framework through which limitation issues will necessarily be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respondents/plaintiffs, conversely, argue that s. 6(1) of the current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xml:space="preserve"> governs, that whether the running of time was "postponed" is not relevant and that the question under the new legislation is when "the claim is discovered".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It is both unnecessary and inappropriate for me to resolve this issue. It is unnecessary because I do not consider that for present purposes the issue of which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pertains is relevant. In either case the issue on the Joinder Application will be when the plaintiffs learned of or discovered facts that caused them to believe or understand that there was a basis to add the Proposed Defendants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That issue can be further distilled. During the application before me counsel for the Applicants took me to various documents that were part of 0848's early disclosure and argued that the facts and information that were revealed in that early disclosure now mirror the issues that are relied on by the plaintiffs to join the Proposed Defendants and in their proposed pleading. The issue of whether there was sufficient information and facts in 0848's early disclosure to provide the plaintiffs with the factual and legal knowledge necessary to add the Proposed Defendants to the action will be for the Joinder Application. In addition, that issue, at least in part, grounds the application to cross-examine Mr. Kelly.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however, will apparently seek to argue that it was only the additional document disclosure of 0848, made just prior to the originally scheduled trial date, that provided them with the factual knowledge necessary to make further investigations, to amend their pleadings and to bring the Joinder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that context the plaintiffs, and their counsel, have filed various affidavits and made various submissions that advance this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Importantly for present purposes the Applicants argue that as a result of these affidavits and submissions the plaintiffs have put their state of mind in issue and have voluntarily or impliedly waived the privilege associated with various communications with their counsel. Specifically, Mr. Kelly, in his affidavit dated May 9, 2017 has discussed why the plaintiffs chose not to take additional steps earlier in the litigation and why they chose to do so after 0848's additional disclosure. He has deposed:</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times material to the commencement of the proceedings, the plaintiffs understood that the defendants 0848052 B.C. Ltd. was the owner of the property at 140 Hallowell Road and had engaged and instructed the said Kevin Adrian Bromley and his company to manage the removal of the contaminated soils from that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consultation with counsel, the plaintiffs determined that it was not necessary to examine the defendant Kevin Adrian Bromley for discovery or to examine a representative of the defendant 0848052 B.C.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Friday, 9 September 2016, I together with other witnesses for the plaintiffs were in the office of counsel for the plaintiffs, in preparation for the intended commencement of the trial. At approximately 3 o'clock in the afternoon, counsel advised us that during a break in our preparations, he had check his office e-mail and discovered an e-mail message from counsel for the 0848052 B.C. Ltd had been sent that afternoon to him, and it had disclosed a significant number of documents not previously listed or produced by that defendant, amounting to more than 840 pages.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a preliminary look at the documents, counsel advised me and the other principal of the plaintiffs that it appeared that there was evidence of the involvement of other parties not previously identified in the engagement of the said Kevin Adrian Bromley and his company and in the management of the contaminated soil materials.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advice from counsel during the weekend as to the nature of the evidence apparently found in the surprise disclosure, plaintiffs instructed counsel to seek an adjournment of the trial and, and if granted, to pursue determination of the appropriateness of seeking to add additional parties to the proceeding as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the adjournment of the trial, after review of the documents in the surprise disclosure of 9 September 2016, counsel advised me and the other principal of the plaintiffs that it appeared there was significant evidence contained in the documents then newly disclosed that the defendants Kevin Adrian Bromley and his company had been engaged and directed with respect to the contaminated soil materials by Great Pacific Mortgage &amp; Investments Ltd. and/or by persons connected either as directors, officers or agents of it and that if confirmed by further investigation, they ought to be joined as defendants in this proceeding.</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also advised me and the other principal of the plaintiffs that the surprise disclosure did not contain what appeared to be a complete record of communications, particularly e-mail correspondence, between the defendant Kevin Adrian Bromley and Great Pacific Mortgage &amp; Investments Ltd.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order to further investigate, an appointment was taken out to examine the defendant Kevin Adrian Bromley for himself and on behalf of his company, which was scheduled for 25 November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addition, at the application to adjourn the trial, counsel for the plaintiffs took the position that an adjournment was necessary to determine if additional parties needed to be added to the action. The defendants asserted that the limitation periods had expired to which counsel for the plaintiffs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"Great Pacific may have been there, but it appeared, until this documentation had - my first review after Friday afternoon, Great Pacific had a lending involvement but not particularly being involved in a capacity that would make it a defendant. There's lots of time that people, lay people particularly, think you can sue anyone under the sun. As counsel you have to decide whether there is a case to be advanced or not, whether there is credible evidence that may be accepted by a court, and a basis upon which you can frame a proper legal argument. It would have been quite improper for me to just simply, because somebody said Great Pacific was in some way connected, to have joined them as a party.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My client did consider all of that, and I can say got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 advice with respect to what was necessary for properly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 claiming against a property</w:t>
      </w:r>
      <w:r>
        <w:rPr>
          <w:rFonts w:ascii="arial" w:eastAsia="arial" w:hAnsi="arial" w:cs="arial"/>
          <w:color w:val="000000"/>
          <w:sz w:val="20"/>
          <w:lang w:val="en-US" w:eastAsia="en-US" w:bidi="ar-SA"/>
        </w:rPr>
        <w:t>." (Underlining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parties agree on portions of the relevant legal framework and disagree on other aspects of that framework. The parties agree on the importance and protection that is afforded solicitor-client communications.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Blank v. Canada (Minister of Justice)</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2006 SCC 39</w:t>
        </w:r>
      </w:hyperlink>
      <w:r>
        <w:rPr>
          <w:rFonts w:ascii="arial" w:eastAsia="arial" w:hAnsi="arial" w:cs="arial"/>
          <w:color w:val="000000"/>
          <w:sz w:val="20"/>
          <w:lang w:val="en-US" w:eastAsia="en-US" w:bidi="ar-SA"/>
        </w:rPr>
        <w:t>, Fish J., for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Thus, the Court explained in </w:t>
      </w:r>
      <w:r>
        <w:rPr>
          <w:rFonts w:ascii="arial" w:eastAsia="arial" w:hAnsi="arial" w:cs="arial"/>
          <w:i/>
          <w:color w:val="000000"/>
          <w:sz w:val="20"/>
          <w:lang w:val="en-US" w:eastAsia="en-US" w:bidi="ar-SA"/>
        </w:rPr>
        <w:t>Descôteaux v. Mierzwinski</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[1982] 1 S.C.R. 860</w:t>
        </w:r>
      </w:hyperlink>
      <w:r>
        <w:rPr>
          <w:rFonts w:ascii="arial" w:eastAsia="arial" w:hAnsi="arial" w:cs="arial"/>
          <w:color w:val="000000"/>
          <w:sz w:val="20"/>
          <w:lang w:val="en-US" w:eastAsia="en-US" w:bidi="ar-SA"/>
        </w:rPr>
        <w:t xml:space="preserve">, and has since then reiterated, that the solicitor-client privilege has over the years evolved from a rule of evidence to a rule of substantive law. And the Court has consistently emphasized the breadth and primacy of the solicitor-client privilege: see, for example, </w:t>
      </w:r>
      <w:r>
        <w:rPr>
          <w:rFonts w:ascii="arial" w:eastAsia="arial" w:hAnsi="arial" w:cs="arial"/>
          <w:i/>
          <w:color w:val="000000"/>
          <w:sz w:val="20"/>
          <w:lang w:val="en-US" w:eastAsia="en-US" w:bidi="ar-SA"/>
        </w:rPr>
        <w:t>Geffen v. Goodman Estate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[1991] 2 S.C.R. 353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Smith v. Jones</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[1999] 1 S.C.R. 455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McClure</w:t>
      </w:r>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[2001] 1 S.C.R. 445</w:t>
        </w:r>
      </w:hyperlink>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2001 SCC 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Lavallee, Rackel &amp; Heintz v. Canada (Attorney General)</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[2002] 3 S.C.R. 209</w:t>
        </w:r>
      </w:hyperlink>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2002 SCC 61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Goodis v. Ontario (Ministry of Correctional Services)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2006 SCC 31</w:t>
      </w:r>
      <w:r>
        <w:rPr>
          <w:rFonts w:ascii="arial" w:eastAsia="arial" w:hAnsi="arial" w:cs="arial"/>
          <w:color w:val="000000"/>
          <w:sz w:val="20"/>
          <w:lang w:val="en-US" w:eastAsia="en-US" w:bidi="ar-SA"/>
        </w:rPr>
        <w:t xml:space="preserve">. In an oft-quoted passage, Major J., speaking for the Court, stated in </w:t>
      </w:r>
      <w:r>
        <w:rPr>
          <w:rFonts w:ascii="arial" w:eastAsia="arial" w:hAnsi="arial" w:cs="arial"/>
          <w:i/>
          <w:color w:val="000000"/>
          <w:sz w:val="20"/>
          <w:lang w:val="en-US" w:eastAsia="en-US" w:bidi="ar-SA"/>
        </w:rPr>
        <w:t>McClure</w:t>
      </w:r>
      <w:r>
        <w:rPr>
          <w:rFonts w:ascii="arial" w:eastAsia="arial" w:hAnsi="arial" w:cs="arial"/>
          <w:color w:val="000000"/>
          <w:sz w:val="20"/>
          <w:lang w:val="en-US" w:eastAsia="en-US" w:bidi="ar-SA"/>
        </w:rPr>
        <w:t xml:space="preserve"> that "solicitor-client privilege must be as close to absolute as possible to ensure public confidence and retain relevance"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Fish J. also explained the policy objectives that inform solicitor-client privilege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Much has been said in these cases, and others, regarding the origin and rationale of the solicitor-client privilege. The solicitor-client privilege has been firmly entrenched for centuries. It recognizes that the justice system depends for its vitality on full, free and frank communication between those who need legal advice and those who are best able to provide it. Society has entrusted to lawyers the task of advancing their clients' cases with the skill and expertise available only to those who are trained in the law. They alone can discharge these duties effectively, but only if those who depend on them for counsel may consult with them in confidence. The resulting confidential relationship between solicitor and client is a necessary and essential condition of the effective administration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Several other aspects of the relevant legal framework are also straightforward:</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information being sought must be relevant to the action. Here the plaintiff accepts, for present purposes, that the information or documents that the Applicants seek is relevant.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onus to establish or prove the existence of solicitor-client privilege rests with the party alleging the existence of the privilege: see </w:t>
      </w:r>
      <w:r>
        <w:rPr>
          <w:rFonts w:ascii="arial" w:eastAsia="arial" w:hAnsi="arial" w:cs="arial"/>
          <w:i/>
          <w:color w:val="000000"/>
          <w:sz w:val="20"/>
          <w:lang w:val="en-US" w:eastAsia="en-US" w:bidi="ar-SA"/>
        </w:rPr>
        <w:t>Hamalainen (Committee of) v. Sippola</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(1991), 62 B.C.L.R. (2d) 254</w:t>
        </w:r>
      </w:hyperlink>
      <w:r>
        <w:rPr>
          <w:rFonts w:ascii="arial" w:eastAsia="arial" w:hAnsi="arial" w:cs="arial"/>
          <w:color w:val="000000"/>
          <w:sz w:val="20"/>
          <w:lang w:val="en-US" w:eastAsia="en-US" w:bidi="ar-SA"/>
        </w:rPr>
        <w:t xml:space="preserve"> (C.A.) at para. 21.</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solicitor-client relationship is established as soon as the prospective client has his or her first dealings with the lawyer to obtain legal advice: see </w:t>
      </w:r>
      <w:r>
        <w:rPr>
          <w:rFonts w:ascii="arial" w:eastAsia="arial" w:hAnsi="arial" w:cs="arial"/>
          <w:i/>
          <w:color w:val="000000"/>
          <w:sz w:val="20"/>
          <w:lang w:val="en-US" w:eastAsia="en-US" w:bidi="ar-SA"/>
        </w:rPr>
        <w:t>Descôteaux et al. v. Mierzwinski</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[1982] 1 S.C.R. 860</w:t>
        </w:r>
      </w:hyperlink>
      <w:r>
        <w:rPr>
          <w:rFonts w:ascii="arial" w:eastAsia="arial" w:hAnsi="arial" w:cs="arial"/>
          <w:color w:val="000000"/>
          <w:sz w:val="20"/>
          <w:lang w:val="en-US" w:eastAsia="en-US" w:bidi="ar-SA"/>
        </w:rPr>
        <w:t xml:space="preserve"> at pp.876-877. In this case the relationship between the plaintiffs and their legal advisors was of long standing and there is no dispute that advice the plaintiffs received would normally be protected by solicitor-client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parties disagree, however, on a) the ongoing importance and relevance of </w:t>
      </w:r>
      <w:r>
        <w:rPr>
          <w:rFonts w:ascii="arial" w:eastAsia="arial" w:hAnsi="arial" w:cs="arial"/>
          <w:i/>
          <w:color w:val="000000"/>
          <w:sz w:val="20"/>
          <w:lang w:val="en-US" w:eastAsia="en-US" w:bidi="ar-SA"/>
        </w:rPr>
        <w:t>S. &amp; K. Processors Ltd. v. Campbell Ave. Herring Producers Ltd.</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[1983] B.C.J. No. 1499</w:t>
        </w:r>
      </w:hyperlink>
      <w:r>
        <w:rPr>
          <w:rFonts w:ascii="arial" w:eastAsia="arial" w:hAnsi="arial" w:cs="arial"/>
          <w:color w:val="000000"/>
          <w:sz w:val="20"/>
          <w:lang w:val="en-US" w:eastAsia="en-US" w:bidi="ar-SA"/>
        </w:rPr>
        <w:t xml:space="preserve"> and b) the legal significance of </w:t>
      </w:r>
      <w:r>
        <w:rPr>
          <w:rFonts w:ascii="arial" w:eastAsia="arial" w:hAnsi="arial" w:cs="arial"/>
          <w:i/>
          <w:color w:val="000000"/>
          <w:sz w:val="20"/>
          <w:lang w:val="en-US" w:eastAsia="en-US" w:bidi="ar-SA"/>
        </w:rPr>
        <w:t>Soprema Inc. v. Wolrige Mahon LLP</w:t>
      </w:r>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2016 BCCA 471</w:t>
        </w:r>
      </w:hyperlink>
      <w:r>
        <w:rPr>
          <w:rFonts w:ascii="arial" w:eastAsia="arial" w:hAnsi="arial" w:cs="arial"/>
          <w:color w:val="000000"/>
          <w:sz w:val="20"/>
          <w:lang w:val="en-US" w:eastAsia="en-US" w:bidi="ar-SA"/>
        </w:rPr>
        <w:t xml:space="preserve"> both on </w:t>
      </w:r>
      <w:r>
        <w:rPr>
          <w:rFonts w:ascii="arial" w:eastAsia="arial" w:hAnsi="arial" w:cs="arial"/>
          <w:i/>
          <w:color w:val="000000"/>
          <w:sz w:val="20"/>
          <w:lang w:val="en-US" w:eastAsia="en-US" w:bidi="ar-SA"/>
        </w:rPr>
        <w:t>S. &amp; K. Processors</w:t>
      </w:r>
      <w:r>
        <w:rPr>
          <w:rFonts w:ascii="arial" w:eastAsia="arial" w:hAnsi="arial" w:cs="arial"/>
          <w:color w:val="000000"/>
          <w:sz w:val="20"/>
          <w:lang w:val="en-US" w:eastAsia="en-US" w:bidi="ar-SA"/>
        </w:rPr>
        <w:t xml:space="preserve"> and more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 &amp; K. Processors</w:t>
      </w:r>
      <w:r>
        <w:rPr>
          <w:rFonts w:ascii="arial" w:eastAsia="arial" w:hAnsi="arial" w:cs="arial"/>
          <w:color w:val="000000"/>
          <w:sz w:val="20"/>
          <w:lang w:val="en-US" w:eastAsia="en-US" w:bidi="ar-SA"/>
        </w:rPr>
        <w:t xml:space="preserve"> McLachlin J., as she then was,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Waiver of privilege is ordinarily established where it is shown that the possessor of the privilege (1) knows of the existence of the privilege, and (2) voluntarily evinces an intention to waive that privilege. However, waiver may also occur in the absence of an intention to waive, where fairness and consistency so require. Thus waiver of privilege as to part of a communication, will be held to be waiver as to the entire communication. Similarly, where a litigant relies on legal advice as an element of his claim or defence, the privilege which would otherwise attach to that advice is lost: </w:t>
      </w:r>
      <w:r>
        <w:rPr>
          <w:rFonts w:ascii="arial" w:eastAsia="arial" w:hAnsi="arial" w:cs="arial"/>
          <w:i/>
          <w:color w:val="000000"/>
          <w:sz w:val="20"/>
          <w:lang w:val="en-US" w:eastAsia="en-US" w:bidi="ar-SA"/>
        </w:rPr>
        <w:t>Hunter v. Rogers</w:t>
      </w:r>
      <w:r>
        <w:rPr>
          <w:rFonts w:ascii="arial" w:eastAsia="arial" w:hAnsi="arial" w:cs="arial"/>
          <w:color w:val="000000"/>
          <w:sz w:val="20"/>
          <w:lang w:val="en-US" w:eastAsia="en-US" w:bidi="ar-SA"/>
        </w:rPr>
        <w:t xml:space="preserve">, </w:t>
      </w:r>
      <w:hyperlink r:id="rId23" w:history="1">
        <w:r>
          <w:rPr>
            <w:rFonts w:ascii="arial" w:eastAsia="arial" w:hAnsi="arial" w:cs="arial"/>
            <w:i/>
            <w:color w:val="0077CC"/>
            <w:sz w:val="20"/>
            <w:u w:val="single"/>
            <w:shd w:val="clear" w:color="auto" w:fill="FFFFFF"/>
            <w:lang w:val="en-US" w:eastAsia="en-US" w:bidi="ar-SA"/>
          </w:rPr>
          <w:t>[1982] 2 W.W.R. 189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Notwithstanding the fact that the Evidence Act, s. 11, does not require production of the documents in question, can it be said that in the interests of fairness and consistency the doctrine of waiver requires their disclosure? As pointed out in Wigmore on Evidence (McNaughton Rev., 1961), vol. 8, pp. 635-36, relied on by Meredith J. in Hunter v. Rogers supra, double elements are predicated in every waiver--implied intention and the element of fairness and consistency. In the cases where fairness has been held to require implied waiver, there is always some manifestation of a voluntary intention to waive the privilege at least to a limited extent. The law then says that in fairness and consistency, it must be entirely waived. In Hunter v. Rogers, supra, the intention to partially waive was inferred from the defendant's act of pleading reliance on legal advice. In </w:t>
      </w:r>
      <w:r>
        <w:rPr>
          <w:rFonts w:ascii="arial" w:eastAsia="arial" w:hAnsi="arial" w:cs="arial"/>
          <w:i/>
          <w:color w:val="000000"/>
          <w:sz w:val="20"/>
          <w:lang w:val="en-US" w:eastAsia="en-US" w:bidi="ar-SA"/>
        </w:rPr>
        <w:t>Harich v. Stamp</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(1979), 27 O.R. (2d) 395</w:t>
        </w:r>
      </w:hyperlink>
      <w:r>
        <w:rPr>
          <w:rFonts w:ascii="arial" w:eastAsia="arial" w:hAnsi="arial" w:cs="arial"/>
          <w:color w:val="000000"/>
          <w:sz w:val="20"/>
          <w:lang w:val="en-US" w:eastAsia="en-US" w:bidi="ar-SA"/>
        </w:rPr>
        <w:t>, it was inferred from the accused's reliance on alleged inadequate legal advice in seeking to explain why he had pleaded guilty to a charge of dangerous driving. In both cases, the plaintiff chose to raise the issue. Having raised it, he could not in fairness be permitted to use privilege to prevent his opponent exploring its validity.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plaintiffs argue that </w:t>
      </w:r>
      <w:r>
        <w:rPr>
          <w:rFonts w:ascii="arial" w:eastAsia="arial" w:hAnsi="arial" w:cs="arial"/>
          <w:i/>
          <w:color w:val="000000"/>
          <w:sz w:val="20"/>
          <w:lang w:val="en-US" w:eastAsia="en-US" w:bidi="ar-SA"/>
        </w:rPr>
        <w:t>Soprema</w:t>
      </w:r>
      <w:r>
        <w:rPr>
          <w:rFonts w:ascii="arial" w:eastAsia="arial" w:hAnsi="arial" w:cs="arial"/>
          <w:color w:val="000000"/>
          <w:sz w:val="20"/>
          <w:lang w:val="en-US" w:eastAsia="en-US" w:bidi="ar-SA"/>
        </w:rPr>
        <w:t xml:space="preserve"> has changed the analytical framework relevant to an implied waiver of the privilege that is attached to solicitor-client communications and that it has diminished or removed the emphasis and role of both fairness and consistency when addressing issues of implied waiver. I do not consider that this is so for several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Soprema</w:t>
      </w:r>
      <w:r>
        <w:rPr>
          <w:rFonts w:ascii="arial" w:eastAsia="arial" w:hAnsi="arial" w:cs="arial"/>
          <w:color w:val="000000"/>
          <w:sz w:val="20"/>
          <w:lang w:val="en-US" w:eastAsia="en-US" w:bidi="ar-SA"/>
        </w:rPr>
        <w:t xml:space="preserve"> was an unusual and fact dependent case. The plaintiff had sued the defendant in negligent misrepresentation. The plaintiff had never pleaded or otherwise referred to legal advice it had received. Nevertheless, a constituent element of the tort of negligent misrepresentation is reliance. Accordingly, and necessarily, the plaintiff's state of mind was put in issue albeit not as a result of any pleading, or statement, or act on the part of the plaintiff or its counsel. The defendant argued that fairness, or trial fairness, required that the plaintiff produce various documents over which privilege, on the basis of solicitor-client communications, had been claimed. Harris J.A. set out the issues before the court in the "Introduction" to the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 The issue arises in a negligent misrepresentation case. To succeed, the plaintiff must prove that it relied in fact and relied reasonably on an alleged misrepresentation. Accordingly, its "state of mind" is in issue. It appears the plaintiff received legal advice about the transaction, but it does not rely on that advice to demonstrate that it reasonably relied on the misrepresentation. It has not, in this sense, </w:t>
      </w:r>
      <w:r>
        <w:rPr>
          <w:rFonts w:ascii="arial" w:eastAsia="arial" w:hAnsi="arial" w:cs="arial"/>
          <w:color w:val="000000"/>
          <w:sz w:val="20"/>
          <w:u w:val="single"/>
          <w:lang w:val="en-US" w:eastAsia="en-US" w:bidi="ar-SA"/>
        </w:rPr>
        <w:t>voluntarily</w:t>
      </w:r>
      <w:r>
        <w:rPr>
          <w:rFonts w:ascii="arial" w:eastAsia="arial" w:hAnsi="arial" w:cs="arial"/>
          <w:color w:val="000000"/>
          <w:sz w:val="20"/>
          <w:lang w:val="en-US" w:eastAsia="en-US" w:bidi="ar-SA"/>
        </w:rPr>
        <w:t xml:space="preserve"> made its understanding of its legal position a material issue in the litigation. Nonetheless, the legal advice it received may be relevant to its "state of mind" because it bears on the question whether the reliance was reasonable. In this judgment I will refer to a party </w:t>
      </w:r>
      <w:r>
        <w:rPr>
          <w:rFonts w:ascii="arial" w:eastAsia="arial" w:hAnsi="arial" w:cs="arial"/>
          <w:color w:val="000000"/>
          <w:sz w:val="20"/>
          <w:u w:val="single"/>
          <w:lang w:val="en-US" w:eastAsia="en-US" w:bidi="ar-SA"/>
        </w:rPr>
        <w:t>voluntarily</w:t>
      </w:r>
      <w:r>
        <w:rPr>
          <w:rFonts w:ascii="arial" w:eastAsia="arial" w:hAnsi="arial" w:cs="arial"/>
          <w:color w:val="000000"/>
          <w:sz w:val="20"/>
          <w:lang w:val="en-US" w:eastAsia="en-US" w:bidi="ar-SA"/>
        </w:rPr>
        <w:t xml:space="preserve"> putting its legal understanding in issue to reflect this distinction.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The judge concluded that the test for waiver is not limited to circumstances where a party has voluntarily put its understanding of its legal position in issue. He concluded that a party may impliedly waive privilege if it put its "state of mind" in issue in a manner establishing a clear nexus between its state of mind and the privileged communications. Where the privileged communications may be "highly relevant" to the state of mind, fairness and consistency may require waiver if upholding the privilege would confer an "unfair litigation advantage" on the party claiming the privilege. The decision whether privilege has been waived involves the court in a "gatekeeper" function, assessing the specific facts to balance the interest in maintaining privilege against fairness and consistency in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Harris J.A. emphasized that it was "important that the action sounds in negligent misrepresentation" (para. 17). He identified that the question before the court had not been "authoritatively settled" in British Columbia (para. 21). He emphasized in his review of the relevant authorities that to "understand properly the scope of the legal principle one must examine statements of principle in light of the facts giving rise to them"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Harris J.A.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 In my view, the authorities in this province do not clearly preclude the approach taken by the judge, although on balance I think the weight of authority supports the proposition that a party must voluntarily inject into the litigation legal advice it received or its understanding of the law before waiver can be implied.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Harris J.A. emphasized that his conclusion was supported by </w:t>
      </w:r>
      <w:r>
        <w:rPr>
          <w:rFonts w:ascii="arial" w:eastAsia="arial" w:hAnsi="arial" w:cs="arial"/>
          <w:i/>
          <w:color w:val="000000"/>
          <w:sz w:val="20"/>
          <w:lang w:val="en-US" w:eastAsia="en-US" w:bidi="ar-SA"/>
        </w:rPr>
        <w:t>R. v. McClure</w:t>
      </w:r>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2001 SCC 14</w:t>
        </w:r>
      </w:hyperlink>
      <w:r>
        <w:rPr>
          <w:rFonts w:ascii="arial" w:eastAsia="arial" w:hAnsi="arial" w:cs="arial"/>
          <w:color w:val="000000"/>
          <w:sz w:val="20"/>
          <w:lang w:val="en-US" w:eastAsia="en-US" w:bidi="ar-SA"/>
        </w:rPr>
        <w:t xml:space="preserve"> where the Court, at para. 35, emphasized "the solicitor client privilege must be as close to absolute as possible ... and does not involve a balancing of interests on a case-by-case basis" and by </w:t>
      </w:r>
      <w:r>
        <w:rPr>
          <w:rFonts w:ascii="arial" w:eastAsia="arial" w:hAnsi="arial" w:cs="arial"/>
          <w:i/>
          <w:color w:val="000000"/>
          <w:sz w:val="20"/>
          <w:lang w:val="en-US" w:eastAsia="en-US" w:bidi="ar-SA"/>
        </w:rPr>
        <w:t>Goodis v. Ontario (Ministry of Correctional Services)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2006 SCC 31</w:t>
      </w:r>
      <w:r>
        <w:rPr>
          <w:rFonts w:ascii="arial" w:eastAsia="arial" w:hAnsi="arial" w:cs="arial"/>
          <w:color w:val="000000"/>
          <w:sz w:val="20"/>
          <w:lang w:val="en-US" w:eastAsia="en-US" w:bidi="ar-SA"/>
        </w:rPr>
        <w:t xml:space="preserve"> where the Court, at paras. 20- 21, emphasized that communications should be disclosed only where absolutely necessary. Finally, he again emphasized, at para. 52, that these various points were "reinforced when one recalls the nature of the cause of action". This was because the test that had been used by the chambers judge called "into question whether solicitor client privilege would ever be protected in a case involving reasonable reliance" (at para.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 have addressed </w:t>
      </w:r>
      <w:r>
        <w:rPr>
          <w:rFonts w:ascii="arial" w:eastAsia="arial" w:hAnsi="arial" w:cs="arial"/>
          <w:i/>
          <w:color w:val="000000"/>
          <w:sz w:val="20"/>
          <w:lang w:val="en-US" w:eastAsia="en-US" w:bidi="ar-SA"/>
        </w:rPr>
        <w:t>Soprema</w:t>
      </w:r>
      <w:r>
        <w:rPr>
          <w:rFonts w:ascii="arial" w:eastAsia="arial" w:hAnsi="arial" w:cs="arial"/>
          <w:color w:val="000000"/>
          <w:sz w:val="20"/>
          <w:lang w:val="en-US" w:eastAsia="en-US" w:bidi="ar-SA"/>
        </w:rPr>
        <w:t xml:space="preserve"> at some length because it is important to recognize what </w:t>
      </w:r>
      <w:r>
        <w:rPr>
          <w:rFonts w:ascii="arial" w:eastAsia="arial" w:hAnsi="arial" w:cs="arial"/>
          <w:i/>
          <w:color w:val="000000"/>
          <w:sz w:val="20"/>
          <w:lang w:val="en-US" w:eastAsia="en-US" w:bidi="ar-SA"/>
        </w:rPr>
        <w:t>Soprema</w:t>
      </w:r>
      <w:r>
        <w:rPr>
          <w:rFonts w:ascii="arial" w:eastAsia="arial" w:hAnsi="arial" w:cs="arial"/>
          <w:color w:val="000000"/>
          <w:sz w:val="20"/>
          <w:lang w:val="en-US" w:eastAsia="en-US" w:bidi="ar-SA"/>
        </w:rPr>
        <w:t xml:space="preserve"> did and what it did not do. </w:t>
      </w:r>
      <w:r>
        <w:rPr>
          <w:rFonts w:ascii="arial" w:eastAsia="arial" w:hAnsi="arial" w:cs="arial"/>
          <w:i/>
          <w:color w:val="000000"/>
          <w:sz w:val="20"/>
          <w:lang w:val="en-US" w:eastAsia="en-US" w:bidi="ar-SA"/>
        </w:rPr>
        <w:t>Soprema</w:t>
      </w:r>
      <w:r>
        <w:rPr>
          <w:rFonts w:ascii="arial" w:eastAsia="arial" w:hAnsi="arial" w:cs="arial"/>
          <w:color w:val="000000"/>
          <w:sz w:val="20"/>
          <w:lang w:val="en-US" w:eastAsia="en-US" w:bidi="ar-SA"/>
        </w:rPr>
        <w:t xml:space="preserve"> did clarify and address a specific issue in respect of which the authorities in British Columbia had been unclear. That issue was the test for implied waiver in cases where the cause of action advanced, as opposed to any conduct on the part of a plaintiff, brings into play the plaintiff's "state of mind" and its reasonable reliance on a representation made to it. It is in this light that the court's comments, at para. 49, must be understood.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Soprema</w:t>
      </w:r>
      <w:r>
        <w:rPr>
          <w:rFonts w:ascii="arial" w:eastAsia="arial" w:hAnsi="arial" w:cs="arial"/>
          <w:color w:val="000000"/>
          <w:sz w:val="20"/>
          <w:lang w:val="en-US" w:eastAsia="en-US" w:bidi="ar-SA"/>
        </w:rPr>
        <w:t xml:space="preserve"> did not, however, change the law of solicitor-client privilege, or waiver, or implied waiver more broadly. It did not change the ongoing importance of either fairness or consistency in the analysis of questions of implied waiver.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Descôteaux</w:t>
      </w:r>
      <w:r>
        <w:rPr>
          <w:rFonts w:ascii="arial" w:eastAsia="arial" w:hAnsi="arial" w:cs="arial"/>
          <w:color w:val="000000"/>
          <w:sz w:val="20"/>
          <w:lang w:val="en-US" w:eastAsia="en-US" w:bidi="ar-SA"/>
        </w:rPr>
        <w:t xml:space="preserve">, the Court confirmed that solicitor-client privilege "which protects the fundamental civil and legal rights of a citizen to communicate in confidence with their lawyers will not be lightly abrogated" (at p.875). The statement that solicitor-client privilege had been elevated to a substantive or "fundamental civil and legal right" was repeated in each of </w:t>
      </w:r>
      <w:r>
        <w:rPr>
          <w:rFonts w:ascii="arial" w:eastAsia="arial" w:hAnsi="arial" w:cs="arial"/>
          <w:i/>
          <w:color w:val="000000"/>
          <w:sz w:val="20"/>
          <w:lang w:val="en-US" w:eastAsia="en-US" w:bidi="ar-SA"/>
        </w:rPr>
        <w:t>Geffen v. Goodman Estate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[1991] 2 S.C.R. 353</w:t>
      </w:r>
      <w:r>
        <w:rPr>
          <w:rFonts w:ascii="arial" w:eastAsia="arial" w:hAnsi="arial" w:cs="arial"/>
          <w:color w:val="000000"/>
          <w:sz w:val="20"/>
          <w:lang w:val="en-US" w:eastAsia="en-US" w:bidi="ar-SA"/>
        </w:rPr>
        <w:t xml:space="preserve"> at para. 57, </w:t>
      </w:r>
      <w:r>
        <w:rPr>
          <w:rFonts w:ascii="arial" w:eastAsia="arial" w:hAnsi="arial" w:cs="arial"/>
          <w:i/>
          <w:color w:val="000000"/>
          <w:sz w:val="20"/>
          <w:lang w:val="en-US" w:eastAsia="en-US" w:bidi="ar-SA"/>
        </w:rPr>
        <w:t>Smith v. Jones</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[1999] 1 S.C.R. 455</w:t>
        </w:r>
      </w:hyperlink>
      <w:r>
        <w:rPr>
          <w:rFonts w:ascii="arial" w:eastAsia="arial" w:hAnsi="arial" w:cs="arial"/>
          <w:color w:val="000000"/>
          <w:sz w:val="20"/>
          <w:lang w:val="en-US" w:eastAsia="en-US" w:bidi="ar-SA"/>
        </w:rPr>
        <w:t xml:space="preserve"> at para. 54, citing from para. 69 of </w:t>
      </w:r>
      <w:r>
        <w:rPr>
          <w:rFonts w:ascii="arial" w:eastAsia="arial" w:hAnsi="arial" w:cs="arial"/>
          <w:i/>
          <w:color w:val="000000"/>
          <w:sz w:val="20"/>
          <w:lang w:val="en-US" w:eastAsia="en-US" w:bidi="ar-SA"/>
        </w:rPr>
        <w:t>A.(L.L.) v. B.(A.)</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[1995] 4 S.C.R. 536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McClure</w:t>
      </w:r>
      <w:r>
        <w:rPr>
          <w:rFonts w:ascii="arial" w:eastAsia="arial" w:hAnsi="arial" w:cs="arial"/>
          <w:color w:val="000000"/>
          <w:sz w:val="20"/>
          <w:lang w:val="en-US" w:eastAsia="en-US" w:bidi="ar-SA"/>
        </w:rPr>
        <w:t xml:space="preserve"> at para. 24. Thus, these legal principles have been firmly entrenched for approximately forty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proposition that solicitor-client privilege should be interfered with only to the extent "absolutely necessary" was also established in </w:t>
      </w:r>
      <w:r>
        <w:rPr>
          <w:rFonts w:ascii="arial" w:eastAsia="arial" w:hAnsi="arial" w:cs="arial"/>
          <w:i/>
          <w:color w:val="000000"/>
          <w:sz w:val="20"/>
          <w:lang w:val="en-US" w:eastAsia="en-US" w:bidi="ar-SA"/>
        </w:rPr>
        <w:t>Descôteaux</w:t>
      </w:r>
      <w:r>
        <w:rPr>
          <w:rFonts w:ascii="arial" w:eastAsia="arial" w:hAnsi="arial" w:cs="arial"/>
          <w:color w:val="000000"/>
          <w:sz w:val="20"/>
          <w:lang w:val="en-US" w:eastAsia="en-US" w:bidi="ar-SA"/>
        </w:rPr>
        <w:t xml:space="preserve">, at p.875, and has been confirmed in, for example </w:t>
      </w:r>
      <w:r>
        <w:rPr>
          <w:rFonts w:ascii="arial" w:eastAsia="arial" w:hAnsi="arial" w:cs="arial"/>
          <w:i/>
          <w:color w:val="000000"/>
          <w:sz w:val="20"/>
          <w:lang w:val="en-US" w:eastAsia="en-US" w:bidi="ar-SA"/>
        </w:rPr>
        <w:t>Goodis</w:t>
      </w:r>
      <w:r>
        <w:rPr>
          <w:rFonts w:ascii="arial" w:eastAsia="arial" w:hAnsi="arial" w:cs="arial"/>
          <w:color w:val="000000"/>
          <w:sz w:val="20"/>
          <w:lang w:val="en-US" w:eastAsia="en-US" w:bidi="ar-SA"/>
        </w:rPr>
        <w:t xml:space="preserve"> at para. 20 and 21 and in </w:t>
      </w:r>
      <w:r>
        <w:rPr>
          <w:rFonts w:ascii="arial" w:eastAsia="arial" w:hAnsi="arial" w:cs="arial"/>
          <w:i/>
          <w:color w:val="000000"/>
          <w:sz w:val="20"/>
          <w:lang w:val="en-US" w:eastAsia="en-US" w:bidi="ar-SA"/>
        </w:rPr>
        <w:t>Blank</w:t>
      </w:r>
      <w:r>
        <w:rPr>
          <w:rFonts w:ascii="arial" w:eastAsia="arial" w:hAnsi="arial" w:cs="arial"/>
          <w:color w:val="000000"/>
          <w:sz w:val="20"/>
          <w:lang w:val="en-US" w:eastAsia="en-US" w:bidi="ar-SA"/>
        </w:rPr>
        <w:t xml:space="preserve"> at para. 24. Thus, this proposition has also been firmly established for some forty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Solicitor-client privilege "is not absolute". It will only yield in certain clearly defined circumstances, and does not involve a balancing of interests on a case-by-case basis: </w:t>
      </w:r>
      <w:r>
        <w:rPr>
          <w:rFonts w:ascii="arial" w:eastAsia="arial" w:hAnsi="arial" w:cs="arial"/>
          <w:i/>
          <w:color w:val="000000"/>
          <w:sz w:val="20"/>
          <w:lang w:val="en-US" w:eastAsia="en-US" w:bidi="ar-SA"/>
        </w:rPr>
        <w:t>R. v. McClure</w:t>
      </w:r>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2001 SCC 14</w:t>
        </w:r>
      </w:hyperlink>
      <w:r>
        <w:rPr>
          <w:rFonts w:ascii="arial" w:eastAsia="arial" w:hAnsi="arial" w:cs="arial"/>
          <w:color w:val="000000"/>
          <w:sz w:val="20"/>
          <w:lang w:val="en-US" w:eastAsia="en-US" w:bidi="ar-SA"/>
        </w:rPr>
        <w:t xml:space="preserve"> at paras. 34-35; </w:t>
      </w:r>
      <w:r>
        <w:rPr>
          <w:rFonts w:ascii="arial" w:eastAsia="arial" w:hAnsi="arial" w:cs="arial"/>
          <w:i/>
          <w:color w:val="000000"/>
          <w:sz w:val="20"/>
          <w:lang w:val="en-US" w:eastAsia="en-US" w:bidi="ar-SA"/>
        </w:rPr>
        <w:t>Lavallee, Rackel &amp; Heintz v. Canada (Attorney General)</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2002 SCC 61</w:t>
        </w:r>
      </w:hyperlink>
      <w:r>
        <w:rPr>
          <w:rFonts w:ascii="arial" w:eastAsia="arial" w:hAnsi="arial" w:cs="arial"/>
          <w:color w:val="000000"/>
          <w:sz w:val="20"/>
          <w:lang w:val="en-US" w:eastAsia="en-US" w:bidi="ar-SA"/>
        </w:rPr>
        <w:t xml:space="preserve"> at para. 36; </w:t>
      </w:r>
      <w:r>
        <w:rPr>
          <w:rFonts w:ascii="arial" w:eastAsia="arial" w:hAnsi="arial" w:cs="arial"/>
          <w:i/>
          <w:color w:val="000000"/>
          <w:sz w:val="20"/>
          <w:lang w:val="en-US" w:eastAsia="en-US" w:bidi="ar-SA"/>
        </w:rPr>
        <w:t>Pritchard v. Ontario (Human Rights Commission)</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2004 SCC 31</w:t>
        </w:r>
      </w:hyperlink>
      <w:r>
        <w:rPr>
          <w:rFonts w:ascii="arial" w:eastAsia="arial" w:hAnsi="arial" w:cs="arial"/>
          <w:color w:val="000000"/>
          <w:sz w:val="20"/>
          <w:lang w:val="en-US" w:eastAsia="en-US" w:bidi="ar-SA"/>
        </w:rPr>
        <w:t xml:space="preserve"> at para. 18. Again, these propositions have been well established for about two decades.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Furthermore, and importantly, the Court in </w:t>
      </w:r>
      <w:r>
        <w:rPr>
          <w:rFonts w:ascii="arial" w:eastAsia="arial" w:hAnsi="arial" w:cs="arial"/>
          <w:i/>
          <w:color w:val="000000"/>
          <w:sz w:val="20"/>
          <w:lang w:val="en-US" w:eastAsia="en-US" w:bidi="ar-SA"/>
        </w:rPr>
        <w:t>Soprema</w:t>
      </w:r>
      <w:r>
        <w:rPr>
          <w:rFonts w:ascii="arial" w:eastAsia="arial" w:hAnsi="arial" w:cs="arial"/>
          <w:color w:val="000000"/>
          <w:sz w:val="20"/>
          <w:lang w:val="en-US" w:eastAsia="en-US" w:bidi="ar-SA"/>
        </w:rPr>
        <w:t xml:space="preserve"> did not detract from the ongoing validity and status of </w:t>
      </w:r>
      <w:r>
        <w:rPr>
          <w:rFonts w:ascii="arial" w:eastAsia="arial" w:hAnsi="arial" w:cs="arial"/>
          <w:i/>
          <w:color w:val="000000"/>
          <w:sz w:val="20"/>
          <w:lang w:val="en-US" w:eastAsia="en-US" w:bidi="ar-SA"/>
        </w:rPr>
        <w:t>S. &amp; K. Processors</w:t>
      </w:r>
      <w:r>
        <w:rPr>
          <w:rFonts w:ascii="arial" w:eastAsia="arial" w:hAnsi="arial" w:cs="arial"/>
          <w:color w:val="000000"/>
          <w:sz w:val="20"/>
          <w:lang w:val="en-US" w:eastAsia="en-US" w:bidi="ar-SA"/>
        </w:rPr>
        <w:t xml:space="preserve">. Similarly it did not obviate the need to consider both fairness and consistency when addressing an implied waiver of privilege. Indeed, Harris J.A. expressly addressed </w:t>
      </w:r>
      <w:r>
        <w:rPr>
          <w:rFonts w:ascii="arial" w:eastAsia="arial" w:hAnsi="arial" w:cs="arial"/>
          <w:i/>
          <w:color w:val="000000"/>
          <w:sz w:val="20"/>
          <w:lang w:val="en-US" w:eastAsia="en-US" w:bidi="ar-SA"/>
        </w:rPr>
        <w:t>S. &amp; K. Processors</w:t>
      </w:r>
      <w:r>
        <w:rPr>
          <w:rFonts w:ascii="arial" w:eastAsia="arial" w:hAnsi="arial" w:cs="arial"/>
          <w:color w:val="000000"/>
          <w:sz w:val="20"/>
          <w:lang w:val="en-US" w:eastAsia="en-US" w:bidi="ar-SA"/>
        </w:rPr>
        <w:t xml:space="preserve">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Modern discussion of the circumstances in which waiver will be implied and the relevant test to apply begins with </w:t>
      </w:r>
      <w:r>
        <w:rPr>
          <w:rFonts w:ascii="arial" w:eastAsia="arial" w:hAnsi="arial" w:cs="arial"/>
          <w:i/>
          <w:color w:val="000000"/>
          <w:sz w:val="20"/>
          <w:lang w:val="en-US" w:eastAsia="en-US" w:bidi="ar-SA"/>
        </w:rPr>
        <w:t>S. &amp; K. Processors Ltd. v. Campbell Avenue Herring Producers Ltd.</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[1983] B.C.J. No. 1499</w:t>
        </w:r>
      </w:hyperlink>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45 B.C.L.R. 218</w:t>
        </w:r>
      </w:hyperlink>
      <w:r>
        <w:rPr>
          <w:rFonts w:ascii="arial" w:eastAsia="arial" w:hAnsi="arial" w:cs="arial"/>
          <w:color w:val="000000"/>
          <w:sz w:val="20"/>
          <w:lang w:val="en-US" w:eastAsia="en-US" w:bidi="ar-SA"/>
        </w:rPr>
        <w:t xml:space="preserve"> (S.C.). In that case, McLachlin J., as she then was, articulated the principle that waiver may be implied where fairness and consistency so require. The examples she gives to demonstrate when fairness and consistency require a finding of implied waiver are twofold. First, a party may waive privilege over part of a communication. Having done so, fairness and consistency require a finding the privilege has been waived over the entire communication. The second category of cases involved circumstances where a party relies on legal advice it received as an element of its claim or defence. Having raised legal advice, for example to justify or explain its conduct, a party cannot in fairness then be permitted to assert privilege to prevent an opposing party from exploring the validity of the claim. </w:t>
      </w:r>
      <w:r>
        <w:rPr>
          <w:rFonts w:ascii="arial" w:eastAsia="arial" w:hAnsi="arial" w:cs="arial"/>
          <w:i/>
          <w:color w:val="000000"/>
          <w:sz w:val="20"/>
          <w:lang w:val="en-US" w:eastAsia="en-US" w:bidi="ar-SA"/>
        </w:rPr>
        <w:t>S. &amp; K</w:t>
      </w:r>
      <w:r>
        <w:rPr>
          <w:rFonts w:ascii="arial" w:eastAsia="arial" w:hAnsi="arial" w:cs="arial"/>
          <w:color w:val="000000"/>
          <w:sz w:val="20"/>
          <w:lang w:val="en-US" w:eastAsia="en-US" w:bidi="ar-SA"/>
        </w:rPr>
        <w:t>. does not explore the possibility that privilege may also be impliedly waived where advice or knowledge may be relevant to state of mind but that party has not explicitly put in issue reliance on legal advice or knowledge of the law to explain or justify its conduct. I do not think the case can be interpreted as authority for the proposition that waiver is implied in such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foregoing passage further confirms the narrow and specific issue that </w:t>
      </w:r>
      <w:r>
        <w:rPr>
          <w:rFonts w:ascii="arial" w:eastAsia="arial" w:hAnsi="arial" w:cs="arial"/>
          <w:i/>
          <w:color w:val="000000"/>
          <w:sz w:val="20"/>
          <w:lang w:val="en-US" w:eastAsia="en-US" w:bidi="ar-SA"/>
        </w:rPr>
        <w:t>Soprema</w:t>
      </w:r>
      <w:r>
        <w:rPr>
          <w:rFonts w:ascii="arial" w:eastAsia="arial" w:hAnsi="arial" w:cs="arial"/>
          <w:color w:val="000000"/>
          <w:sz w:val="20"/>
          <w:lang w:val="en-US" w:eastAsia="en-US" w:bidi="ar-SA"/>
        </w:rPr>
        <w:t xml:space="preserve"> addressed. I would observe that </w:t>
      </w:r>
      <w:r>
        <w:rPr>
          <w:rFonts w:ascii="arial" w:eastAsia="arial" w:hAnsi="arial" w:cs="arial"/>
          <w:i/>
          <w:color w:val="000000"/>
          <w:sz w:val="20"/>
          <w:lang w:val="en-US" w:eastAsia="en-US" w:bidi="ar-SA"/>
        </w:rPr>
        <w:t>S. &amp; K. Processors</w:t>
      </w:r>
      <w:r>
        <w:rPr>
          <w:rFonts w:ascii="arial" w:eastAsia="arial" w:hAnsi="arial" w:cs="arial"/>
          <w:color w:val="000000"/>
          <w:sz w:val="20"/>
          <w:lang w:val="en-US" w:eastAsia="en-US" w:bidi="ar-SA"/>
        </w:rPr>
        <w:t xml:space="preserve"> has been referred to and relied on in hundreds of decisions. It is consistently referred to in various authoritative texts: see for example Sopinka, Lederman and Bryant,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xml:space="preserve">, 3rd ed., Lexis Nexis at p. 961. It has also been consistently referred to by the British Columbia Court of Appeal: see </w:t>
      </w:r>
      <w:r>
        <w:rPr>
          <w:rFonts w:ascii="arial" w:eastAsia="arial" w:hAnsi="arial" w:cs="arial"/>
          <w:i/>
          <w:color w:val="000000"/>
          <w:sz w:val="20"/>
          <w:lang w:val="en-US" w:eastAsia="en-US" w:bidi="ar-SA"/>
        </w:rPr>
        <w:t>McCarty v. Chen</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(1994) 92 BCLR (2d) 379</w:t>
        </w:r>
      </w:hyperlink>
      <w:r>
        <w:rPr>
          <w:rFonts w:ascii="arial" w:eastAsia="arial" w:hAnsi="arial" w:cs="arial"/>
          <w:color w:val="000000"/>
          <w:sz w:val="20"/>
          <w:lang w:val="en-US" w:eastAsia="en-US" w:bidi="ar-SA"/>
        </w:rPr>
        <w:t xml:space="preserve"> (C.A.) at para. 2; </w:t>
      </w:r>
      <w:r>
        <w:rPr>
          <w:rFonts w:ascii="arial" w:eastAsia="arial" w:hAnsi="arial" w:cs="arial"/>
          <w:i/>
          <w:color w:val="000000"/>
          <w:sz w:val="20"/>
          <w:lang w:val="en-US" w:eastAsia="en-US" w:bidi="ar-SA"/>
        </w:rPr>
        <w:t>Doman Forest Products Ltd. v. GMAC Commercial Credit Corp. - Canada</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2004 BCCA 512</w:t>
        </w:r>
      </w:hyperlink>
      <w:r>
        <w:rPr>
          <w:rFonts w:ascii="arial" w:eastAsia="arial" w:hAnsi="arial" w:cs="arial"/>
          <w:color w:val="000000"/>
          <w:sz w:val="20"/>
          <w:lang w:val="en-US" w:eastAsia="en-US" w:bidi="ar-SA"/>
        </w:rPr>
        <w:t xml:space="preserve"> at para. 12 [re-aff'd on other issues in </w:t>
      </w:r>
      <w:hyperlink r:id="rId29" w:history="1">
        <w:r>
          <w:rPr>
            <w:rFonts w:ascii="arial" w:eastAsia="arial" w:hAnsi="arial" w:cs="arial"/>
            <w:i/>
            <w:color w:val="0077CC"/>
            <w:sz w:val="20"/>
            <w:u w:val="single"/>
            <w:shd w:val="clear" w:color="auto" w:fill="FFFFFF"/>
            <w:lang w:val="en-US" w:eastAsia="en-US" w:bidi="ar-SA"/>
          </w:rPr>
          <w:t>2005 BCCA 111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Mayer v. Mayer</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2012 BCCA 77</w:t>
        </w:r>
      </w:hyperlink>
      <w:r>
        <w:rPr>
          <w:rFonts w:ascii="arial" w:eastAsia="arial" w:hAnsi="arial" w:cs="arial"/>
          <w:color w:val="000000"/>
          <w:sz w:val="20"/>
          <w:lang w:val="en-US" w:eastAsia="en-US" w:bidi="ar-SA"/>
        </w:rPr>
        <w:t xml:space="preserve"> at para. 181; </w:t>
      </w:r>
      <w:r>
        <w:rPr>
          <w:rFonts w:ascii="arial" w:eastAsia="arial" w:hAnsi="arial" w:cs="arial"/>
          <w:i/>
          <w:color w:val="000000"/>
          <w:sz w:val="20"/>
          <w:lang w:val="en-US" w:eastAsia="en-US" w:bidi="ar-SA"/>
        </w:rPr>
        <w:t>British Columbia (Attorney General) v. Lee</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2017 BCCA 219</w:t>
        </w:r>
      </w:hyperlink>
      <w:r>
        <w:rPr>
          <w:rFonts w:ascii="arial" w:eastAsia="arial" w:hAnsi="arial" w:cs="arial"/>
          <w:color w:val="000000"/>
          <w:sz w:val="20"/>
          <w:lang w:val="en-US" w:eastAsia="en-US" w:bidi="ar-SA"/>
        </w:rPr>
        <w:t xml:space="preserve"> at para.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and Application of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Aspects of this portion of the application were simplified by the concessions made by counsel for the plaintiffs during the course of his submissions. Specifically, counsel accepted that paragraphs 12, 14 and 16 of Mr. Cook's May 9 affidavit had impliedly waived the privilege that would otherwise have attached to the communications between counsel and the plaintiffs. That waiver, however, it was argued, only attached to the communications with counsel that took place in or about September 2016, when 0848 delivered its additional documents, or thereafter. It did not, it was argued, extend to communications, about whether to add the Proposed Defendants, between counsel and the plaintiffs in the 2010 or 2011 timeframe - though it is clear that there were such communications.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 do not agree with this submission or position. It is clear, as I have said, that the plaintiffs' state of mind, with respect to the limitation issue, is relevant and will be a central aspect of the Joinder Application. This is not contested. In this case the plaintiffs have "voluntarily" put their understanding of their legal position in issue: </w:t>
      </w:r>
      <w:r>
        <w:rPr>
          <w:rFonts w:ascii="arial" w:eastAsia="arial" w:hAnsi="arial" w:cs="arial"/>
          <w:i/>
          <w:color w:val="000000"/>
          <w:sz w:val="20"/>
          <w:lang w:val="en-US" w:eastAsia="en-US" w:bidi="ar-SA"/>
        </w:rPr>
        <w:t>Soprema</w:t>
      </w:r>
      <w:r>
        <w:rPr>
          <w:rFonts w:ascii="arial" w:eastAsia="arial" w:hAnsi="arial" w:cs="arial"/>
          <w:color w:val="000000"/>
          <w:sz w:val="20"/>
          <w:lang w:val="en-US" w:eastAsia="en-US" w:bidi="ar-SA"/>
        </w:rPr>
        <w:t xml:space="preserve"> at para. 2. They have asserted that it was as a result of "advice from counsel" that the plaintiff learned of "evidence that other parties not previously identified ..." might be proper defendants (at para. 12 of Mr. Kelly's Affidavit). It was as a result of "advice from counsel" that the plaintiffs instructed counsel to consider "the appropriateness of seeking to add new parties" (at para. 14 of Mr. Kelly's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Thereafter, following a review of the defendant's additional document disclosure and on the basis of "counsel's advice", Mr. Kelly and the other principals of the plaintiffs learned that "there was significant evidence contained in the documents then newly disclosed ..." that supported the addition of the Proposed Defendants (at para. 16 of Mr. Kelly's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Each of these statements posits or states that it was only as a result of the defendants' additional document disclosure, in September 2016, and the subsequent advice of counsel, that an awareness of potential causes of action against the Proposed Defendants emerged. Inherent in these assertions is the proposition that the plaintiffs lacked any such earlier information or advice. I do not consider that it is open for the defendants to waive the privilege over an aspect of the legal advice they received, in relation to a specific issue, while continuing to assert privilege over other legal advice, albeit provided earlier, in relation to that same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saying this I am aware that a waiver of privilege in relation to a specific issue will not give rise to a general waiver of all legal advice: </w:t>
      </w:r>
      <w:r>
        <w:rPr>
          <w:rFonts w:ascii="arial" w:eastAsia="arial" w:hAnsi="arial" w:cs="arial"/>
          <w:i/>
          <w:color w:val="000000"/>
          <w:sz w:val="20"/>
          <w:lang w:val="en-US" w:eastAsia="en-US" w:bidi="ar-SA"/>
        </w:rPr>
        <w:t>Brown v. Clark Wilson LLP</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2014 BCCA 185</w:t>
        </w:r>
      </w:hyperlink>
      <w:r>
        <w:rPr>
          <w:rFonts w:ascii="arial" w:eastAsia="arial" w:hAnsi="arial" w:cs="arial"/>
          <w:color w:val="000000"/>
          <w:sz w:val="20"/>
          <w:lang w:val="en-US" w:eastAsia="en-US" w:bidi="ar-SA"/>
        </w:rPr>
        <w:t xml:space="preserve"> at paras. 31 and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Do Process LP v. Infokey Software Inc.</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2015 BCCA 52</w:t>
        </w:r>
      </w:hyperlink>
      <w:r>
        <w:rPr>
          <w:rFonts w:ascii="arial" w:eastAsia="arial" w:hAnsi="arial" w:cs="arial"/>
          <w:color w:val="000000"/>
          <w:sz w:val="20"/>
          <w:lang w:val="en-US" w:eastAsia="en-US" w:bidi="ar-SA"/>
        </w:rPr>
        <w:t xml:space="preserve"> the parties were involved in copyright litigation. The parties had entered into an agreement dealing with the ownership of software. The defendants pleaded that they had signed the agreement under duress and without legal advice. There was evidence that one of the defendants had said that he had earlier received legal advice on the same subject matter as the agreement. The plaintiffs applied for production of documents relating to the legal advice arguing that privilege had been waived. The chambers judge found that there had been no waiver and concluded that the defendant had, at most, put in issue whether they had legal advice in relation to the agreement but that they had not put in issue the nature of the advice they had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plaintiffs appealed this finding. The appeal was allowed. The Court of Appeal concluded that the chambers judge had erred in failing to consider whether fairness and consistency in the litigation required that waiver be implied. Because the pleading referred to both duress and lack of legal advice, it put the defendants' state of mind into issue in such a way that fairness required disclosure. The chambers judge erred in concluding that there could be no deemed waiver unless the advice was received in relation to the agreement itself, given that the subject matter of the previous advice was an important term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Newbury J.A., for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It seems to me that in applying the legal description, or "test", enunciated by Hubbard, the chambers judge took an overly narrow view of the law respecting waiver - or again as Mr. Griffin contended, asked herself the wrong question. I say this for two reasons. First and most importantly, the Court did not consider whether the defendants' position was inconsistent with the maintenance of the privilege, or to put it another way, whether fairness and consistency in the litigation required that waiver be implied. Because the chambers judge concluded that legal advice received three years before the execution of the 2007 agreement was effectively irrelevant to implied waiver, i.e., that the defendants had not put in issue the nature of the advice Mr. Lounine "received or did not receive", she did not reach this stage of the analysis. But with respect, the defendants </w:t>
      </w:r>
      <w:r>
        <w:rPr>
          <w:rFonts w:ascii="arial" w:eastAsia="arial" w:hAnsi="arial" w:cs="arial"/>
          <w:color w:val="000000"/>
          <w:sz w:val="20"/>
          <w:u w:val="single"/>
          <w:lang w:val="en-US" w:eastAsia="en-US" w:bidi="ar-SA"/>
        </w:rPr>
        <w:t>had</w:t>
      </w:r>
      <w:r>
        <w:rPr>
          <w:rFonts w:ascii="arial" w:eastAsia="arial" w:hAnsi="arial" w:cs="arial"/>
          <w:color w:val="000000"/>
          <w:sz w:val="20"/>
          <w:lang w:val="en-US" w:eastAsia="en-US" w:bidi="ar-SA"/>
        </w:rPr>
        <w:t>, by pleading duress, put their state of mind in issue. In my view, this plea, together with the allegation of 'no legal advice', lead to the conclusion that if advice was received, fairness in the litigation requires that it be disclosed.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This is not to suggest that a person's general knowledge or understanding of a legal principle, obtained as the result of legal advice received in a different context, will necessarily or even usually be sufficient to result in deemed waiver. The advice must obviously be highly relevant to the litigation for the tests of "fairness and consistency" to overcome the important principle of solicitor-client confidentiality. In this instance, however, it appears the advice (assuming advice was obtained) related exactly to the central issue, or one of the central issues, of the case - Mr. Lounine's state of mind when he signed and returned the letter agreement in December, 2007.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Second, the chambers judge assumed that for waiver to be found, the advice in question must have been given regarding the December 2007 agreement specifically, rather than regarding a subject dealt with </w:t>
      </w:r>
      <w:r>
        <w:rPr>
          <w:rFonts w:ascii="arial" w:eastAsia="arial" w:hAnsi="arial" w:cs="arial"/>
          <w:color w:val="000000"/>
          <w:sz w:val="20"/>
          <w:u w:val="single"/>
          <w:lang w:val="en-US" w:eastAsia="en-US" w:bidi="ar-SA"/>
        </w:rPr>
        <w:t>in</w:t>
      </w:r>
      <w:r>
        <w:rPr>
          <w:rFonts w:ascii="arial" w:eastAsia="arial" w:hAnsi="arial" w:cs="arial"/>
          <w:color w:val="000000"/>
          <w:sz w:val="20"/>
          <w:lang w:val="en-US" w:eastAsia="en-US" w:bidi="ar-SA"/>
        </w:rPr>
        <w:t xml:space="preserve"> the agreement - the ownership of copyright and other rights in the Pro-Suite software. In my view this is not a distinction of principle. As the defendants seem to concede, advice regarding ownership of the Pro-Suite software - albeit received a few years earlier - would obviously be relevant to the state of Mr. Lounine's mind, including possible duress, when he signed the agreement. He himself had referred to it two weeks earlier in discussions with the plaintiffs. Whatever opinion he had received would affect the strength of his plea of duress (and may be relevant to the argument of 'no consideration' which counsel also intends to assert at trial.) If he had advice that he or Infokey did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hold copyright in the software, for example, the court might infer Mr. Lounine thought that he was conceding very little in signing the letter agreement or thought that he did not need further advice. As the defendants themselves stated in their factum: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a difference between saying, "I acted on my solicitor's (good or bad) advice in doing X," to answer, for example, a plea of bad faith and saying "I had no legal advice" as an adjunct to a plea of duress. In the former situation the advice may have been "don't do X" and unless the advice could be confirmed it would be unfair to the other party - hence a waiver of privilege must go to allow the challenge. In the latter case, </w:t>
      </w:r>
      <w:r>
        <w:rPr>
          <w:rFonts w:ascii="arial" w:eastAsia="arial" w:hAnsi="arial" w:cs="arial"/>
          <w:color w:val="000000"/>
          <w:sz w:val="20"/>
          <w:u w:val="single"/>
          <w:lang w:val="en-US" w:eastAsia="en-US" w:bidi="ar-SA"/>
        </w:rPr>
        <w:t>if a plea of duress were advanced and it turned out the party had the benefit of legal advice about the very situation at hand, it would without doubt seriously undermine or defeat entirely the plea of duress</w:t>
      </w:r>
      <w:r>
        <w:rPr>
          <w:rFonts w:ascii="arial" w:eastAsia="arial" w:hAnsi="arial" w:cs="arial"/>
          <w:color w:val="000000"/>
          <w:sz w:val="20"/>
          <w:lang w:val="en-US" w:eastAsia="en-US" w:bidi="ar-SA"/>
        </w:rPr>
        <w:t>, the essence of which is the inability to properly act in one's own interest.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Similar considerations apply in this case. The advice the plaintiffs received at earlier points in time, about possibly adding the Proposed Defendants to the action, is directly relevant to their state of mind both in relation to their knowledge and awareness of potential causes of action against the Proposed Defendants and in relation to the advice that they received in or after September,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conclusions I have expressed are strengthened by the submissions that were made by counsel for the plaintiffs at the application for the adjournment of the original trial date. In those statements, which are referred to at para. 22 of these Reasons for Judgment, counsel expressly referred to the legal advice that he had provided to the plaintiffs, at an earlier stage in the litigation, about whether or not the proposed defendants, or perhaps some of them, should be added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Those statements may constitute evidence, albeit not in affidavit form. Even if the statements are simply regarded as submissions to the court, such submissions can reveal legal advice and ground a waiver of the privilege attached to legal advice: </w:t>
      </w:r>
      <w:r>
        <w:rPr>
          <w:rFonts w:ascii="arial" w:eastAsia="arial" w:hAnsi="arial" w:cs="arial"/>
          <w:i/>
          <w:color w:val="000000"/>
          <w:sz w:val="20"/>
          <w:lang w:val="en-US" w:eastAsia="en-US" w:bidi="ar-SA"/>
        </w:rPr>
        <w:t>Blank</w:t>
      </w:r>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Yet another factor is relevant. In paragraphs 9, 17 and 18 of Mr. Kelly's May 9 affidavit he explains why Mr. Bromley was not examined for discovery earlier in the action and why that examination for discovery only took place after the trial was adjourned. Thereafter, at paragraphs 20-49 of his Affidavit, Mr. Kelly refers at considerable length to some of the evidence given by Mr. Bromley at his examination for discovery and to documents that were disclosed by Mr. Bromley at or after his discovery. All of this evidence is included in support of the plaintiffs' Joinder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question, again relevant on the Joinder Application, is why Mr. Bromley was not examined at an earlier time. Had he been examined at an earlier time the plaintiffs, at least arguably, would have been in possession of the information and facts that they now rely on in the Joinder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answer that is proffered by the plaintiffs is that a) based on "consultation with counsel" the plaintiffs had initially "determined that it was not necessary to conduct an examination for discovery of Mr. Bromley" (para. 9 of Mr. Kelly's Affidavit) and b) based on the "advice of counsel" after the further document disclosure of the defendants in September 2016 an appointment to discover Mr. Bromley was taken out (paras. 17 and 18 of Mr. Kelly's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 understood counsel for the plaintiffs to agree that privilege had been waived over the legal advice that was given to the plaintiffs, after September 16, about conducting a discovery of Mr. Bromley but not over the earlier advice or "consultation" to forgo that discovery. If I misunderstood counsel I would determine that the plaintiffs waived the privilege that was otherwise attached to the advice that they had received, after September 16, to conduct the discovery of Mr. Bromley. Specifically, the plaintiffs' state of mind was an issue, it is clear that the plaintiffs' received legal advice about whether to conduct an examination for discovery of Mr. Bromley and the plaintiffs rely on the legal advice they received to justify their conduct: </w:t>
      </w:r>
      <w:r>
        <w:rPr>
          <w:rFonts w:ascii="arial" w:eastAsia="arial" w:hAnsi="arial" w:cs="arial"/>
          <w:i/>
          <w:color w:val="000000"/>
          <w:sz w:val="20"/>
          <w:lang w:val="en-US" w:eastAsia="en-US" w:bidi="ar-SA"/>
        </w:rPr>
        <w:t>Soprema</w:t>
      </w:r>
      <w:r>
        <w:rPr>
          <w:rFonts w:ascii="arial" w:eastAsia="arial" w:hAnsi="arial" w:cs="arial"/>
          <w:color w:val="000000"/>
          <w:sz w:val="20"/>
          <w:lang w:val="en-US" w:eastAsia="en-US" w:bidi="ar-SA"/>
        </w:rPr>
        <w:t xml:space="preserve"> at para. 53. In such circumstances neither consistency nor fairness will allow them to maintain privilege over their communications with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would apply the same analysis to the earlier advice or "consultation" with counsel in relation to that same issue. First, by waiving privilege over the advice given after September 2016, about whether to conduct an examination for discovery of Mr. Bromley, the plaintiffs have waived privilege over earlier legal advice in relation to that same issue. Consistency and fairness, in the circumstances of this case, require this. It would be wrong and unfair for the plaintiffs to seek to explain their late discovery of Mr. Bromley with reference to the legal advice they received and to seek to insulate earlier advice they received about the same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Second, and on an independent basis, I consider that the plaintiffs waived privilege, in paragraph 9 of Mr. Kelly's Affidavit, over their early communications with counsel about undertaking an examination for discovery of Mr. Bromley. I do not consider that the word "consultation" changes anything. A "consultation" between a lawyer and a lay person about whether to conduct an examination for discovery of a person must necessarily be in the nature of legal advice. Furthermore, a client's "determination" or decision following the receipt of legal advice or a legal "consultation" is intended to communicate that the client considered or relied on the advice it received. Why would the plaintiffs otherwise refer to their "consultation" with counsel? It was open to them to simply say they decided not to examine Mr. Bromley for discovery. They chose not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Accordingly, I direct that the plaintiffs disclose all materials or communication or advice from the files of their solicitors that relate to a) the initial identification and selection of defendants in this action, b) the joinder or potential joinder of additional parties to the action and c) the examinations for discovery of either Mr. Bromley or his company E-Pro.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2: Disclosure of the documents and files of Cox Taylor and Mr. Alexander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As part of this action, the plaintiffs are claiming for their legal costs incurred in other actions including proceedings before the Environmental Appeal Board, judicial reviews of that decision, related appeals and potentially other actions. Mr. John Alexander of Cox Taylor had or has conduct of these various matters. The plaintiffs have advised all parties that they intend to call Mr. Alexander as a witness at trial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Pursuant to a Case Plan Order in this action, dated July 7, 2015, the plaintiffs were required to "list and produce all documents requested to date including: the files of the plaintiffs' counsel, John Alexander, so far as it pertains to the plaintiffs' claim for damages in respect of extra costs incurred at an Environmental Appeal Board Hearing" by August 31,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August 14, 2015 counsel for the plaintiffs wrote all parties and advised that Mr. Alexander's file "is extremely large, occupying ... nine shelves in his office and is in its size inappropriate for copying. Mr. Alexander has agreed that counsel who wish to review his file may, by appointment, attend at his office and review the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August 31, 2015 Mr. Alexander wrote a letter to counsel for the plaintiffs in this action setting out the evidence that he intends to give at trial. The plaintiffs have made some modest disclosure of Mr. Alexander's files. They have not, however, for example, disclosed his time records. The primary basis on which this aspect of the 0848's application is opposed is that Mr. Alexander was not served and that he should be a party to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This matter should be straightforward. The plaintiffs intend to seek to recover the costs of various legal proceedings. It is their obligation, under Rule 7-1, to list and disclose all documents that are material to this aspect of their claim. Furthermore, the documents held at Cox Taylor are documents that belong to the plaintiffs. Certainly they are documents in the plaintiffs' "control". There is no suggestion otherwise in the material before me nor did counsel for the plaintiffs suggest otherwise. To the extent that Mr. Alexander has any interest in these documents he had waived that interest by making them available for inspection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At the same time, disclosure under the Case Plan Order or under Rule 7-1 does not necessarily require disclosure and production of nine shelves of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There is both a practical and a principled solution to this specific aspect of the application. The Cox Taylor files are available for inspection by the defendants. At a pragmatic level it is open to the defendants to inspect those files, identify what documents they consider material/relevant and request that those documents be listed and produced. This would be efficient. It would obviate ongoing discussion and debate between the parties about whether what had been produced by the plaintiffs was adequate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Conversely it is open to the defendants, on a purely principled basis, to insist, both on the basis of the Case Plan Order and Rule 7-1, that the plaintiffs make proper disclosure of the documents in their possession or control that relate to this aspect of their claim. If that disclosure is inadequate, Rule 7-1(11) and the relevant authorities provide ample guidance on how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form of order presently sought by 0848 is overly broad. This is a relatively straightforward matter in respect of which an order already exists though the Case Plan Order, on its face, only extends to an Environmental Appeal Board Hearing and not to other actions. Counsel for both parties are experienced and knowledgeable. I would direct that counsel for the plaintiffs, in the absence of any other agreement, deliver a further list of documents, within 30 days, that complies with the Case Plan Order and the plaintiffs' disclosure obligations under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3: Production of the Active Earth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0848 seeks an order that:</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deliver all documents in their possession in relation to their relationship with Active Earth Engineering Ltd., and any of its principals, including any documents that relate to the joint operation of a contaminated soil facility;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communications, including e-mails between the principles of the plaintiffs, and their counsel, and the principals of Active Earth, that relate to either the joint operation of a contaminated site or to the identification of potential defendants in the within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David Mitchell, a professional engineer and principal of Active Earth has prepared an expert report on behalf of the plaintiffs in this action. Mr. Pye is a director of Active Earth.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Shawnigan Residents Association v. British Columbia (Director, Environmental Management Act)</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2017 BCSC 107</w:t>
        </w:r>
      </w:hyperlink>
      <w:r>
        <w:rPr>
          <w:rFonts w:ascii="arial" w:eastAsia="arial" w:hAnsi="arial" w:cs="arial"/>
          <w:color w:val="000000"/>
          <w:sz w:val="20"/>
          <w:lang w:val="en-US" w:eastAsia="en-US" w:bidi="ar-SA"/>
        </w:rPr>
        <w:t xml:space="preserve"> Mr. Justice Sewell commented on the relationship between Active Earth and the plaintiffs and said,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[135] I have no difficulty in finding that Active Earth had an ownership interest of some sort in the Facility. The objective evidence can lead to no other rational conclusion.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[140] These numbered companies entered into an agreement with CHH and SIA on February 14, 2013 (the "February 2013 Agreement")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[141] The recitals to the February 2013 Agreement set out the ownership structure of the Facility: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[143] ... there is ample evidence in the record to show that the principals of Active Earth and the principals of CHH considered that they were parties to a joint venture or partnership for the construction, permitting and operation of the Facility.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[144] It is clear that at the very least the parties were in the position of jointly pursuing the business opportunity represented by the Facility and that Active Earth was providing its engineering services as part of that pursuit.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[173] ... In fact, the engineering work of Active Earth, including its work product as Qualified Professional, was not being done on a fee for service basis, but as Active Earth's equity contribution to the joint venture that it was agreed would be the entity operating the Facility and earning income from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[175] I am satisfied that the Board was misled about the true nature of the relationship between Active Earth and CHH and the fact that Active Earth's principals were partners in the proposed Facility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[183] I need not review the extensive cross-examination of Mr. Pye, Mr. Block and Mr. Kelly. I think it sufficient to say that all three acknowledged that the underlying arrangement called for Active Earth or some entity representing its principals to perform the engineering work required for the Facility in exchange for a 50% interest in the business operating the Facility.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[184] CHH's lack of candour in these proceedings reinforces my view that the interests of justice require that the Decision be set aside and the matter remitted to the Board for reconsideration in light of the fresh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plaintiffs argue that Justice Sewell was mistaken in his conclusions and that there is additional relevant information that he did not have access to. Be that as it may, the documents being sought by the defendants are material and the reasons for judgment of Sewell J., at a minimum, provide a sufficient basis to ground this aspect of the application. I also note that the defendants only seek documents "in the possession" of the plaintiffs that relate to their relationship with Active Earth. If Mr. Mitchell is to provide expert evidence on behalf of the plaintiffs then the defendants are entitled to know what commercial or other relationships exist between the plaintiffs and Active Earth. That information will be directly relevant to whether Mr. Mitchell is in a position to provide helpful and unbiased expert evidence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There is a second reason that these materials are relevant. Some of the documents that were provided to me suggest that the principals of Active Earth were providing information to the plaintiffs, in 2010 and 2011, about the roles and interrelationships of the defendants and the Proposed Defendants. These documents are relevant to the limitation issues and to the Joinder Application that I have discussed. I am satisfied that they too should be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am satisfied that the forms of order being sought by the defendants, in relation to this aspect of the application are appropriate. I consider that 30 days is a reasonable timeframe within which these documents can be assembled and listed.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Finally, I consider that the Applicants should have their costs of these various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P.G. VOITH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9"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5"/>
          <w:headerReference w:type="default" r:id="rId36"/>
          <w:footerReference w:type="even" r:id="rId37"/>
          <w:footerReference w:type="default" r:id="rId38"/>
          <w:headerReference w:type="first" r:id="rId39"/>
          <w:footerReference w:type="first" r:id="rId4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1" w:history="1">
        <w:r>
          <w:rPr>
            <w:rFonts w:ascii="arial" w:eastAsia="arial" w:hAnsi="arial" w:cs="arial"/>
            <w:b/>
            <w:bCs/>
            <w:i/>
            <w:color w:val="0077CC"/>
            <w:kern w:val="32"/>
            <w:sz w:val="28"/>
            <w:szCs w:val="32"/>
            <w:u w:val="single"/>
            <w:shd w:val="clear" w:color="auto" w:fill="FFFFFF"/>
            <w:lang w:val="en-US" w:eastAsia="en-US" w:bidi="ar-SA"/>
          </w:rPr>
          <w:t>1043325 Ontario Ltd. v. CSA Building Sciences Western Ltd., [2014] B.C.J. No. 1375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J.S. Sigurdson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29-31, November 1,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December 2-5, 9-10, 12-13, 16-19,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30,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S118825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1375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1197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1043325 Ontario Ltd., Petitioner, and CSA Building Sciences Western Ltd., Ralph Jeck and Maria Jeck,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(292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0"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 w:name="Keywords_0"/>
      <w:bookmarkEnd w:id="7"/>
      <w:r>
        <w:rPr>
          <w:rFonts w:ascii="arial" w:eastAsia="arial" w:hAnsi="arial" w:cs="arial"/>
          <w:b/>
          <w:color w:val="000000"/>
          <w:sz w:val="20"/>
          <w:lang w:val="en-US" w:eastAsia="en-US" w:bidi="ar-SA"/>
        </w:rPr>
        <w:t>Corporations, partnerships and associations law — Corporations — Oppression remedy — Grounds — Oppressive or unfairly prejudicial conduct — Powers of the court — Purchase of securities — Application by petitioner for oppression remedy allowed — Petitioner was 44 per cent minority shareholder of respondent company — Respondent Jeck was sole director and 56 per cent majority shareholder — Failure to provide audited financial statements or hold meetings, misleading information about company's performance and high management fees were cumulatively contrary to reasonable expectations of both shareholders — Respondents were to purchase petitioner's shares.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 w:name="Case Summary_0"/>
            <w:bookmarkEnd w:id="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petitioner for an oppression remedy. The petitioner was the 44 per cent minority shareholder of the respondent company, a building envelope business. The respondent Jeck was the sole director and 56 per cent majority shareholder. The petitioner claimed that Jeck failed to provide audited financial statements or disclose financial information, failed to hold shareholders' meetings, forged the signature of the petitioner's principal on shareholders' resolutions purporting to waive the requirement for the statements and meetings and took excessive management fees. The petitioner failed to maintain its corporate status for approximately the latter half of the relevant period.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 w:name="Holdings of Court_0"/>
            <w:bookmarkEnd w:id="9"/>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company for several years failed to provide audited financial statements or hold meetings as required and the purported waiver of the requirement was ineffective. The petitioner's principal did not authorize Jeck to affix the principal's signature to the shareholders' resolutions. Jeck was not entitled to rely on the fact that audits or meetings were waived in the past to conclude that they would be waived in the future. The petitioner's principal allowed the petitioner's registration to lapse because he believed that the company was performing at only a very modest level, as he did not have the financial information and Jeck told him that the company was just "muddling along" even though it was doing quite well. While the average income of $326,156 that Jeck awarded himself was quite high, given his majority interest and ability to benefit from it if the company did well, the amount was not so high that, in and of itself, it was oppressive, but it was a factor that was taken into account in considering whether there was oppression. The claim was not statute-barred, considering Jeck's representations about the company's performance and forging of the shareholders' resolutions. The failure to provide audited financial statements was a continuing breach. The failure to provide audited financial statements or hold meetings, the misleading information about the company's performance and the high management fees were cumulatively contrary to the reasonable expectations of both shareholders. The respondents were to purchase the petitioner's shares. Although the respondents had now provided financial statements, it was not possible for the petitioner to retain any confidence in Jeck.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 w:name="Legislation Cited_0"/>
      <w:bookmarkEnd w:id="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1"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Business Corporations Act, </w:t>
      </w:r>
      <w:hyperlink r:id="rId42" w:history="1">
        <w:r>
          <w:rPr>
            <w:rFonts w:ascii="arial" w:eastAsia="arial" w:hAnsi="arial" w:cs="arial"/>
            <w:i/>
            <w:color w:val="0077CC"/>
            <w:sz w:val="20"/>
            <w:u w:val="single"/>
            <w:shd w:val="clear" w:color="auto" w:fill="FFFFFF"/>
            <w:lang w:val="en-US" w:eastAsia="en-US" w:bidi="ar-SA"/>
          </w:rPr>
          <w:t>R.S.O. 1990, c. B.16, s. 241</w:t>
        </w:r>
      </w:hyperlink>
      <w:r>
        <w:rPr>
          <w:rFonts w:ascii="arial" w:eastAsia="arial" w:hAnsi="arial" w:cs="arial"/>
          <w:color w:val="000000"/>
          <w:sz w:val="20"/>
          <w:lang w:val="en-US" w:eastAsia="en-US" w:bidi="ar-SA"/>
        </w:rPr>
        <w:t>(5)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Business Corporations Act, </w:t>
      </w:r>
      <w:hyperlink r:id="rId43" w:history="1">
        <w:r>
          <w:rPr>
            <w:rFonts w:ascii="arial" w:eastAsia="arial" w:hAnsi="arial" w:cs="arial"/>
            <w:i/>
            <w:color w:val="0077CC"/>
            <w:sz w:val="20"/>
            <w:u w:val="single"/>
            <w:shd w:val="clear" w:color="auto" w:fill="FFFFFF"/>
            <w:lang w:val="en-US" w:eastAsia="en-US" w:bidi="ar-SA"/>
          </w:rPr>
          <w:t>SBC 2002, CHAPTER 57, Part 6, s. 227</w:t>
        </w:r>
      </w:hyperlink>
      <w:r>
        <w:rPr>
          <w:rFonts w:ascii="arial" w:eastAsia="arial" w:hAnsi="arial" w:cs="arial"/>
          <w:color w:val="000000"/>
          <w:sz w:val="20"/>
          <w:lang w:val="en-US" w:eastAsia="en-US" w:bidi="ar-SA"/>
        </w:rPr>
        <w:t>(2), s. 227(2)(a), s. 227(2)(b), s. 227(3), s. 227(3)(a), s. 227(3)(h), s. 227(4), s. 232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Canada Business Corporations Act, </w:t>
      </w:r>
      <w:hyperlink r:id="rId44" w:history="1">
        <w:r>
          <w:rPr>
            <w:rFonts w:ascii="arial" w:eastAsia="arial" w:hAnsi="arial" w:cs="arial"/>
            <w:i/>
            <w:color w:val="0077CC"/>
            <w:sz w:val="20"/>
            <w:u w:val="single"/>
            <w:shd w:val="clear" w:color="auto" w:fill="FFFFFF"/>
            <w:lang w:val="en-US" w:eastAsia="en-US" w:bidi="ar-SA"/>
          </w:rPr>
          <w:t>R.S.C. 1985, c. C-44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CHAPTER 266, s. 6, s. 6(3)(e)</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 w:name="Counsel_0"/>
      <w:bookmarkEnd w:id="1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2"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 Robert S. Fleming.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Respondents: Michael B. Morgan, Lauren E. Cook.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 w:name="Judgment_0"/>
      <w:bookmarkEnd w:id="12"/>
      <w:r>
        <w:pict>
          <v:line id="_x0000_s1033" style="position:absolute;z-index:2518128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 w:name="J.S. SIGURDSON J."/>
            <w:bookmarkEnd w:id="13"/>
            <w:r>
              <w:rPr>
                <w:rFonts w:ascii="arial" w:eastAsia="arial" w:hAnsi="arial" w:cs="arial"/>
                <w:b/>
                <w:color w:val="000000"/>
                <w:sz w:val="30"/>
                <w:lang w:val="en-US" w:eastAsia="en-US" w:bidi="ar-SA"/>
              </w:rPr>
              <w:t>J.S. SIGURDSON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 claim brought by the petitioner under s. 227(2)(a) and (b)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BCA</w:t>
      </w:r>
      <w:r>
        <w:rPr>
          <w:rFonts w:ascii="arial" w:eastAsia="arial" w:hAnsi="arial" w:cs="arial"/>
          <w:color w:val="000000"/>
          <w:sz w:val="20"/>
          <w:lang w:val="en-US" w:eastAsia="en-US" w:bidi="ar-SA"/>
        </w:rPr>
        <w:t>"), alleging that the respondents, Ralph Jeck and CSA Building Sciences Western Ltd. ("CSA Western"), have conducted the affairs of that company in a manner that is oppressive and unfairly prejudicial to the petitioner.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petitioner, 1043325 Ontario Ltd., is a numbered Ontario company (the "Ontario numbered company") whose sole asset is its 44% minority shareholding in the respondent CSA Western, a building envelope business. Christian Skene is the principal of the petitioner. He is a retired professional engineer living in North Carolina.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Jeck is the sole director of CSA Western and the majority 56% shareholder. He operates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petition also included claims that corporate profits were inappropriately received by Mr. Jeck and his wife Maria Jeck, and that they acquired various properties with those funds (the claim against Maria Jeck has been adjourned pending the findings in this case). In the alternative, the petitioner seeks leave to commence a derivative action on behalf of the company for the recovery of "divested company profits" and other alleged wrongs by the Jecks to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these reasons, when I refer to the respondents, unless otherwise indicated, it is a reference to CSA Western and Mr. Jeck, but not Mrs. Jeck.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petition was amended in November 2012 during the hearing to claim oppressive conduct by the alleged forgery of engineering documents and shareholders' resolutions by the respondents.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Skene says that Mr. Jeck has treated the petitioner oppressively by operating CSA Western as his sole proprietorship and ignoring the interests of the minority shareholder. The petitioner alleges that Mr. Jeck has taken excessive management fees, failed to provide audited financial statements or disclose any financial information for many years, failed to hold shareholders' or officers' meetings, and improperly had CSA Western guarantee the debts of Mr. Jeck's wife. The petitioner also alleges that Mr. Jeck improperly took a corporate opportunity to acquire the property where the company carried on business, failed to disclose a conflict of interest arising from the ownership of the business premises, and diverted a further corporate opportunity of CSA Western to CSA Analytics and Testing Ltd. ("CS Analytics"), a company owned by the Jecks. Moreover, the petitioner alleges that the majority shareholder forged Mr. Skene's signature on shareholders' resolutions purportedly waiving the requirement for audited financial statements and shareholders' meetings, forged his signature on engineering documents, and took steps in this litigation that made it onerous for the petitioner to assert its legal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respondents deny that Mr. Jeck has acted oppressively and say that the company's affairs were conducted legally and in accordance with the reasonable expectations of the parties. The respondents say that management fees paid to Mr. Jeck were neither excessive nor beyond the reasonable expectations of the shareholders. They say that financial information was in fact provided to the petitioner, no audit was expected by the parties, and the respondents conducted the financial affairs of the company both within their legal rights and within the reasonable expectations of the parties. Mr. Jeck contends that any non-production by the company of audited statements was waived by the petitioner or historically was not required by the petitioner, and that management fees were authorized by a board of directors which, as expected by the shareholders, was made up of only the majority shareholder. Mr. Jeck denies that when Mr. Skene's signature was affixed to resolutions or engineering documents, that it was done without the consent of the principal of the minority shareholder. The respondents say that the petitioner never availed itself of the provisions of the </w:t>
      </w:r>
      <w:r>
        <w:rPr>
          <w:rFonts w:ascii="arial" w:eastAsia="arial" w:hAnsi="arial" w:cs="arial"/>
          <w:i/>
          <w:color w:val="000000"/>
          <w:sz w:val="20"/>
          <w:lang w:val="en-US" w:eastAsia="en-US" w:bidi="ar-SA"/>
        </w:rPr>
        <w:t>BCA</w:t>
      </w:r>
      <w:r>
        <w:rPr>
          <w:rFonts w:ascii="arial" w:eastAsia="arial" w:hAnsi="arial" w:cs="arial"/>
          <w:color w:val="000000"/>
          <w:sz w:val="20"/>
          <w:lang w:val="en-US" w:eastAsia="en-US" w:bidi="ar-SA"/>
        </w:rPr>
        <w:t xml:space="preserve"> to call a meeting of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Moreover, the respondents say that the petitioner is over-reaching and inappropriately seeking to bring claims in an oppression proceeding that include personal claims of the shareholder, not claims </w:t>
      </w:r>
      <w:r>
        <w:rPr>
          <w:rFonts w:ascii="arial" w:eastAsia="arial" w:hAnsi="arial" w:cs="arial"/>
          <w:i/>
          <w:color w:val="000000"/>
          <w:sz w:val="20"/>
          <w:lang w:val="en-US" w:eastAsia="en-US" w:bidi="ar-SA"/>
        </w:rPr>
        <w:t>qua</w:t>
      </w:r>
      <w:r>
        <w:rPr>
          <w:rFonts w:ascii="arial" w:eastAsia="arial" w:hAnsi="arial" w:cs="arial"/>
          <w:color w:val="000000"/>
          <w:sz w:val="20"/>
          <w:lang w:val="en-US" w:eastAsia="en-US" w:bidi="ar-SA"/>
        </w:rPr>
        <w:t xml:space="preserve"> shareholder, and derivative claims available only to the company, neither of which are oppression-related claims that could properly be brought by the petitioner. In that respect, the respondents say that the claim for excessive management fees, the guarantee provided for Maria Jeck's loan, the purchase of the company's business premises, the collection of rent from the company and the diversion of business to CS Analytics are derivative claims only. The respondents further allege that the claim for the forgery of the engineering documents is a personal one only, not a claim of the petitioner. The respondents say that oppression proceedings are not to be used simply as a vehicle for a disgruntled shareholder to get paid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respondents say that the alleged grounds of oppression must be analyzed individually, not cumulatively as the petitioner alleges. When this is done, the respondents submit that none of the proven allegations amount to oppressive conduct, which is something that requires a wrong of the most serious sort. With respect to remedy, the respondents say that the buyout sought by the petitioner is not appropriate as it goes far beyond what is necessary to remedy any matters complained of in the petition, should any of them be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respondents say that many issues of which the petitioner complains arose from the petitioner's failure to maintain its corporate status -- a fact that affects its reasonable expectation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Overall, the respondents say that to the extent there is any merit to the petitioner's claims, they are statute-barred as outside the six year limitation period, they were not brought in a timely manner as required by the </w:t>
      </w:r>
      <w:r>
        <w:rPr>
          <w:rFonts w:ascii="arial" w:eastAsia="arial" w:hAnsi="arial" w:cs="arial"/>
          <w:i/>
          <w:color w:val="000000"/>
          <w:sz w:val="20"/>
          <w:lang w:val="en-US" w:eastAsia="en-US" w:bidi="ar-SA"/>
        </w:rPr>
        <w:t>BCA</w:t>
      </w:r>
      <w:r>
        <w:rPr>
          <w:rFonts w:ascii="arial" w:eastAsia="arial" w:hAnsi="arial" w:cs="arial"/>
          <w:color w:val="000000"/>
          <w:sz w:val="20"/>
          <w:lang w:val="en-US" w:eastAsia="en-US" w:bidi="ar-SA"/>
        </w:rPr>
        <w:t>, or the defence of laches applies. In addition, the respondents' position with respect to the claims they allege are properly derivative only is that they are without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Brief Procedural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petition was launched on December 22, 2011. Following the filing of numerous affidavits and the cross-examinations of Mr. Skene and the Jecks on their affidavits, the matter came on for hearing in October 2012. The petition was partly heard and an expert witness was cross-examined, but the hearing was adjourned following certain amendments by the petitioner to plead grounds of forgery of engineering reports and resolutions as oppressive conduct. Following the production of documents relevant to the forgery issue, the hearing of the petition reconvened in December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Basic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will outline the basic facts and describe the areas of dispute before I discuss the various issues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key figures in this litigation are Mr. Skene and Mr. Jeck.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Skene is a professional engineer. He is now 83 years old and presently resides in North Carolina.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Jeck is a younger man, now in his early 60s, who before working with Mr. Skene, had a background in high-end construction and in landscaping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Since the mid-1970s Mr. Skene had been carrying on business as "CS Associates" and had incorporated CSA Building Sciences Ltd. in the 1980s which had offices in Vancouver, Toronto, Ottawa, and Montreal and engaged in a similar business to CSA Western. He also incorporated CSA Building Sciences International Ltd. Mr. Jeck met Mr. Skene and worked with him since 1988 in Mr. Skene's business in Vancouver prior to the incorporation of CSA Western. The Vancouver office closed by November 1992, along with the other CSA offices.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subject company, CSA Western, is a consulting engineering firm in the building envelope business. CSA Western was incorporated in 1993 by Mr. Jeck. Although the precise circumstances leading to the incorporation, including the initial contributions of the principals to CSA Western, are in dispute, I find that they need not be resolved to decide the issues in this case. What is important is that it was agreed Mr. Jeck was the majority shareholder, having received 56 shares to Mr. Skene's 44 shares (at some point Mr. Skene put his shares into the petitioner Ontario numbered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There has never been a formal shareholders' agreement between the shareholders of CSA Western.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its incorporation, CSA Western continued to conduct business with the prior clients of CSA Building Sciences Ltd. and CSA Building Sciences International Ltd. Mr. Jeck also brought in a book of business of his own and provided working capital with the assistance of his mother. The nature of the building envelope work done by the company required that CSA Western have on staff the services of a professional engineer, and Mr. Jeck was not an engineer. As a matter of course in the company's business, it requires plans and other documents to be signed or stamped by a professional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Skene provided some professional engineering work to CSA Western over its first decade but the company also employed in-office professional engineers from time to time, and in 1998 CSA Western hired Eric Lofgren as an engineer-in-training. He later became a registered professional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1998 Mr. Jeck married Maria Jeck and Mr. Skene attended their wedding.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Jeck, it appears, worked hard and was industrious. Mr. Skene lived outside British Columbia and was not regularly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appears, at least initially, that engineering documents for company projects which required Mr. Skene's signature as an engineer were sent to him. That only lasted for a period of time, but the length of that time is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Earlier in 2003, Mr. Skene was involved in a practice review by the Association of Professional Engineers and Geoscientists of BC ("APEGBC"), the engineering regulatory body. Although there is a dispute about the extent of Mr. Skene's involvement in the business of CSA Western, it appears at the latest by about 2004 Mr. Skene was no longer practicing as an engineer in British Columbia and by the end of 2004 his status in British Columbia with the APEGBC had changed to non-practicing.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After 2004 at the latest, it appears to be common ground between the parties that Mr. Skene had little if any involvement in the day-to-day operations of CSA Western. That year, Maria Jeck purchased from Jim Ferrie 50% of the interest in the business premises out of which the company carries on business. Mr. Jeck had previously bought the building with Mr. Ferrie in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Although the informal communication between the parties through the years is relevant, in this proceeding much focus was on the dealings between Mr. Jeck and Mr. Skene in the period 1998-2004. Because the petition was not launched until December 2011, and some amendments were not made until November 2012, there is an issue about whether some of the complaints that arise in this time period (1998-2004) are not timely as required by the </w:t>
      </w:r>
      <w:r>
        <w:rPr>
          <w:rFonts w:ascii="arial" w:eastAsia="arial" w:hAnsi="arial" w:cs="arial"/>
          <w:i/>
          <w:color w:val="000000"/>
          <w:sz w:val="20"/>
          <w:lang w:val="en-US" w:eastAsia="en-US" w:bidi="ar-SA"/>
        </w:rPr>
        <w:t>BCA</w:t>
      </w:r>
      <w:r>
        <w:rPr>
          <w:rFonts w:ascii="arial" w:eastAsia="arial" w:hAnsi="arial" w:cs="arial"/>
          <w:color w:val="000000"/>
          <w:sz w:val="20"/>
          <w:lang w:val="en-US" w:eastAsia="en-US" w:bidi="ar-SA"/>
        </w:rPr>
        <w:t xml:space="preserve"> or are statute-barred by reason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At the outset of the proceeding when the affidavits were initially exchanged, an issue arose about the extent of the contribution of each of the principals to the company. Mr. Jeck suggested Mr. Skene's contribution was minimal. The respondents introduced evidence of the existence of complaints from some former employees and suggested that they indicated Mr. Skene was absent from the company when he ought to have been mentoring engineers-in-training.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petitioner obtained affidavits from the above employees, the Kennedys. They had filed a complaint to the APEGBC in 2006 to the effect that while they worked at CSA Western, and when Mr. Skene was absent, documents went into Mr. Jeck's office and came out bearing the engineer's signature and professional stamp. The suggestion in the complaint was that Mr. Jeck, a non-engineer, and not Mr. Skene, the professional engineer, was affixing the signature and stamp of Mr. Skene.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During 2006 and 2007, counsel for Mr. Skene and other counsel for CSA Western responded to the investigation by the APEGBC. During the APEGBC inquiry into the Kennedys' complaint, Mr. Skene, through his counsel Mr. Bain, advised the professional society that the complaint was without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During this current litigation, however, Mr. Skene amended his pleadings to now allege that his signatures on engineering reports and documents (referred to by the petitioner as "process documents") were forged by Mr. Jeck. Mr. Skene says that he came to this realization contrary to his earlier belief when he found out that shareholders' resolutions purportedly bearing his signature were forged. Mr. Jeck's position, ultimately, was that he affixed Mr. Skene's signature to engineering documents and resolutions but did so with Mr. Skene's consent. Mr. Skene denies granting that consent and says that his position in response to the Kennedys' complaint was contradictory to his present position because he believed Mr. Jeck at the time of the complaint had not forged his signature.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By reason of the amendment to the pleadings in 2012, Mr. Skene now asserts that the forgery of his signature and application of his professional engineering stamp without his consent are part of the respondents' oppressive conduct. The allegation that shareholders' resolutions were forged was a live issue earlier and formed part of Mr. Skene's complaint and his counsel's cross-examination about the respondents not providing financial information or holding shareholder meetings.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2006 complaint by the Kennedys, and Mr. Skene's involvement in it, is also relevant because it touches on whether Mr. Skene had knowledge before 2012 that his signature and stamp were being improperly affixed to engineering documents by Mr. Jeck. If that claim is otherwise out of time, the state of Mr. Skene's knowledge or means of knowledge regarding the improper affixation of his signature and stamp by Mr. Jeck bears on his entitlement to postpone the limitation period, or to assert that the ground of oppression is brought in a timely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Skene now says that there were few engineering documents signed by him in the year 2000 or thereafter, something Mr. Jeck says contradicts his position during the investigation of the Kennedy complaint by the APEGBC.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summary, the circumstances surrounding the APEGBC investigation and the positions taken at the time by the parties to this litigation are relevant on a number of levels: first, they are relevant to some of the allegations of oppressive conduct (i.e. the signing of Mr. Skene's name and affixation of his stamp without his consent); second, they are relevant to the issue of credibility between the main participants to this litigation; and third, they may also relate to the limitation defence or timeliness defence, or whether Mr. Skene is entitled to the postponement of the limitation period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Skene initially registered the petitioner, the Ontario numbered company, in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However, by March 2004 the petitioner, whose only asset is its shares in CSA Western, had failed to file its required reports and tax returns, although it apparently earned no income, and in 2006 it was struck from the Ontario corporate registry and remained struck until 2011 when it was reinstated by Mr. Skene. I expect it was a relatively straightforward matter to have the petitioner reinstated.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There is an issue whether, during the years starting in 2002 or 2004, before the Ontario numbered company was struck, and ending in 2011, the respondents provided financial information about CSA Western to the petitioner. Mr. Skene says that he was not provided that information, and that he was only told by Mr. Jeck during their occasional semi-annual discussions that the company was "muddling along" and only "able to keep its head above water". The alleged failure to hold meetings, provide audited or any financial statements, or obtain a proper waiver of those requirements is at the heart of the corporate governance aspect of this oppression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evidence at the hearing showed that contrary to the information Mr. Skene says he was receiving, the company was in fact doing well in the first decade of this century. While the revenue of the company grew from $71,530 in 1993 to $623,475 in 2000, it continued on that course and grew from $525,579 in 2001 to $1,459,263 in 2011. In 2012 the gross income of the company was $1,079,912.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respondents deny taking steps to deprive the petitioner of financial information. Mr. Jeck says he assumed it had been provided and that at the least the petitioner was aware of retained earnings in the company of $227,541 as of 2004 (a slightly higher figure than 2002). The position of the respondents is that the petitioner essentially abandoned any interest in the company and took no steps, notwithstanding the efforts of the respondents to have the Ontario numbered company restored to the corporate registry in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However, the petitioner says the respondents not only failed to provide financial statements but that Mr. Jeck also forged Mr. Skene's name on shareholders' resolutions between the years 2002 and 2006 that purported to waive the requirement for audited financial statements and shareholders' meetings.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will discuss the communications between the shareholders during this period, whether audited financial statements were required, and whether there was an explicit or implicit waiver of audited financial statements and shareholders' meetings.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January 2008, during the time that the Ontario numbered company was struck from the Ontario registry, Mr. Jeck authorized CSA Western to grant an unlimited guarantee of the personal debts of Mr. and Mrs. Jeck to the Toronto Dominion Bank. He caused CSA Western to grant an unlimited guarantee to the Toronto Dominion Bank of Mrs. Jeck's liability on her mortgage for the business premises of the company at Fawcett Road in Coquitlam (as previously stated, in 1997 Mr. Jeck and Mr. Jim Ferrie purchased the business premises which are rented by CSA Western; in 2004 Mrs. Jeck purchased Mr. Ferrie's interest, which transfer was registered in 2008). The guarantee granted by CSA Western was never called on by the bank and has since been discharged.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February 2010, Mr. Jeck's advisor sent a letter offering to purchase the petitioner's shares for $10,000 less the cost of reinstating the Ontario numbered company to the Ontario corporate registry. Mr. Skene called and asked Mr. Jeck for a copy of all the financial statements "since I last attached a signature to a financial statement". Mr. Jeck sent Mr. Skene the 2003-2008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September 2011, the Ontario numbered company was restored to the corporate registry in Ontario. In late December 2011 the petitioner commenced this proceeding alleging oppressive conduct on a number of grounds including,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 audited financial statements had not been prepared since 2000; that there had been a failure to disclose any information at all about the financial position of the company during the period 2002 to August 2010; that the company had failed to hold any officers' or shareholders' meetings since at least 2000; that all management fees over seven years were unauthorized; that Mr. Jeck unlawfully caused CSA Western to grant an unlimited guarantee to the Toronto Dominion Bank of the personal debts of Mr. and Mrs. Jeck; and that Mr. Jeck and Mrs. Jeck had wrongfully appropriated to themselves a corporate opportunity in acquiring the business premises of the company in 1997 and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No shareholders' meetings had taken place between 2001 and 2012 until June 2012, when the annual general meeting of CSA Western was held and subsequently audited financial statements were provided in 2013 for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hearing of the petition in this proceeding was set down for September 2012. There had been some cross-examination of Mr. Skene and Mr. and Mrs. Jeck on their affidavits.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At the hearing on October 31 and November 1, 2012 there was cross-examination by the respondents' counsel of an expert handwriting witness who was testifying about the validity of the signatures of Mr. Skene that appeared on corporate resolutions purporting to waive meetings and the requirement for audited statements. The case, only partly heard, was then adjourned following amendments to plead, as grounds of oppression, forgeries of Mr. Skene's signature in connection with engineering reports in the period 1999 to 2003 (those dates were later amended) and as well as on shareholders' resolutions in the period 2002 to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respondents' amended response asserted as follows (para. 26(i)-(j)):</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Jeck never signed Mr. Skene's name or forged Mr. Skene's signature on the shareholder resolutions between 2002-2006. Rather, Mr. Jeck believed that the signatures on the shareholder resolutions were valid signatures and the Respondents relied on the shareholder resolutions between 2002-2006 as waiving the appointment of an auditor.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Jeck never signed Mr. Skene's name, or applied his professional engineering stamp, to CSA Western engineering reports between 1999 and 2003 without the knowledge and consent of Mr. Skene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a subsequent amendment to the petition response in November of 2013, the respondents modified the dates of the CSA Western engineering reports, referred to above, to between 1998 and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After the hearing in 2012 was adjourned following the amendments by the petitioner, the respondents produced, pursuant to a direction of the court, numerous company files that apparently contained documents purportedly with Mr. Skene's signature. The respondents in total produced 26 boxes containing 222 files and over 50,000 pages. Mr. Skene deposed that he spent over eight days reviewing the files and identified documents that he said did not contain his true signature. The petitioner then filed a further affidavit from a handwriting expert in support of its allegation of forgery in connection with the engineering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further amended petition sought an order that the respondents disgorge all profits from the unauthorized use of Mr. Skene's engineering stamp and seal.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I will discuss, it eventually became clear in the fall of 2013 that the respondents' position was many of the signatures of Mr. Skene on engineering documents were in fact done by Mr. Jeck but that they were done with Mr. Skene's consent. At the hearing of the petition in December 2013, it was then made clear by the respondents that the impugned signatures on the shareholders' resolutions were signed by Mr. Jeck. At issue during the hearing was the extent to which this was a recent position of the respondents.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these reasons for judgment, I will set out the relevant statutory provisions, discuss the allegations of oppressive or unfairly prejudicial conduct, describe the law of oppression, and make findings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will also consider whether any of the allegations are statute barred or not brought in a timely way and then decide based on the findings that I make whether the petitioner has established conduct entitling it to relief under the statute, and if so, the nature of any order I ought to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 of Oppression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relevant sections for this oppression claim are s. 227(2), (3), and (4) of the </w:t>
      </w:r>
      <w:r>
        <w:rPr>
          <w:rFonts w:ascii="arial" w:eastAsia="arial" w:hAnsi="arial" w:cs="arial"/>
          <w:i/>
          <w:color w:val="000000"/>
          <w:sz w:val="20"/>
          <w:lang w:val="en-US" w:eastAsia="en-US" w:bidi="ar-SA"/>
        </w:rPr>
        <w:t>BCA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227(2) A shareholder may apply to the court for an order under this section on the ground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affairs of the company are being or have been conducted, or that the powers of the directors are being or have been exercised, in a manner oppressive to one or more of the shareholders, including the applicant, or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some act of the company has been done or is threatened, or that some resolution of the shareholders or of the shareholders holding shares of a class or series of shares has been passed or is proposed, that is unfairly prejudicial to one or more of the shareholders, including the applicant.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application under this section, the court may, with a view to remedying or bringing to an end the matters complained of and subject to subsection (4) of this section, make any interim or final order it considers appropriate, including an order</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directing or prohibiting any act,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regulating the conduct of the company's affairs,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appointing a receiver or receiver manager,</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directing an issue or conversion or exchange of shares,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appointing directors in place of or in addition to all or any of the directors then in office,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removing any director,</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directing the company, subject to subsections (5) and (6), to purchase some or all of the shares of a shareholder and, if required, to reduce its capital in the manner specified by the court,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directing a shareholder to purchase some or all of the shares of any other shareholder,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directing the company, subject to subsections (5) and (6), or any other person, to pay to a shareholder all or any part of the money paid by that shareholder for shares of the company,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varying or setting aside a transaction to which the company is a party and directing any party to the transaction to compensate any other party to the transaction,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varying or setting aside a resolution,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requiring the company, within a time specified by the court, to produce to the court or to an interested person financial statements or an accounting in any form the court may determine,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directing the company, subject to subsections (5) and (6), to compensate an aggrieved person,</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directing correction of the registers or other records of the company,</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directing that the company be liquidated and dissolved, and appointing one or more liquidators, with or without security,</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directing that an investigation be made under Division 3 of this Part,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requiring the trial of any issue, or</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authorizing or directing that legal proceedings be commenced in the name of the company against any person on the terms the court directs.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make an order under subsection (3) if it is satisfied that the application was brought by the shareholder in a timely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leading authority on the law of oppression is </w:t>
      </w:r>
      <w:r>
        <w:rPr>
          <w:rFonts w:ascii="arial" w:eastAsia="arial" w:hAnsi="arial" w:cs="arial"/>
          <w:i/>
          <w:color w:val="000000"/>
          <w:sz w:val="20"/>
          <w:lang w:val="en-US" w:eastAsia="en-US" w:bidi="ar-SA"/>
        </w:rPr>
        <w:t>BCE Inc. v. 1976 Debentureholders</w:t>
      </w:r>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2008 SCC 69</w:t>
        </w:r>
      </w:hyperlink>
      <w:r>
        <w:rPr>
          <w:rFonts w:ascii="arial" w:eastAsia="arial" w:hAnsi="arial" w:cs="arial"/>
          <w:color w:val="000000"/>
          <w:sz w:val="20"/>
          <w:lang w:val="en-US" w:eastAsia="en-US" w:bidi="ar-SA"/>
        </w:rPr>
        <w:t xml:space="preserve">. Though the oppression provision of the </w:t>
      </w:r>
      <w:r>
        <w:rPr>
          <w:rFonts w:ascii="arial" w:eastAsia="arial" w:hAnsi="arial" w:cs="arial"/>
          <w:i/>
          <w:color w:val="000000"/>
          <w:sz w:val="20"/>
          <w:lang w:val="en-US" w:eastAsia="en-US" w:bidi="ar-SA"/>
        </w:rPr>
        <w:t>Canada Business Corporations</w:t>
      </w:r>
      <w:r>
        <w:rPr>
          <w:rFonts w:ascii="arial" w:eastAsia="arial" w:hAnsi="arial" w:cs="arial"/>
          <w:color w:val="000000"/>
          <w:sz w:val="20"/>
          <w:lang w:val="en-US" w:eastAsia="en-US" w:bidi="ar-SA"/>
        </w:rPr>
        <w:t xml:space="preserve"> Act, </w:t>
      </w:r>
      <w:hyperlink r:id="rId44" w:history="1">
        <w:r>
          <w:rPr>
            <w:rFonts w:ascii="arial" w:eastAsia="arial" w:hAnsi="arial" w:cs="arial"/>
            <w:i/>
            <w:color w:val="0077CC"/>
            <w:sz w:val="20"/>
            <w:u w:val="single"/>
            <w:shd w:val="clear" w:color="auto" w:fill="FFFFFF"/>
            <w:lang w:val="en-US" w:eastAsia="en-US" w:bidi="ar-SA"/>
          </w:rPr>
          <w:t>R.S.C. 1985, c. C-44</w:t>
        </w:r>
      </w:hyperlink>
      <w:r>
        <w:rPr>
          <w:rFonts w:ascii="arial" w:eastAsia="arial" w:hAnsi="arial" w:cs="arial"/>
          <w:color w:val="000000"/>
          <w:sz w:val="20"/>
          <w:lang w:val="en-US" w:eastAsia="en-US" w:bidi="ar-SA"/>
        </w:rPr>
        <w:t xml:space="preserve"> at issue in </w:t>
      </w:r>
      <w:r>
        <w:rPr>
          <w:rFonts w:ascii="arial" w:eastAsia="arial" w:hAnsi="arial" w:cs="arial"/>
          <w:i/>
          <w:color w:val="000000"/>
          <w:sz w:val="20"/>
          <w:lang w:val="en-US" w:eastAsia="en-US" w:bidi="ar-SA"/>
        </w:rPr>
        <w:t>BCE</w:t>
      </w:r>
      <w:r>
        <w:rPr>
          <w:rFonts w:ascii="arial" w:eastAsia="arial" w:hAnsi="arial" w:cs="arial"/>
          <w:color w:val="000000"/>
          <w:sz w:val="20"/>
          <w:lang w:val="en-US" w:eastAsia="en-US" w:bidi="ar-SA"/>
        </w:rPr>
        <w:t xml:space="preserve"> is not identical to that in the BC statute, it is much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general terms, the foundation of the law of oppression, a term I use to include both oppression and unfair prejudice under the statute, is the reasonable expectations of the shareholders. The affected shareholder must establish a breach of his reasonable expectations and that the impugned conduct is oppressive or unfairly prejudicial to his relevant interests. The remedy the court may grant is an equitable one. It has a broad equitable jurisdiction to do not just what is legal, but what is fair, and should consider business realities, not narrow legalities. The concept of reasonable expectations is an objective one and the authorities indicate the reasonable expectations of the shareholders and circumstances in which relief is granted are very fact specific.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law was aptly summarized by Mr. Justice Armstrong in </w:t>
      </w:r>
      <w:r>
        <w:rPr>
          <w:rFonts w:ascii="arial" w:eastAsia="arial" w:hAnsi="arial" w:cs="arial"/>
          <w:i/>
          <w:color w:val="000000"/>
          <w:sz w:val="20"/>
          <w:lang w:val="en-US" w:eastAsia="en-US" w:bidi="ar-SA"/>
        </w:rPr>
        <w:t>Alleluia v. Wilson</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2011 BCSC 666</w:t>
        </w:r>
      </w:hyperlink>
      <w:r>
        <w:rPr>
          <w:rFonts w:ascii="arial" w:eastAsia="arial" w:hAnsi="arial" w:cs="arial"/>
          <w:color w:val="000000"/>
          <w:sz w:val="20"/>
          <w:lang w:val="en-US" w:eastAsia="en-US" w:bidi="ar-SA"/>
        </w:rPr>
        <w:t xml:space="preserve">, wherein the court refers to the various aspects of the test in </w:t>
      </w:r>
      <w:r>
        <w:rPr>
          <w:rFonts w:ascii="arial" w:eastAsia="arial" w:hAnsi="arial" w:cs="arial"/>
          <w:i/>
          <w:color w:val="000000"/>
          <w:sz w:val="20"/>
          <w:lang w:val="en-US" w:eastAsia="en-US" w:bidi="ar-SA"/>
        </w:rPr>
        <w:t>BCE</w:t>
      </w:r>
      <w:r>
        <w:rPr>
          <w:rFonts w:ascii="arial" w:eastAsia="arial" w:hAnsi="arial" w:cs="arial"/>
          <w:color w:val="000000"/>
          <w:sz w:val="20"/>
          <w:lang w:val="en-US" w:eastAsia="en-US" w:bidi="ar-SA"/>
        </w:rPr>
        <w:t xml:space="preserve"> that both counsel asserted before me were applicable under the BC statute (at paras. 27-29):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leading authority on the shareholder oppression issues raised in this case is </w:t>
      </w:r>
      <w:r>
        <w:rPr>
          <w:rFonts w:ascii="arial" w:eastAsia="arial" w:hAnsi="arial" w:cs="arial"/>
          <w:i/>
          <w:color w:val="000000"/>
          <w:sz w:val="20"/>
          <w:lang w:val="en-US" w:eastAsia="en-US" w:bidi="ar-SA"/>
        </w:rPr>
        <w:t>BCE Inc. v. 1976 Debentureholders</w:t>
      </w:r>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2008 SCC 69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BCE</w:t>
      </w:r>
      <w:r>
        <w:rPr>
          <w:rFonts w:ascii="arial" w:eastAsia="arial" w:hAnsi="arial" w:cs="arial"/>
          <w:color w:val="000000"/>
          <w:sz w:val="20"/>
          <w:lang w:val="en-US" w:eastAsia="en-US" w:bidi="ar-SA"/>
        </w:rPr>
        <w:t xml:space="preserve"> sets out a two stage analysis for establishing a claim of oppression: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In our view, the best approach to the interpretation of s. 241(2) is one that combines the two approaches developed in the cases. One should look first to the principles underlying the oppression remedy, and in particular the concept of reasonable expectations. If a breach of a reasonable expectation is established, one must go on to consider whether the conduct complained of amounts to "oppression", "unfair prejudice" or "unfair disregard" as set out in s. 241(2) of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First, oppression is an equitable remedy. It seeks to ensure fairness -- what is "just and equitable". It gives a court broad, equitable jurisdiction to enforce not just what is legal but what is fair: </w:t>
      </w:r>
      <w:r>
        <w:rPr>
          <w:rFonts w:ascii="arial" w:eastAsia="arial" w:hAnsi="arial" w:cs="arial"/>
          <w:i/>
          <w:color w:val="000000"/>
          <w:sz w:val="20"/>
          <w:lang w:val="en-US" w:eastAsia="en-US" w:bidi="ar-SA"/>
        </w:rPr>
        <w:t>Wright v. Donald S. Montgomery Holdings Ltd.</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(1998), 39 B.L.R. (2d) 266</w:t>
        </w:r>
      </w:hyperlink>
      <w:r>
        <w:rPr>
          <w:rFonts w:ascii="arial" w:eastAsia="arial" w:hAnsi="arial" w:cs="arial"/>
          <w:color w:val="000000"/>
          <w:sz w:val="20"/>
          <w:lang w:val="en-US" w:eastAsia="en-US" w:bidi="ar-SA"/>
        </w:rPr>
        <w:t xml:space="preserve"> (Ont. Ct. (Gen. Div.)), at p. 273; </w:t>
      </w:r>
      <w:r>
        <w:rPr>
          <w:rFonts w:ascii="arial" w:eastAsia="arial" w:hAnsi="arial" w:cs="arial"/>
          <w:i/>
          <w:color w:val="000000"/>
          <w:sz w:val="20"/>
          <w:lang w:val="en-US" w:eastAsia="en-US" w:bidi="ar-SA"/>
        </w:rPr>
        <w:t>Re Keho Holdings Ltd. and Noble</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(1987), 38 D.L.R. (4th) 368</w:t>
        </w:r>
      </w:hyperlink>
      <w:r>
        <w:rPr>
          <w:rFonts w:ascii="arial" w:eastAsia="arial" w:hAnsi="arial" w:cs="arial"/>
          <w:color w:val="000000"/>
          <w:sz w:val="20"/>
          <w:lang w:val="en-US" w:eastAsia="en-US" w:bidi="ar-SA"/>
        </w:rPr>
        <w:t xml:space="preserve"> (Alta. C.A.), at p. 374; see, more generally, Koehnen, at pp. 78-79. It follows that courts considering claims for oppression should look at business realities, not merely narrow legalities: </w:t>
      </w:r>
      <w:r>
        <w:rPr>
          <w:rFonts w:ascii="arial" w:eastAsia="arial" w:hAnsi="arial" w:cs="arial"/>
          <w:i/>
          <w:color w:val="000000"/>
          <w:sz w:val="20"/>
          <w:lang w:val="en-US" w:eastAsia="en-US" w:bidi="ar-SA"/>
        </w:rPr>
        <w:t>Scottish Co-operative Wholesale Society</w:t>
      </w:r>
      <w:r>
        <w:rPr>
          <w:rFonts w:ascii="arial" w:eastAsia="arial" w:hAnsi="arial" w:cs="arial"/>
          <w:color w:val="000000"/>
          <w:sz w:val="20"/>
          <w:lang w:val="en-US" w:eastAsia="en-US" w:bidi="ar-SA"/>
        </w:rPr>
        <w:t>, [1959] A.C. 324, at p. 343.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[59] Second, like many equitable remedies, oppression is fact-specific. What is just and equitable is judged by the reasonable expectations of the stakeholders in the context and in regard to the relationships at play. Conduct that may be oppressive in one situation may not be in another.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[61] Lord Wilberforce spoke of the equitable remedy in terms of the "rights, expectations and obligations" of individuals. "Rights" and "obligations" connote interests enforceable at law without recourse to special remedies, for example, through a contractual suit or a derivative action under s. 239 of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It is left for the oppression remedy to deal with the "expectations" of affected stakeholders. The reasonable expectations of these stakeholders is the cornerstone of the oppression remedy.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[62] As denoted by "reasonable", the concept of reasonable expectations is objective and contextual. The actual expectation of a particular stakeholder is not conclusive. In the context of whether it would be "just and equitable" to grant a remedy, the question is whether the expectation is reasonable having regard to the facts of the specific case, the relationships at issue, and the entire context, including the fact that there may be conflicting claims and expectations.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[72] Factors that emerge from the case law that are useful in determining whether a reasonable expectation exists include: general commercial practice; the nature of the corporation; the relationship between the parties; past practice; steps the claimant could have taken to protect itself; representations and agreements; and the fair resolution of conflicting interests between corporate stakeholders.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succeed in a claim for oppression, the petitioners must establish that the breach of a reasonable expectation is oppressive, unfairly prejudicial, or unfairly disregards the petitioners' relevant interests. In </w:t>
      </w:r>
      <w:r>
        <w:rPr>
          <w:rFonts w:ascii="arial" w:eastAsia="arial" w:hAnsi="arial" w:cs="arial"/>
          <w:i/>
          <w:color w:val="000000"/>
          <w:sz w:val="20"/>
          <w:lang w:val="en-US" w:eastAsia="en-US" w:bidi="ar-SA"/>
        </w:rPr>
        <w:t>BCE</w:t>
      </w:r>
      <w:r>
        <w:rPr>
          <w:rFonts w:ascii="arial" w:eastAsia="arial" w:hAnsi="arial" w:cs="arial"/>
          <w:color w:val="000000"/>
          <w:sz w:val="20"/>
          <w:lang w:val="en-US" w:eastAsia="en-US" w:bidi="ar-SA"/>
        </w:rPr>
        <w:t>, it was held: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[89] Thus far we have discussed how a claimant establishes the first element of an action for oppression -- a reasonable expectation that he or she would be treated in a certain way. However, to complete a claim for oppression, the claimant must show that the failure to meet this expectation involved unfair conduct and prejudicial consequences within s. 241 of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Not every failure to meet a reasonable expectation will give rise to the equitable considerations that ground actions for oppression. The court must be satisfied that the conduct falls within the concepts of "oppression", "unfair prejudice" or "unfair disregard" of the claimant's interest, within the meaning of s. 241 of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Viewed in this way, the reasonable expectations analysis that is the theoretical foundation of the oppression remedy, and the particular types of conduct described in s. 241, may be seen as complementary, rather than representing alternative approaches to the oppression remedy, as has sometimes been supposed. Together, they offer a complete picture of conduct that is unjust and inequitable, to return to the language of </w:t>
      </w:r>
      <w:r>
        <w:rPr>
          <w:rFonts w:ascii="arial" w:eastAsia="arial" w:hAnsi="arial" w:cs="arial"/>
          <w:i/>
          <w:color w:val="000000"/>
          <w:sz w:val="20"/>
          <w:lang w:val="en-US" w:eastAsia="en-US" w:bidi="ar-SA"/>
        </w:rPr>
        <w:t>Ebrahimi</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[91] The concepts of oppression, unfair prejudice and unfairly disregarding relevant interests are adjectival. They indicate the type of wrong or conduct that the oppression remedy of s. 241 of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is aimed at. However, they do not represent watertight compartments, and often overlap and intermingle.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[92] The original wrong recognized in the cases was described simply as oppression, and was generally associated with conduct that has variously been described as "burdensome, harsh and wrongful", "a visible departure from standards of fair dealing", and an "abuse of power" going to the probity of how the corporation's affairs are being conducted: see Koehnen, at p. 81. It is this wrong that gave the remedy its name, which now is generally used to cover all s. 241 claims. However, the term also operates to connote a particular type of injury within the modern rubric of oppression generally -- a wrong of the most serious sort.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[93]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has added "unfair prejudice" and "unfair disregard" of interests to the original common law concept, making it clear that wrongs falling short of the harsh and abusive conduct connoted by "oppression" may fall within s. 241. "Unfair prejudice" is generally seen as involving conduct less offensive than "oppression". Examples include squeezing out a minority shareholder, failing to disclose related party transactions, changing corporate structure to drastically alter debt ratios, adopting a "poison pill" to prevent a takeover bid, paying dividends without a formal declaration, preferring some shareholders with management fees and paying directors' fees higher than the industry norm: see Koehnen, at pp. 82-83.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[94] "Unfair disregard" (</w:t>
      </w:r>
      <w:r>
        <w:rPr>
          <w:rFonts w:ascii="arial" w:eastAsia="arial" w:hAnsi="arial" w:cs="arial"/>
          <w:i/>
          <w:color w:val="000000"/>
          <w:sz w:val="20"/>
          <w:lang w:val="en-US" w:eastAsia="en-US" w:bidi="ar-SA"/>
        </w:rPr>
        <w:t>which does not appear in the BC statute)</w:t>
      </w:r>
      <w:r>
        <w:rPr>
          <w:rFonts w:ascii="arial" w:eastAsia="arial" w:hAnsi="arial" w:cs="arial"/>
          <w:color w:val="000000"/>
          <w:sz w:val="20"/>
          <w:lang w:val="en-US" w:eastAsia="en-US" w:bidi="ar-SA"/>
        </w:rPr>
        <w:t xml:space="preserve"> is viewed as the least serious of the three injuries, or wrongs, mentioned in s. 241. Examples include favouring a director by failing to properly prosecute claims, improperly reducing a shareholder's dividend, or failing to deliver property belonging to the claimant: see Koehnen, at pp. 83-84.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reasonable expectations of the shareholders are the cornerstone of the oppression remedy. The petitioners bear the burden of proof that the respondents' actions have failed to meet the petitioners' reasonable expectations and that that failure involved unfair conduct and prejudicial consequences. This is to be an objective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As reviewed above, the law sets out a two-part test for establishing a claim of oppression. First the petitioner shareholder must establish a reasonable expectation that he or she would be treated a certain way in the conduct of the company's affairs, and second, that the failure to meet the reasonable expectation is conduct that falls within the concepts of oppression or unfair prejudice of the claimant's interest within the meaning of the </w:t>
      </w:r>
      <w:r>
        <w:rPr>
          <w:rFonts w:ascii="arial" w:eastAsia="arial" w:hAnsi="arial" w:cs="arial"/>
          <w:i/>
          <w:color w:val="000000"/>
          <w:sz w:val="20"/>
          <w:lang w:val="en-US" w:eastAsia="en-US" w:bidi="ar-SA"/>
        </w:rPr>
        <w:t>BCA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Some of the allegations, the respondents say, are not really allegations of oppression but are personal claims of the shareholder or principal, or are exclusively derivative claims in respect of which only the company can 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respondents assert that the possible derivative claims only are: the excessive management fees, the alleged taking of a corporate opportunity in purchasing the company's premises, the collection of rent from the company after allegedly failing to disclose a conflict of interest, the alleged diversion of a corporate opportunity to CS Analytics, and the guarantee. Unless these claims have affected the complaining shareholder in a manner different from or in addition to the indirect effect on the value of all shareholders' shares generally, they cannot form the basis of an oppression proceeding for which leave is not required. In this regard, the respondents rely on this statement of the law by Madam Justice Newbury in </w:t>
      </w:r>
      <w:r>
        <w:rPr>
          <w:rFonts w:ascii="arial" w:eastAsia="arial" w:hAnsi="arial" w:cs="arial"/>
          <w:i/>
          <w:color w:val="000000"/>
          <w:sz w:val="20"/>
          <w:lang w:val="en-US" w:eastAsia="en-US" w:bidi="ar-SA"/>
        </w:rPr>
        <w:t>Furry Creek Timer Corp. v. Laad Ventures Ltd.</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[1992] 75 B.C.L.R. (2d) 246</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there appear to be authorities in Canada that suggest the derivative action and oppression action are mutually exclusive, I think the better view is that it can, </w:t>
      </w:r>
      <w:r>
        <w:rPr>
          <w:rFonts w:ascii="arial" w:eastAsia="arial" w:hAnsi="arial" w:cs="arial"/>
          <w:color w:val="000000"/>
          <w:sz w:val="20"/>
          <w:u w:val="single"/>
          <w:lang w:val="en-US" w:eastAsia="en-US" w:bidi="ar-SA"/>
        </w:rPr>
        <w:t>provided the complaining shareholder has been affected by the breach in a manner different from or in addition to the indirect effect on the value of all shareholders' shares generally</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Allegations of Oppressive or Unfairly Prejudicial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What are the allegations of oppressive conduct or unfairly prejudicial conduct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Overall, the petitioner argues that the oppressive or unfairly prejudicial conduct was Mr. Jeck, the sole director, operating CSA Western as his personal fiefdom, ignoring the petitioner's rights and interest as a shareholder.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petitioner points to the large payments, in terms of a percentage of profits, that were made by the company to Mr. Jeck personally between the years 2004-2012, and the guarantee by the company for the benefit of Mrs. Jeck's mortgage debt on Fawcett Road, and the lack of formal authority to support this financial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Moreover the petitioner points to the failure of the respondents to provide financial information, hold shareholders' or officers' meetings, provide audited financial statements, and points to Mr. Jeck's forgery of Mr. Skene's name on resolutions waiving the requirement to provide audited statements or hold meetings, and on engineering documents used by the company in its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respondents deny that financial information was withheld or not provided 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They deny that Mr. Jeck took excessive remuneration contrary to the reasonable expectations of the shareholders. They also deny that Mr. Skene's signature on engineering documents or resolutions was affixed without his consent and say that many of the petitioner's claims are personal claims not claims </w:t>
      </w:r>
      <w:r>
        <w:rPr>
          <w:rFonts w:ascii="arial" w:eastAsia="arial" w:hAnsi="arial" w:cs="arial"/>
          <w:i/>
          <w:color w:val="000000"/>
          <w:sz w:val="20"/>
          <w:lang w:val="en-US" w:eastAsia="en-US" w:bidi="ar-SA"/>
        </w:rPr>
        <w:t>qua</w:t>
      </w:r>
      <w:r>
        <w:rPr>
          <w:rFonts w:ascii="arial" w:eastAsia="arial" w:hAnsi="arial" w:cs="arial"/>
          <w:color w:val="000000"/>
          <w:sz w:val="20"/>
          <w:lang w:val="en-US" w:eastAsia="en-US" w:bidi="ar-SA"/>
        </w:rPr>
        <w:t xml:space="preserve"> shareholder, some claims are statute-barred or were not brought in a timely manner, and that the claims in any event lack merit. The respondents say that overall Mr. Skene lacks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will first discuss the issue of the provision of financial statements and information by the company to the petitioner and whether the petitioner waived the requirement for providing audited statements and holding meetings. At that time I will introduce the issue of credibility of the main participants, Mr. Skene and Mr. Jeck.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Then, I will discuss the issue of excessive management fees. I will consider whether that is only a possible derivative action rather than an aspect of oppressive conduct. Finally I will address the issue of allegedly forged engineering reports and other miscellaneous claims of oppressive conduct. I will consider whether some of these claims are only possible derivative claims or personal claims of Mr. Skene.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will make findings on what the petitioner has proven, and then consider whether given the passage of time before bringing these claims, they have been brought within the applicable limitation period and in a timely manner as required by the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will also consider whether any conduct that is proven should be assessed individually or cumulatively in determining whether there is oppression or unfairly prejudicial conduct and whether it amounts to conduct entitling the petitioner to relief. If so, I will consider whether I should make an order.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Provision of Financial Information and Waiver of Audited Statements and Meetings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Apart from the allegation of excessive management fees, which I will discuss in a moment, the main thrust of the oppression petition is the failure of the respondents to provide financial information (including audited statements) or hold meetings, as well as allegedly making misleading comments about the company's financial affairs and taking a secretive approach to keep the financial affairs of the company from the petitioner.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will deal firstly with the alleged failure to provide financial information, which is an issue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reference to the allegation relating to the failure to provide financial information or hold shareholders' meetings, Mr. Skene deposed as follows:</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recall that I stopped receiving financial statements after about 2002. I was not terribly concerned about this--the company had never generated any significant profit and my attention was focused elsewhere.</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time to time, probably twice a year, I would speak to Jeck about how the company was doing financially. He always said something vague like "we're keeping our head above water" or words to that effect. Since this was consistent with everything that had gone on with company since 1993 I did not press him, and my impression that there was no real profit to speak of was reinforced by Jeck's response, above, when I asked him for very small amounts of money. In fact I was reluctant to ask for anything at all because, since Jeck was the sole manager and was supporting himself and his family solely from the company as far as I was aware, asking him to write me a company cheque felt to me like taking money directly from Ralph.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petitioners' basic position is this. It says that in 2004 (and perhaps earlier) Mr. Skene ceased its active involvement in CSA Western but thereafter had discussions on a bi-annual basis and was told by Mr. Jeck that the company was only "muddling along" or "keeping its head above water". The petitioner complains not only about the failure to hold shareholders' meetings and provide financial information but that the purported consent resolutions of the shareholders between 2002 and 2006 waiving meetings and the audit requirements were forged.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respondents take a different position. They say that financial information was provided, that no forgeries of resolutions occurred, and in terms of the petitioner's alleged expectations, any lack of full information was more a matter of the petitioner abandoning any interest in the business or in its status as a continuing registered company in Ontario than being deprived of financial information. Such lack of interest on the part of Mr. Skene, the respondents say, cannot ground oppressive conduct or unfairly prejudicial treatment of the petitioner.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position of the respondents is that they disclosed financial information to the petitioner at all material times and if the petitioner did not receive it, Mr. Jeck did not know that it had not been received, and, at least, he did not intend that financial statements not be disclosed to Mr. Skene. The respondents say that communications with Mr. Skene to restore the Ontario numbered company to the Ontario registry so that the corporate structure of CSA Western could be regularized were ignored for many years. According to the respondents, when there was a request, statements for CSA Western were delivered to the petitioner in 2010 for the years 2003-2010.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respondents also contend that there was no requirement under the statute to provide audited statements but that if there was, it was waived -- at least implicitly -- by the petitioner, or that it would have been. The position of the respondents appears to be that no signatures of Mr. Skene were attached by Mr. Jeck to resolutions waiving audited statements or to engineering documents without Mr. Skene's express, or implied,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Skene denies providing any consent to the affixation of his signature by Mr. Jeck to resolutions (or to engineering documents), or that he received the financial information for many years. Thus, the extent to which financial information was provided, and the question of who applied Mr. Skene's signatures on resolutions and on engineering documents, and whether it was with consent, which I will discuss later, gives rise to issues of credibility between Mr. Skene and Mr. Jeck.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September 2012 there was cross-examination of Mr. and Mrs. Jeck and Mr. Skene on their affidavits relevant to the pleaded issues, and in December 2013 there was cross-examination before the court in connection with the alleged forgeries.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find in the circumstances, and on all of the evidence before me, that I am able to make findings of credibility to determine the facts to resolve the issues in this proceeding. I will discuss the issue of credibility in part here and later when I discuss the allegation of forgery of the engineering reports and related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Jeck responded to the question of the provision of financial information in his first affidavit. He deposed that the requirement for audited statements was waived each year that the petitioner "existed" up to 2006. Mr. Jeck made inquiries of Mr. Skene and his counsel to have the Ontario numbered company reinstated because he said he needed to have a registered shareholder for corporate governance purposes. He indicated that after 2004, when Mr. Skene resigned as an engineer with the regulatory body, Mr. Skene had even less involvement with CSA Western but Mr. Jeck stated that his involvement before 2004 had been minimal.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Skene said that he did not press Mr. Jeck for more information than Mr. Jeck offered, and allowed the Ontario numbered company registration to lapse. He did not actually formally request financial statements. He did not find out that CSA Western had in fact been "on a tear" since 2004, until after February 2010, when Mr. Jeck offered to buy the petitioner's shares for $10,000 less the cost of reinstating the Ontario numbered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Although it appears that Mr. Skene was reluctant to incur the cost of reinstating the Ontario numbered company, the context in which that occurred is important in considering the reasonable expectations of the shareholders. Was the petitioner really a shareholder that was disinterested in the affairs of CSA Western, or was it simply being economical because it believed that the company was just "muddling along"?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respondents say the position of the petitioner that it believed the company was just muddling along is misleading, because at least by the 2002 and 2004 financial statements there were clearly retained earnings in the company of some significance. That is a relevant factor to consider. However, I think what is more telling is the respondents' position about the resolutions purportedly waiving audited financial statements and an annual general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Jeck, I find, did not really dispute the "muddling along" communication. In his affidavit, Mr. Jeck took the position that the petitioner waived the requirement to appoint an auditor (until the Ontario numbered company no longer existed after 2006) and that CSA Western never had an audit.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Of course, the petitioner could hardly complain about not getting audited statements if it waived any requirement for audited financial statements. The respondents say that there had been a waiver of that requirement since incorporation, that the petitioner never thought that it was necessary nor was it interested in having the financial statements audited or otherwise, and that even if the petitioner did not formally waive the requirement, there is no evidence that the petitioner would have requested an audit. The position of the respondents is that before the Ontario numbered company was struck from the registry in Ontario, it waived the requirement of an audited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However, I find the position taken by the respondents in this litigation -- that there was in fact, or in effect, a waiver of the audit and annual general meeting requirement -- very odd. The initial position of the respondents was that there was a waiver because Mr. Skene had signed resolutions for several years to that effect. This was denied by Mr. Skene and appeared to give rise to a question of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First, there is the statement by Mr. Skene in his first affidavit that the "unanimous" shareholders' resolutions between 2002 and 2006 contain a signature that is not his. That is a clear statement early on in the proceedings that Mr. Skene did not sign the resolutions waiving the requirement of an audit. The response of Mr. Jeck in his affidavit is that the petitioner </w:t>
      </w:r>
      <w:r>
        <w:rPr>
          <w:rFonts w:ascii="arial" w:eastAsia="arial" w:hAnsi="arial" w:cs="arial"/>
          <w:color w:val="000000"/>
          <w:sz w:val="20"/>
          <w:u w:val="single"/>
          <w:lang w:val="en-US" w:eastAsia="en-US" w:bidi="ar-SA"/>
        </w:rPr>
        <w:t>did</w:t>
      </w:r>
      <w:r>
        <w:rPr>
          <w:rFonts w:ascii="arial" w:eastAsia="arial" w:hAnsi="arial" w:cs="arial"/>
          <w:color w:val="000000"/>
          <w:sz w:val="20"/>
          <w:lang w:val="en-US" w:eastAsia="en-US" w:bidi="ar-SA"/>
        </w:rPr>
        <w:t xml:space="preserve"> waive the requirement to appoint an auditor. That appeared to me to mean it was Mr. Jeck's belief that the signatures on the resolutions between 2002 and 2006 were Mr. Skene's.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respondents also pleaded that the resolutions waiving the audit requirement were signed by Mr. Skene, as follows:</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Petitioner did indeed waive the requirement to appoint an auditor up until it no longer existed after 2006 through to 2011. CSA Western has never had an audit of its financial statements since its inception because the relevant shareholders have always waived that requirement every year up until, as stated, the Petitioner no longer existed.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his affidavit, Mr. Jeck swore that statement in the pleadings to be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question of waiver and whose signature was on consent resolutions waiving the requirement of audited statements and meetings has always been at the forefront of this litigation, even prior to the amendments in September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When this matter first came before me in September 2012 the allegation of the petitioner was that the resolutions dated August 12, 2002, September 6, 2003, September 30, 2004, October 6, 2005, and August 26, 2006 that were purportedly signed by Mr. Skene waiving the requirement for the appointment of an auditor and meetings were forgeries. Although it was asserted that Mr. Skene's signature had been forged, the allegation was not specifically a claim of oppression or unfairly prejudicial treatment in the oppression proceeding until the amendments by the petitioner in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September 2012, I allowed an amendment to the pleadings so the petitioner could allege that Mr. Jeck forged Mr. Skene's signature on shareholders' resolutions and also so that the petitioner could assert in these proceedings that the signatures on engineering reports were not Mr. Skene's and that Mr. Jeck forged Mr. Skene's signature.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resolution of these "forgery" issues took some unusual twists and turns and, as it turned out, were time-consuming matters to resolve.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During a hearing in June 2012 in chambers before another judge, counsel for the respondents suggested that the signatures on the resolutions might have been affixed by Mr. Easto, the petitioner's incorporating solicitor in Ontario. The petitioner then produced an affidavit from that solicitor that he had not signed the resolutions. Subsequently, in response to a question as to whose signature was affixed for the petitioner on the August 12, 2002 resolution, Mr. Jeck said on cross-examination that it "appears to be Mr. Skene" (Cross-Examination on Affidavit of Ralph Jeck, 11 September 2012, p. 106). He maintained this position with respect to the other impugned resolutions.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petitioner retained a handwriting expert, James Green, who filed two affidavits and there was an affidavit from Dan Purdy, a forensic document examiner retained to prepare a report on the questioned signatures affixed to the engineering documents and related documents. In his first affidavit, Mr. Green provided an expert opinion that the signatures on the impugned resolutions were probably not Mr. Skene's. In the fall of 2013 at the hearing before me, the respondents cross-examined Mr. Green at some length on his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As I will discuss shortly in connection with engineering documents for the company, although Mr. Jeck has now recently conceded that he did affix Mr. Skene's signature to certain engineering documents, prior to the hearing before me in December 2013, the respondents maintained through their counsel the position that the signatures of Mr. Skene on the impugned shareholders' resolutions were not signed by Mr. Jeck.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However, during the cross-examination of Mr. Jeck on December 5, 2013, he testified that he had signed Mr. Skene's name on the resolutions and claimed to be unaware of the cross-examination of the handwriting expert, Mr. Green, on that point at the hearing in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petitioner asks me to conclude that Mr. Jeck is not credible because of his obfuscation when he said in cross-examination that the signatures "appear to be" Mr. Skene's, knowing in fact that he had affixed the signatures to the resolutions. Further, the petitioner asks me to conclude that the respondents adopted a tactic of unreasonable delay by putting an elderly man, Mr. Skene, through expensive litigation and requiring him to retain experts and produce those experts for cross-examination, when all along Mr. Jeck knew that the signatures were in fact forged.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will return to this issue but I find that Mr. Skene did not authorize Mr. Jeck to affix his signature to the resolutions. I also find that Mr. Jeck was not entitled to rely on the fact that audits or meetings had been waived in earlier years by the petitioner as a basis to conclude that they would be waived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think it is objectively a reasonable expectation among shareholders, absent other evidence, that statutory corporate requirements, particularly those dealing with the financial affairs of the company, would be complied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First of all, the question is whether there is a requirement for an audited financial statement annually or a waiver of that requirement by the shareholders. The </w:t>
      </w:r>
      <w:r>
        <w:rPr>
          <w:rFonts w:ascii="arial" w:eastAsia="arial" w:hAnsi="arial" w:cs="arial"/>
          <w:i/>
          <w:color w:val="000000"/>
          <w:sz w:val="20"/>
          <w:lang w:val="en-US" w:eastAsia="en-US" w:bidi="ar-SA"/>
        </w:rPr>
        <w:t>BCA</w:t>
      </w:r>
      <w:r>
        <w:rPr>
          <w:rFonts w:ascii="arial" w:eastAsia="arial" w:hAnsi="arial" w:cs="arial"/>
          <w:color w:val="000000"/>
          <w:sz w:val="20"/>
          <w:lang w:val="en-US" w:eastAsia="en-US" w:bidi="ar-SA"/>
        </w:rPr>
        <w:t xml:space="preserve"> appears to require it although Mr. Morgan suggests that it is not required. The provisions pertaining to financial statements and audits are contained in Part 6 of the </w:t>
      </w:r>
      <w:r>
        <w:rPr>
          <w:rFonts w:ascii="arial" w:eastAsia="arial" w:hAnsi="arial" w:cs="arial"/>
          <w:i/>
          <w:color w:val="000000"/>
          <w:sz w:val="20"/>
          <w:lang w:val="en-US" w:eastAsia="en-US" w:bidi="ar-SA"/>
        </w:rPr>
        <w:t>BCA</w:t>
      </w:r>
      <w:r>
        <w:rPr>
          <w:rFonts w:ascii="arial" w:eastAsia="arial" w:hAnsi="arial" w:cs="arial"/>
          <w:color w:val="000000"/>
          <w:sz w:val="20"/>
          <w:lang w:val="en-US" w:eastAsia="en-US" w:bidi="ar-SA"/>
        </w:rPr>
        <w:t>. They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Financial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888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198 ...</w:t>
            </w:r>
          </w:p>
        </w:tc>
        <w:tc>
          <w:tcPr>
            <w:tcW w:w="870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section 199 and subsection (3) of this section, unless relieved under section 200 from their obligation to do so, the directors of a company must, on or before each annual reference date, produce and publish, in accordance with subsection (4) of this section,</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financial statements in respect of the latest completed financial year of the company, even if that financial year is the company's first financial year, and</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date on which the financial statements referred to in paragraph (a) are published is more than 6 months after the beginning of the company's current financial year, financial statements for the period that began at the beginning of the company's current financial year and ended on a date that is not more than 6 months before the date on which the financial statements referred to in paragraph (a) are published.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Approval for publication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94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w:t>
            </w:r>
          </w:p>
        </w:tc>
        <w:tc>
          <w:tcPr>
            <w:tcW w:w="921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directors of a company must ensure that, before financial statements referred to in section 198 are published, the financial statements are</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approved by the directors, and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signed by one or more directors to confirm that the approval required by paragraph (a) of this subsection was obtained.</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directors must ensure that financial statements published under section 198</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have attached any auditor's report made under section 212 (1) (a) on those financial statements, and</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not purport to be audited unless those financial statements have, in fact, been audited and an auditor's report has been made.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Waiver of financial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94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w:t>
            </w:r>
          </w:p>
        </w:tc>
        <w:tc>
          <w:tcPr>
            <w:tcW w:w="921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Directors are relieved from their obligation under section 198 to produce and publish financial statements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all of the shareholders of the company, whether or not their shares otherwise carry the right to vote, resolve by a unanimous resolution to waive the production and publication of the financial statements, or</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and to the extent provided by a court order waiving the production and publication of some or all of the financial statements and on any terms the court considers appropriate.</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waiver referred to in subsection (1) of this section may be given before, on or after the date on which financial statements are, under this Division, required to be produced and published and is effective for those financial statements only.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of this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94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203</w:t>
            </w:r>
          </w:p>
        </w:tc>
        <w:tc>
          <w:tcPr>
            <w:tcW w:w="921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subsections (2) and (3), a company must have an auditor.</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all of the shareholders of a company, whether or not their shares otherwise carry the right to vote, resolve by a unanimous resolution to waive the appointment of an auditor,</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company is not required to appoint an auditor, and</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provisions of this Part, except this section, do not apply to the company unless an auditor is appointed under section 204 (5).</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waiver referred to in subsection (2) of this section may be given before, on or after the date on which an auditor is, under this Part, required to be appointed and is effective for one financial year only.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Appointment of auditors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94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204</w:t>
            </w:r>
          </w:p>
        </w:tc>
        <w:tc>
          <w:tcPr>
            <w:tcW w:w="921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directors of a company must appoint an authorized person as the first auditor of the company to hold office until the annual reference date following the recognition of the company.</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before the annual reference date referred to in subsection (1) and on or before each subsequent annual reference date, the shareholders of a company must, by an ordinary resolution, appoint an authorized person as auditor to hold office from that annual reference date until the next annual reference date.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Auditor's duty to examine and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94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212</w:t>
            </w:r>
          </w:p>
        </w:tc>
        <w:tc>
          <w:tcPr>
            <w:tcW w:w="921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auditor of a company must</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 in the prescribed manner on the financial statements of the company referred to in section 185 (1) (a), (b) or (c), other than any financial statements of the company referred to in section 198 (2) (b), and</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make the examinations that are, in the auditor's opinion, necessary to enable the auditor to make the report required by paragraph (a) of this subsection.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Li v. Global Chinese Press Inc.</w:t>
      </w:r>
      <w:r>
        <w:rPr>
          <w:rFonts w:ascii="arial" w:eastAsia="arial" w:hAnsi="arial" w:cs="arial"/>
          <w:color w:val="000000"/>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2014 BCCA 53</w:t>
        </w:r>
      </w:hyperlink>
      <w:r>
        <w:rPr>
          <w:rFonts w:ascii="arial" w:eastAsia="arial" w:hAnsi="arial" w:cs="arial"/>
          <w:color w:val="000000"/>
          <w:sz w:val="20"/>
          <w:lang w:val="en-US" w:eastAsia="en-US" w:bidi="ar-SA"/>
        </w:rPr>
        <w:t xml:space="preserve">, describes the </w:t>
      </w:r>
      <w:r>
        <w:rPr>
          <w:rFonts w:ascii="arial" w:eastAsia="arial" w:hAnsi="arial" w:cs="arial"/>
          <w:i/>
          <w:color w:val="000000"/>
          <w:sz w:val="20"/>
          <w:lang w:val="en-US" w:eastAsia="en-US" w:bidi="ar-SA"/>
        </w:rPr>
        <w:t>Canada Business Corporations Act</w:t>
      </w:r>
      <w:r>
        <w:rPr>
          <w:rFonts w:ascii="arial" w:eastAsia="arial" w:hAnsi="arial" w:cs="arial"/>
          <w:color w:val="000000"/>
          <w:sz w:val="20"/>
          <w:lang w:val="en-US" w:eastAsia="en-US" w:bidi="ar-SA"/>
        </w:rPr>
        <w:t xml:space="preserve"> as setting out a comprehensive legislative scheme to provide financial information to shareholders, and that the scheme requires the appointment of an auditor and production of audited financial statements unless the shareholders of the company unanimously determine otherwise (at para. 14). I find that applies under this provincial statutory scheme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This provision is important for the protection of a minority shareholder. As one example, I refer to the judgment of Lowry J. as he then was in </w:t>
      </w:r>
      <w:r>
        <w:rPr>
          <w:rFonts w:ascii="arial" w:eastAsia="arial" w:hAnsi="arial" w:cs="arial"/>
          <w:i/>
          <w:color w:val="000000"/>
          <w:sz w:val="20"/>
          <w:lang w:val="en-US" w:eastAsia="en-US" w:bidi="ar-SA"/>
        </w:rPr>
        <w:t>Discovery Enterprises Inc. v I.S.E. Research Ltd.</w:t>
      </w:r>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shd w:val="clear" w:color="auto" w:fill="FFFFFF"/>
            <w:lang w:val="en-US" w:eastAsia="en-US" w:bidi="ar-SA"/>
          </w:rPr>
          <w:t>2002 BCSC 1624</w:t>
        </w:r>
      </w:hyperlink>
      <w:r>
        <w:rPr>
          <w:rFonts w:ascii="arial" w:eastAsia="arial" w:hAnsi="arial" w:cs="arial"/>
          <w:color w:val="000000"/>
          <w:sz w:val="20"/>
          <w:lang w:val="en-US" w:eastAsia="en-US" w:bidi="ar-SA"/>
        </w:rPr>
        <w:t>. There the 12% minority shareholder demanded audited financial statements but the company was only prepared to deliver unaudited statements and open its books to the petitioner.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Lowry J. said (at paras. 6-8):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amounts to oppressive conduct has, as observed by this court in </w:t>
      </w:r>
      <w:r>
        <w:rPr>
          <w:rFonts w:ascii="arial" w:eastAsia="arial" w:hAnsi="arial" w:cs="arial"/>
          <w:i/>
          <w:color w:val="000000"/>
          <w:sz w:val="20"/>
          <w:lang w:val="en-US" w:eastAsia="en-US" w:bidi="ar-SA"/>
        </w:rPr>
        <w:t>Nystad v. Harcrest</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(1986), 3 B.C.L.R. (2d) 39</w:t>
        </w:r>
      </w:hyperlink>
      <w:r>
        <w:rPr>
          <w:rFonts w:ascii="arial" w:eastAsia="arial" w:hAnsi="arial" w:cs="arial"/>
          <w:color w:val="000000"/>
          <w:sz w:val="20"/>
          <w:lang w:val="en-US" w:eastAsia="en-US" w:bidi="ar-SA"/>
        </w:rPr>
        <w:t xml:space="preserve"> at 43-45, been said to be conduct that, at a minimum, lacks probity and fair dealing toward the proprietary rights of a minority shareholder. The refusal of a company to deliver audited financial statements can serve to hide the true financial position from a minority shareholder. In my view, it is no answer to say that the shareholder can undertake an audit at its own expense. That is not an expense it ought to expect to have to incur when it made its investment in the company. As was said in </w:t>
      </w:r>
      <w:r>
        <w:rPr>
          <w:rFonts w:ascii="arial" w:eastAsia="arial" w:hAnsi="arial" w:cs="arial"/>
          <w:i/>
          <w:color w:val="000000"/>
          <w:sz w:val="20"/>
          <w:lang w:val="en-US" w:eastAsia="en-US" w:bidi="ar-SA"/>
        </w:rPr>
        <w:t>Labatt Brewing Co. v. Trilon Holdings Inc.</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(1998), 41 O.R. (3d) 384</w:t>
        </w:r>
      </w:hyperlink>
      <w:r>
        <w:rPr>
          <w:rFonts w:ascii="arial" w:eastAsia="arial" w:hAnsi="arial" w:cs="arial"/>
          <w:color w:val="000000"/>
          <w:sz w:val="20"/>
          <w:lang w:val="en-US" w:eastAsia="en-US" w:bidi="ar-SA"/>
        </w:rPr>
        <w:t xml:space="preserve"> (Gen. Div.) at 387-88, decided under comparable legislative provisions, the receipt of audited financial statements when required is a clear and mandatory right vested in a minority shareholder and it is not necessary that the shareholder advance any reason for exercising this right. It follows that the shareholder's motive is not relevant. In the circumstances, I consider the denial of Discovery's right to audited financial statements to amount to conduct that is less than fair to Discovery. It is conduct that is oppressive.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find some support for the view that financial considerations are of no real consequence in </w:t>
      </w:r>
      <w:r>
        <w:rPr>
          <w:rFonts w:ascii="arial" w:eastAsia="arial" w:hAnsi="arial" w:cs="arial"/>
          <w:i/>
          <w:color w:val="000000"/>
          <w:sz w:val="20"/>
          <w:lang w:val="en-US" w:eastAsia="en-US" w:bidi="ar-SA"/>
        </w:rPr>
        <w:t>Smith v. Eco Grouting Specialists Ltd.</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[2001] O.J. No. 2784</w:t>
        </w:r>
      </w:hyperlink>
      <w:r>
        <w:rPr>
          <w:rFonts w:ascii="arial" w:eastAsia="arial" w:hAnsi="arial" w:cs="arial"/>
          <w:color w:val="000000"/>
          <w:sz w:val="20"/>
          <w:lang w:val="en-US" w:eastAsia="en-US" w:bidi="ar-SA"/>
        </w:rPr>
        <w:t xml:space="preserve"> (Sup. Ct.). There, it was argued that the delivery of audited financial statements would cost more than the value of the minority shareholder's investment. In ordering that the statements be delivered, the following was said at para. 33: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While I am not unsympathetic to this submission, I do not think I can or should accede to it ... In my view, it would be anomalous to require a shareholder who is merely exercising a statutory right, to pay for the very thing that the law provides to him. In view of the provisions of the [</w:t>
      </w:r>
      <w:r>
        <w:rPr>
          <w:rFonts w:ascii="arial" w:eastAsia="arial" w:hAnsi="arial" w:cs="arial"/>
          <w:i/>
          <w:color w:val="000000"/>
          <w:sz w:val="20"/>
          <w:lang w:val="en-US" w:eastAsia="en-US" w:bidi="ar-SA"/>
        </w:rPr>
        <w:t>Ontario Business Corporations Act</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R.S.O. 1990, c. B.16</w:t>
        </w:r>
      </w:hyperlink>
      <w:r>
        <w:rPr>
          <w:rFonts w:ascii="arial" w:eastAsia="arial" w:hAnsi="arial" w:cs="arial"/>
          <w:color w:val="000000"/>
          <w:sz w:val="20"/>
          <w:lang w:val="en-US" w:eastAsia="en-US" w:bidi="ar-SA"/>
        </w:rPr>
        <w:t xml:space="preserve"> ], the company was always required to prepare audited financial statements. This is its legal obligation.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observed there at para. 34, it may well be that when the relationship between the shareholders of a closely held company is harmonious, they may be content to forego the delivery of audited financial statements. However, when, as here, the relationship breaks down, for whatever reason, it is understandable that a disaffected shareholder will want an independent assessment of the company's financial position which it is, by statute, entitled to have. It could be most unfair to a minority shareholder's proprietary rights if such an assessment were to be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failure to provide financial records or audited statements unless waived by the unanimous resolution of the shareholders may be oppression. Justice Levine, as she then was, in </w:t>
      </w:r>
      <w:r>
        <w:rPr>
          <w:rFonts w:ascii="arial" w:eastAsia="arial" w:hAnsi="arial" w:cs="arial"/>
          <w:i/>
          <w:color w:val="000000"/>
          <w:sz w:val="20"/>
          <w:lang w:val="en-US" w:eastAsia="en-US" w:bidi="ar-SA"/>
        </w:rPr>
        <w:t>Burdeny v. K &amp; D Gourmet Baked Foods and Investments Inc.</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(1999), 48 B.L.R. (2d) 16</w:t>
        </w:r>
      </w:hyperlink>
      <w:r>
        <w:rPr>
          <w:rFonts w:ascii="arial" w:eastAsia="arial" w:hAnsi="arial" w:cs="arial"/>
          <w:color w:val="000000"/>
          <w:sz w:val="20"/>
          <w:lang w:val="en-US" w:eastAsia="en-US" w:bidi="ar-SA"/>
        </w:rPr>
        <w:t xml:space="preserve"> (S.C.) said, at paras. 39-40 and 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question that Donald was entitled, as a shareholder of the company, to have access to the company's financial records (</w:t>
      </w:r>
      <w:r>
        <w:rPr>
          <w:rFonts w:ascii="arial" w:eastAsia="arial" w:hAnsi="arial" w:cs="arial"/>
          <w:i/>
          <w:color w:val="000000"/>
          <w:sz w:val="20"/>
          <w:lang w:val="en-US" w:eastAsia="en-US" w:bidi="ar-SA"/>
        </w:rPr>
        <w:t>Company Act</w:t>
      </w:r>
      <w:r>
        <w:rPr>
          <w:rFonts w:ascii="arial" w:eastAsia="arial" w:hAnsi="arial" w:cs="arial"/>
          <w:color w:val="000000"/>
          <w:sz w:val="20"/>
          <w:lang w:val="en-US" w:eastAsia="en-US" w:bidi="ar-SA"/>
        </w:rPr>
        <w:t>, section 171) and to receive the latest financial statement and auditor's report upon request (</w:t>
      </w:r>
      <w:r>
        <w:rPr>
          <w:rFonts w:ascii="arial" w:eastAsia="arial" w:hAnsi="arial" w:cs="arial"/>
          <w:i/>
          <w:color w:val="000000"/>
          <w:sz w:val="20"/>
          <w:lang w:val="en-US" w:eastAsia="en-US" w:bidi="ar-SA"/>
        </w:rPr>
        <w:t>Company Act</w:t>
      </w:r>
      <w:r>
        <w:rPr>
          <w:rFonts w:ascii="arial" w:eastAsia="arial" w:hAnsi="arial" w:cs="arial"/>
          <w:color w:val="000000"/>
          <w:sz w:val="20"/>
          <w:lang w:val="en-US" w:eastAsia="en-US" w:bidi="ar-SA"/>
        </w:rPr>
        <w:t>, section 172(3)). He was also entitled to attend or consent to the business to be conducted at an annual general meeting (</w:t>
      </w:r>
      <w:r>
        <w:rPr>
          <w:rFonts w:ascii="arial" w:eastAsia="arial" w:hAnsi="arial" w:cs="arial"/>
          <w:i/>
          <w:color w:val="000000"/>
          <w:sz w:val="20"/>
          <w:lang w:val="en-US" w:eastAsia="en-US" w:bidi="ar-SA"/>
        </w:rPr>
        <w:t>Company Act</w:t>
      </w:r>
      <w:r>
        <w:rPr>
          <w:rFonts w:ascii="arial" w:eastAsia="arial" w:hAnsi="arial" w:cs="arial"/>
          <w:color w:val="000000"/>
          <w:sz w:val="20"/>
          <w:lang w:val="en-US" w:eastAsia="en-US" w:bidi="ar-SA"/>
        </w:rPr>
        <w:t>, sections 139-40), and to receive the annual financial statement and auditor's report (</w:t>
      </w:r>
      <w:r>
        <w:rPr>
          <w:rFonts w:ascii="arial" w:eastAsia="arial" w:hAnsi="arial" w:cs="arial"/>
          <w:i/>
          <w:color w:val="000000"/>
          <w:sz w:val="20"/>
          <w:lang w:val="en-US" w:eastAsia="en-US" w:bidi="ar-SA"/>
        </w:rPr>
        <w:t>Company Act</w:t>
      </w:r>
      <w:r>
        <w:rPr>
          <w:rFonts w:ascii="arial" w:eastAsia="arial" w:hAnsi="arial" w:cs="arial"/>
          <w:color w:val="000000"/>
          <w:sz w:val="20"/>
          <w:lang w:val="en-US" w:eastAsia="en-US" w:bidi="ar-SA"/>
        </w:rPr>
        <w:t>, sections 145 and 178), unless the audit has been waived by unanimous resolution of the shareholders (</w:t>
      </w:r>
      <w:r>
        <w:rPr>
          <w:rFonts w:ascii="arial" w:eastAsia="arial" w:hAnsi="arial" w:cs="arial"/>
          <w:i/>
          <w:color w:val="000000"/>
          <w:sz w:val="20"/>
          <w:lang w:val="en-US" w:eastAsia="en-US" w:bidi="ar-SA"/>
        </w:rPr>
        <w:t>Company Act</w:t>
      </w:r>
      <w:r>
        <w:rPr>
          <w:rFonts w:ascii="arial" w:eastAsia="arial" w:hAnsi="arial" w:cs="arial"/>
          <w:color w:val="000000"/>
          <w:sz w:val="20"/>
          <w:lang w:val="en-US" w:eastAsia="en-US" w:bidi="ar-SA"/>
        </w:rPr>
        <w:t>, section 179).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considering whether the failure of the company to comply with these provisions of the </w:t>
      </w:r>
      <w:r>
        <w:rPr>
          <w:rFonts w:ascii="arial" w:eastAsia="arial" w:hAnsi="arial" w:cs="arial"/>
          <w:i/>
          <w:color w:val="000000"/>
          <w:sz w:val="20"/>
          <w:lang w:val="en-US" w:eastAsia="en-US" w:bidi="ar-SA"/>
        </w:rPr>
        <w:t>Company Act</w:t>
      </w:r>
      <w:r>
        <w:rPr>
          <w:rFonts w:ascii="arial" w:eastAsia="arial" w:hAnsi="arial" w:cs="arial"/>
          <w:color w:val="000000"/>
          <w:sz w:val="20"/>
          <w:lang w:val="en-US" w:eastAsia="en-US" w:bidi="ar-SA"/>
        </w:rPr>
        <w:t xml:space="preserve"> is "oppressive" or "unfairly prejudicial" to Donald, the question is not simply whether his legal rights have been breached, but whether his equitable rights have been detrimentally affected: see </w:t>
      </w:r>
      <w:r>
        <w:rPr>
          <w:rFonts w:ascii="arial" w:eastAsia="arial" w:hAnsi="arial" w:cs="arial"/>
          <w:i/>
          <w:color w:val="000000"/>
          <w:sz w:val="20"/>
          <w:lang w:val="en-US" w:eastAsia="en-US" w:bidi="ar-SA"/>
        </w:rPr>
        <w:t>Johnston v. West Fraser Timber Company Ltd.</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(1981), 29 B.C.L.R. 379</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Bosman v. Doric Holdings Ltd., Redekop and Wall</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(1978), 6 B.C.L.R. 189</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Financial Network Guaranty Ltd. v. Terra Nova Energy Inc.</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[1987] B.C.J. No. 2646</w:t>
        </w:r>
      </w:hyperlink>
      <w:r>
        <w:rPr>
          <w:rFonts w:ascii="arial" w:eastAsia="arial" w:hAnsi="arial" w:cs="arial"/>
          <w:color w:val="000000"/>
          <w:sz w:val="20"/>
          <w:lang w:val="en-US" w:eastAsia="en-US" w:bidi="ar-SA"/>
        </w:rPr>
        <w:t xml:space="preserve"> (S.C.)(QL).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conclude from the failure of the company to comply with the provisions of the </w:t>
      </w:r>
      <w:r>
        <w:rPr>
          <w:rFonts w:ascii="arial" w:eastAsia="arial" w:hAnsi="arial" w:cs="arial"/>
          <w:i/>
          <w:color w:val="000000"/>
          <w:sz w:val="20"/>
          <w:lang w:val="en-US" w:eastAsia="en-US" w:bidi="ar-SA"/>
        </w:rPr>
        <w:t>Company Act</w:t>
      </w:r>
      <w:r>
        <w:rPr>
          <w:rFonts w:ascii="arial" w:eastAsia="arial" w:hAnsi="arial" w:cs="arial"/>
          <w:color w:val="000000"/>
          <w:sz w:val="20"/>
          <w:lang w:val="en-US" w:eastAsia="en-US" w:bidi="ar-SA"/>
        </w:rPr>
        <w:t xml:space="preserve"> "that the affairs of the company [were] being conducted...in a manner oppressive to one or more of the members." It is clear that at the time Donald filed the petition he had no means to confirm or dispel his suspicions concerning the company's finances. He was prevented from reviewing the company's financial records, he had not been given any financial statements, the company's finances had never been audited, and the company had not held annual general meetings as required by the </w:t>
      </w:r>
      <w:r>
        <w:rPr>
          <w:rFonts w:ascii="arial" w:eastAsia="arial" w:hAnsi="arial" w:cs="arial"/>
          <w:i/>
          <w:color w:val="000000"/>
          <w:sz w:val="20"/>
          <w:lang w:val="en-US" w:eastAsia="en-US" w:bidi="ar-SA"/>
        </w:rPr>
        <w:t>Company Act</w:t>
      </w:r>
      <w:r>
        <w:rPr>
          <w:rFonts w:ascii="arial" w:eastAsia="arial" w:hAnsi="arial" w:cs="arial"/>
          <w:color w:val="000000"/>
          <w:sz w:val="20"/>
          <w:lang w:val="en-US" w:eastAsia="en-US" w:bidi="ar-SA"/>
        </w:rPr>
        <w:t>. There is no evidence that Donald had consented to waiving the statutory requirements concerning annual general meetings or the appointment of an auditor. In my view a shareholder who is put in such a situation is dealt with unfairly "in the matter of his proprietary rights as a shareholder".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find the company for a number of years failed to provide an audited financial statement or hold meetings as required and the purported waiver of that requirement is ineffective.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also find, as I will discuss in relation to all of the evidence, that the respondents were withholding financial information from the petitioner generally. I find Mr. Jeck initially deposed the audit had been waived by the petitioner when he knew he had in fact signed Mr. Skene's name on the resolutions. I find Mr. Jeck allowed his counsel to suggest the resolutions might have been signed by the petitioner's Ontario solicitor knowing that was not the case, compelling the petitioner to expend time and money to file an affidavit to disprove that suggestion. Further, I find Mr. Jeck allowed his solicitor to cross-examine the handwriting expert Mr. Green when Mr. Jeck knew that in fact he had signed Mr. Skene's signature on the resolutions. After all of that, Mr. Jeck took the position at the hearing in December 2013 that he had never denied signing Mr. Skene's name on the resolutions.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think that this conduct supports the inference that Mr. Jeck saw the business as essentially his, and one in which Mr. Skene had no particular interest that had to be respected. I find on all of the evidence that the petitioner thought the company was just "muddling along", because he was told that by Mr. Jeck. Although the company was doing quite well through the period up to 2010 there is no evidence that indicates that relevant financial information was in fact provided to the petitioner. I accept that starting around 2002, CSA Western stopped providing financial statements or any financial information to the petitioner and indicated to the petitioner that the company was "muddling along", suggesting a poorer performance than the company actually had. I have reached that conclusion on a consideration of all of the evidence including an assessment of the credibility of the principals. I have taken into consideration the fact that Mr. Skene allowed the Ontario numbered company's registration lapse; I do not think that really shows a lack of interest in the company or its affairs, but an understanding or a belief that the company was only performing at a very modest level, and that the cost of reinstating the Ontario numbered company might not be worth it. Whether that decision was right or not, I find that, had Mr. Skene known of the true financial performance of the company, it is unlikely he would have let the registration of the petitioner lapse.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find that the respondents have failed to comply with the statutory requirements of providing audited financial statements in the absence of a waiver, that no waiver was made between 2002-2006, and that none was requested subsequently. I find there were no financial statements provided to the petitioner from 2002-2010. I will consider the other allegations in the petition before deciding the significance of this conclusion to the relief that the petitioner is seeking.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Excessive Management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One of the core complaints in this petition is that the majority shareholder, Mr. Jeck, treated the company as his own and in doing so took excessive management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respondents take the position that this is at best only a possible derivative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I find that there is authority that the majority shareholder taking excessive management fees might amount to oppression: see for example </w:t>
      </w:r>
      <w:r>
        <w:rPr>
          <w:rFonts w:ascii="arial" w:eastAsia="arial" w:hAnsi="arial" w:cs="arial"/>
          <w:i/>
          <w:color w:val="000000"/>
          <w:sz w:val="20"/>
          <w:lang w:val="en-US" w:eastAsia="en-US" w:bidi="ar-SA"/>
        </w:rPr>
        <w:t>BCE</w:t>
      </w:r>
      <w:r>
        <w:rPr>
          <w:rFonts w:ascii="arial" w:eastAsia="arial" w:hAnsi="arial" w:cs="arial"/>
          <w:color w:val="000000"/>
          <w:sz w:val="20"/>
          <w:lang w:val="en-US" w:eastAsia="en-US" w:bidi="ar-SA"/>
        </w:rPr>
        <w:t xml:space="preserve"> at para. 93. Excessive remuneration has been properly alleged as a ground of oppression in a number of cases. Some of these cases involve shareholder agreements, some are cases where the shareholder was not the sole director or where shareholders were clearly acting beyond their legal power in diverting funds, and yet others predate the analysis of reasonable expectations set out in </w:t>
      </w:r>
      <w:r>
        <w:rPr>
          <w:rFonts w:ascii="arial" w:eastAsia="arial" w:hAnsi="arial" w:cs="arial"/>
          <w:i/>
          <w:color w:val="000000"/>
          <w:sz w:val="20"/>
          <w:lang w:val="en-US" w:eastAsia="en-US" w:bidi="ar-SA"/>
        </w:rPr>
        <w:t>BCE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For example, in </w:t>
      </w:r>
      <w:r>
        <w:rPr>
          <w:rFonts w:ascii="arial" w:eastAsia="arial" w:hAnsi="arial" w:cs="arial"/>
          <w:i/>
          <w:color w:val="000000"/>
          <w:sz w:val="20"/>
          <w:lang w:val="en-US" w:eastAsia="en-US" w:bidi="ar-SA"/>
        </w:rPr>
        <w:t>Ludlow v. McMillan</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(1995), 6 B.C.L.R. (3d) 163</w:t>
        </w:r>
      </w:hyperlink>
      <w:r>
        <w:rPr>
          <w:rFonts w:ascii="arial" w:eastAsia="arial" w:hAnsi="arial" w:cs="arial"/>
          <w:color w:val="000000"/>
          <w:sz w:val="20"/>
          <w:lang w:val="en-US" w:eastAsia="en-US" w:bidi="ar-SA"/>
        </w:rPr>
        <w:t xml:space="preserve"> (S.C.), the respondent, the owner of legal title to all the shares, held the beneficial interest to 50% of the shares and was the sole director and president of the company. He declared an additional management fee and dividend to be paid to himself that represented more than 70% of the company's cash assets, reducing the company's retained earnings by $186,000 and leaving a deficit of $29,500 and a cash reserve of only $529. The court held that the actions of the respondent in declaring and paying the additional management fee were unfairly prejudicial. Although the case predated </w:t>
      </w:r>
      <w:r>
        <w:rPr>
          <w:rFonts w:ascii="arial" w:eastAsia="arial" w:hAnsi="arial" w:cs="arial"/>
          <w:i/>
          <w:color w:val="000000"/>
          <w:sz w:val="20"/>
          <w:lang w:val="en-US" w:eastAsia="en-US" w:bidi="ar-SA"/>
        </w:rPr>
        <w:t>BCE</w:t>
      </w:r>
      <w:r>
        <w:rPr>
          <w:rFonts w:ascii="arial" w:eastAsia="arial" w:hAnsi="arial" w:cs="arial"/>
          <w:color w:val="000000"/>
          <w:sz w:val="20"/>
          <w:lang w:val="en-US" w:eastAsia="en-US" w:bidi="ar-SA"/>
        </w:rPr>
        <w:t xml:space="preserve">, it can be viewed as one where the concept of reasonable expectations prevailed. As stated in </w:t>
      </w:r>
      <w:r>
        <w:rPr>
          <w:rFonts w:ascii="arial" w:eastAsia="arial" w:hAnsi="arial" w:cs="arial"/>
          <w:i/>
          <w:color w:val="000000"/>
          <w:sz w:val="20"/>
          <w:lang w:val="en-US" w:eastAsia="en-US" w:bidi="ar-SA"/>
        </w:rPr>
        <w:t>Rupcich v. Mravcak</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2013 SKQB 77</w:t>
        </w:r>
      </w:hyperlink>
      <w:r>
        <w:rPr>
          <w:rFonts w:ascii="arial" w:eastAsia="arial" w:hAnsi="arial" w:cs="arial"/>
          <w:color w:val="000000"/>
          <w:sz w:val="20"/>
          <w:lang w:val="en-US" w:eastAsia="en-US" w:bidi="ar-SA"/>
        </w:rPr>
        <w:t>, shareholders can reasonably expect that directors will not "strip the company of its assets, or provide that the directors receive excessive remuneration" (at para. 147).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However, whether or not the claim of excessive remuneration in this case is properly a derivative claim only, in these circumstances I find it is appropriate to consider it because it is an important contextual factor which impacts on my assessment of the claim for non-provision of financial information, which the respondents have not suggested is a derivative claim only. I find I am unable to properly assess the effect of the claim for non-provision of financial information without considering whether Mr. Jeck was drawing excessive management fees while allegedly attempting to mislead Mr. Skene and the petitioner about the true financial state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Has this claim of excessive remuneration been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There is a dispute in the evidence about what Mr. Jeck's income from the company was, which I will address in the discussion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petitioner says that in the eight fiscal years between 2004 and 2011 Mr. Jeck took an average of $326,000 per annum during a period when no dividends were paid to the minority shareholder. The petitioner says this remuneration exceeded the historical pattern of Mr. Jeck's remuneration, and the reasonable expectations of the parties, to the extent that it constituted oppressive and unduly prejudicial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An initial question in addressing this issue is the determination of whether there were objectively reasonable expectations for management fees and if so what they were. Was there an objective expectation that the management fees payable to the majority shareholder operating the business would be at a certain level or within a range such that fees beyond that level or outside that range would be considered excessive?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As I noted earlier in my brief review of the law applicable in oppression proceedings, determining the reasonable expectations of the shareholders is a question of fact that can be proven by direct evidence or by reasonable inference from circumstantial evidence: </w:t>
      </w:r>
      <w:r>
        <w:rPr>
          <w:rFonts w:ascii="arial" w:eastAsia="arial" w:hAnsi="arial" w:cs="arial"/>
          <w:i/>
          <w:color w:val="000000"/>
          <w:sz w:val="20"/>
          <w:lang w:val="en-US" w:eastAsia="en-US" w:bidi="ar-SA"/>
        </w:rPr>
        <w:t>BCE</w:t>
      </w:r>
      <w:r>
        <w:rPr>
          <w:rFonts w:ascii="arial" w:eastAsia="arial" w:hAnsi="arial" w:cs="arial"/>
          <w:color w:val="000000"/>
          <w:sz w:val="20"/>
          <w:lang w:val="en-US" w:eastAsia="en-US" w:bidi="ar-SA"/>
        </w:rPr>
        <w:t xml:space="preserve"> at para. 59. The starting point in any examination of reasonable expectations is the legal rights of the parties as described in the articles of incorporation: </w:t>
      </w:r>
      <w:r>
        <w:rPr>
          <w:rFonts w:ascii="arial" w:eastAsia="arial" w:hAnsi="arial" w:cs="arial"/>
          <w:i/>
          <w:color w:val="000000"/>
          <w:sz w:val="20"/>
          <w:lang w:val="en-US" w:eastAsia="en-US" w:bidi="ar-SA"/>
        </w:rPr>
        <w:t>Safarik v. Ocean Fisheries Ltd.</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(1995), 12 B.C.L.R. (3d) 342</w:t>
        </w:r>
      </w:hyperlink>
      <w:r>
        <w:rPr>
          <w:rFonts w:ascii="arial" w:eastAsia="arial" w:hAnsi="arial" w:cs="arial"/>
          <w:color w:val="000000"/>
          <w:sz w:val="20"/>
          <w:lang w:val="en-US" w:eastAsia="en-US" w:bidi="ar-SA"/>
        </w:rPr>
        <w:t xml:space="preserve"> at para. 15 (C.A.)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Southin J.A. However, shareholders hold certain equitable rights in addition to their strict legal rights, which the doctrine of reasonable expectations protects.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A shareholder's reasonable expectations that are entitled to protection may go beyond his or her strict legal rights, but as noted by Southin J.A. in </w:t>
      </w:r>
      <w:r>
        <w:rPr>
          <w:rFonts w:ascii="arial" w:eastAsia="arial" w:hAnsi="arial" w:cs="arial"/>
          <w:i/>
          <w:color w:val="000000"/>
          <w:sz w:val="20"/>
          <w:lang w:val="en-US" w:eastAsia="en-US" w:bidi="ar-SA"/>
        </w:rPr>
        <w:t>Safarik</w:t>
      </w:r>
      <w:r>
        <w:rPr>
          <w:rFonts w:ascii="arial" w:eastAsia="arial" w:hAnsi="arial" w:cs="arial"/>
          <w:color w:val="000000"/>
          <w:sz w:val="20"/>
          <w:lang w:val="en-US" w:eastAsia="en-US" w:bidi="ar-SA"/>
        </w:rPr>
        <w:t xml:space="preserve"> and more recently by Mr. Justice N. Smith in </w:t>
      </w:r>
      <w:r>
        <w:rPr>
          <w:rFonts w:ascii="arial" w:eastAsia="arial" w:hAnsi="arial" w:cs="arial"/>
          <w:i/>
          <w:color w:val="000000"/>
          <w:sz w:val="20"/>
          <w:lang w:val="en-US" w:eastAsia="en-US" w:bidi="ar-SA"/>
        </w:rPr>
        <w:t>Runnalls v. Regent Holdings Ltd.,</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2010 BCSC 1106</w:t>
        </w:r>
      </w:hyperlink>
      <w:r>
        <w:rPr>
          <w:rFonts w:ascii="arial" w:eastAsia="arial" w:hAnsi="arial" w:cs="arial"/>
          <w:color w:val="000000"/>
          <w:sz w:val="20"/>
          <w:lang w:val="en-US" w:eastAsia="en-US" w:bidi="ar-SA"/>
        </w:rPr>
        <w:t xml:space="preserve"> at para. 42, the analysis must still begin with the consideration of the legal rights of the parties as defined in the articles.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agree with Mr. Morgan that Mr. Skene had no expectation he would be involved in management and had no unfettered right to or agreement to dividends. The question of management fees must be viewed in that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At the most basic level, however, the reasonable expectation of shareholders must be taken to include an expectation that directors will act in the best interests of the company, which they have a fiduciary duty to do. The extent to which shareholders can reasonably expect more than that depends on the circumstances of each case, viewed through the lens of the factors described by the Supreme Court of Canada in </w:t>
      </w:r>
      <w:r>
        <w:rPr>
          <w:rFonts w:ascii="arial" w:eastAsia="arial" w:hAnsi="arial" w:cs="arial"/>
          <w:i/>
          <w:color w:val="000000"/>
          <w:sz w:val="20"/>
          <w:lang w:val="en-US" w:eastAsia="en-US" w:bidi="ar-SA"/>
        </w:rPr>
        <w:t>BCE</w:t>
      </w:r>
      <w:r>
        <w:rPr>
          <w:rFonts w:ascii="arial" w:eastAsia="arial" w:hAnsi="arial" w:cs="arial"/>
          <w:color w:val="000000"/>
          <w:sz w:val="20"/>
          <w:lang w:val="en-US" w:eastAsia="en-US" w:bidi="ar-SA"/>
        </w:rPr>
        <w:t xml:space="preserve"> at para. 72. They are:</w:t>
      </w:r>
      <w:r>
        <w:rPr>
          <w:rFonts w:ascii="arial" w:eastAsia="arial" w:hAnsi="arial" w:cs="arial"/>
          <w:sz w:val="20"/>
          <w:lang w:val="en-US" w:eastAsia="en-US" w:bidi="ar-SA"/>
        </w:rPr>
        <w:cr/>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commercial practice;</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corporation;</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parties;</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practice;</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steps the claimant should have taken to protect itself;</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representations and agreements; and</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fair resolution of conflicting interests between corporate stakeholders.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petitioner contends that the management fees taken by the respondent Mr. Jeck from the company amount to oppressive conduct because the payments made by the company to Mr. Jeck, although they may strictly speaking have been within the legal rights of the director to authorize, nevertheless go far beyond the reasonable expectations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In the case at bar, the petitioner asserts that his expectation was that the company would sell engineering services relying on the well-established brand of CSA Building and the reputation, expertise and accreditation of Mr. Skene; that the company would pay him a reasonable management fee at a range of $50,000- $70,000 per annum; and that if the company succeeded in generating profits in excess of a comfortable management wage, Mr. Skene would share in those profits commensurate with his 44% shareholding. That may have been Mr. Skene's subjective belief but there was no specific discussion or agreement between Mr. Skene and Mr. Jeck to that effect. There was no written shareholders' agreement, Mr. Jeck was the president of the company since inception, and the articles permitted the directors -- of which Mr. Jeck was the sole director -- to set the remuneration of the officers. While it may be, as noted in </w:t>
      </w:r>
      <w:r>
        <w:rPr>
          <w:rFonts w:ascii="arial" w:eastAsia="arial" w:hAnsi="arial" w:cs="arial"/>
          <w:i/>
          <w:color w:val="000000"/>
          <w:sz w:val="20"/>
          <w:lang w:val="en-US" w:eastAsia="en-US" w:bidi="ar-SA"/>
        </w:rPr>
        <w:t>BCE</w:t>
      </w:r>
      <w:r>
        <w:rPr>
          <w:rFonts w:ascii="arial" w:eastAsia="arial" w:hAnsi="arial" w:cs="arial"/>
          <w:color w:val="000000"/>
          <w:sz w:val="20"/>
          <w:lang w:val="en-US" w:eastAsia="en-US" w:bidi="ar-SA"/>
        </w:rPr>
        <w:t xml:space="preserve"> at para. 93, unfairly prejudicial to prefer some shareholders with management fees and to pay directors' fees "higher than the industry norm", that begs the question of what is that norm and whether the fees paid to the operator were excessive to the point of being unfairly prejudicial to the minority shareholder.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Runnalls</w:t>
      </w:r>
      <w:r>
        <w:rPr>
          <w:rFonts w:ascii="arial" w:eastAsia="arial" w:hAnsi="arial" w:cs="arial"/>
          <w:color w:val="000000"/>
          <w:sz w:val="20"/>
          <w:lang w:val="en-US" w:eastAsia="en-US" w:bidi="ar-SA"/>
        </w:rPr>
        <w:t>, the majority shareholder performed a management role in the development of a marina and the minority shareholders did not. In reaching the conclusion that he was unable to find the management and directors' fees were so unreasonable as to be oppressive (other than a single payment of $540,000), the trial judge said (at para. 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this case, there is no doubt that Mr. Ewachniuk has performed a management role and the minority shareholders have not. As for the value of those services, I am not persuaded that the fees charged by a commercial property manager, who has no equity in the business and may be working for a number of clients, is a valid comparison or that it constitutes evidence of an "industry norm".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That passage highlights a difficulty on this part of the application that I will address after considering the remuneration that Mr. Jeck received during the years prior to the petition. Mr. Jeck was not simply a manager, he also held an equity position as the majority shareholder of the company. Moreover, an analysis of the expert evidence, which I will describe in a moment, shows the importance of finding a proper comparator for determining whether the remuneration paid to a person running a business is excessive or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What were the management fees paid to Mr. Jeck? According to the petitioner, in the years 2004- 2012, the revenue, net income and management fees of the company were as follows: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359.25pt;height:245.25pt">
            <v:imagedata r:id="rId64"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petitioner's position is that during the period 2004-2011 the company made a profit of slightly more than $3 million. The petitioner contends this was enough to sustain a reasonable management wage of $75,000-$100,000 per annum; however, the average management wage during this period was $326,000 per year, during which no shareholders' meetings were held or dividends paid, and there was only one resolution in 1994 authorizing a $15,000 bonus to Mr. Jeck.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respondents dispute this analysis. Although the petitioner contends that Mr. Jeck made $596,249 in management wages in 2012, the respondents say that the number is overstated by including a loan worth $259,894 (which has been re-paid to CSA Western), a loan to CS Analytics worth $22,352 (which has been re-paid to CSA Western), the company's legal fees, and Maria Jeck's salary of $70,000.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respondents say that Mr. Jeck's management fees were an average of $255,992 between 2004 and 2012 and that for the five years in that period in which CSA Western's revenue exceeded $1 million, Mr. Jeck earned $326,633 per annum.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Although Mr. Jeck in his first affidavit confirmed the management fees that the petitioner alleges were received by him for the years 2004-2011, his current position is that the figures need to be corrected to reflect his income, and not items such as Mrs. Jeck's income. The respondents say that the figures should be as follows for the period 2004 to 2012:</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035" type="#_x0000_t75" style="width:354.75pt;height:240pt">
            <v:imagedata r:id="rId65"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Accordingly, one issue that I need to address in considering whether Mr. Jeck's remuneration is excessive is whether it should include Mrs. Jeck's compensation. Keeping that issue in mind, let me first turn to 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Each side filed an affidavit from an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petitioner introduced the evidence of Brent Lyon, an engineering recruiter, who was qualified as an expert in employee salaries in engineering companies. He was cross-examined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Mr. Lyon approached the question in terms of a market salary if CSA Western were to hire an outside manager to run the business to replace the current owner/manager. He expected the employer to pay a base salary in the range of $110,000 to $120,000 plus a bonus of 10-20% such that annual compensation for the role described would not exceed $164,000 annually as an "absolute maximum".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Mr. Lyon's opinion, only companies of 50 or more employees had salaries for consulting engineering managers of more than $200,000. The respondents submit that Mr. Lyon's expert reports are inadmissible because they fail to set out his facts and assumptions; because the market salary for a manager is not relevant to the issues between the parties, as that is not the only role played by Mr. Jeck; and because Mr. Lyon testified as an advocate. I have concluded that Mr. Lyon's evidence is admissible but there are a number of factors that affect the weight that I should attach to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Mr. Lyon acknowledged that there was a significant difference between a CEO and a manager. Given that Mr. Lyon did not set out in his affidavit his assumptions and exactly what duties and responsibilities he had in mind for Mr. Jeck, it is difficult to see what role Mr. Lyon had in mind for a manager he took to perform a role reasonably comparable to that of Mr. Jeck. I agree with Mr. Morgan that there were times during Mr. Lyon's cross-examination when Mr. Lyon lapsed into advocacy. He appears to have approached the issue on the basis of finding the lowest salary, as for example when he opined in his second affidavit that CSA Western could hire a manager "for as little as $140,000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At the completion of his evidence, I reached the conclusion that Mr. Lyon's opinion was largely an initial impression. Although I am able to place some weight on Mr. Lyon's opinion, the difficulty I have is that the role performed by the hypothetical person in Mr. Lyon's scenario that is the basis of his opinion was not the role performed by Mr. Jeck for CSA Western. I am therefore unable to conclude on the basis of Mr. Lyon's opinion alone that the compensation paid to Mr. Jeck was excessive.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respondents introduced affidavit evidence from Barry Cook, a partner with Western Compensation &amp; Benefits Consultants, who has 30 years' experience providing compensation consulting services. He was not required for cross-examination. His approach was quite different from Mr. Lyon's.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Cook opined that Mr. Jeck's role at CSA Western was appropriately described as a president and chief executive officer; that it was not appropriate to compare his salary to that of a consulting engineer; that for comparison purposes it was appropriate to review compensation in other small entities paid to CEOs; and that remuneration commonly includes certain long-term incentive plans, an annual bonus, perks and insurance and retirement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Mr. Cook's opinion was that to attract, motivate and retain an individual competent to perform the CSA Western president's role, the common approach followed by companies is to set salary at the 50th percentile of the comparison market and provide incentive plans which permit a total compensation to increase to perhaps the 75th percentile or more if the company's performance and the individual's performance are judged to be very good. He opined that a salary equivalent to the 50th percentile would be $173,000, a salary equivalent to the 75th percentile would be $191,000, and that if the company wished to pay annual cash compensation (i.e. salary plus annual bonus) equal to the 50th percentile, the annual bonus would be approximately 47% of annual salary, whereas if the company wished to pay annual cash compensation equal to the 75th percentile, the annual bonus opportunity would be 80-100% of salary. On this basis, Mr. Cook deposed that the annual compensation would be in the following range between the 50th and 75th percentile: from a low of $271,000 to $280,000, to an average of $292,000 and $301,000, to a high of $365,000 to $375,000. In addition, he said the company should provide an annual car allowance, group insurance and a defined retirement arrangement where the company contributes between 4-5% of salary.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One difficulty with the expert evidence in this case on both sides was that neither expert directly addressed the appropriate compensation in the marketplace for a person precisely in Mr. Jeck's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Mr. Jeck, in my view, did not fill the role that was simply the equivalent of a manager but had responsibility for all aspects of the company's business. On the other hand, Mr. Cook's comparison of compensation paid to persons running similar small businesses as CEOs with bonuses for success was not completely accurate, because Mr. Jeck was also a majority owner of the company and in that capacity would benefit from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Accordingly, I found the opinion evidence overall to be of limited assistance in determining whether in comparison to some industry norm it could be said that the management fees were excessive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However, having reviewed the evidence, I think that the remuneration that Mr. Jeck receives should be taken to include monies that he subsequently said should be treated as payments to Mrs. Jeck. I do that because I think that his initial statement of his income in his earlier affidavit is more likely to be accurate and I was not persuaded on the evidence that the payment by the company to Mrs. Jeck was other than for income splitting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Accordingly, I conclude that for the period prior to the issuance of the petition, in the eight years from 2004 to 2011, Mr. Jeck earned an average income of $326,156, and in the period from 2007 to 2011 prior to the issuance of the petition, his average income was $413,212. In the period from 2004 to 2011 there were no dividends to the shareholders. I also find that in the years 2010 and 2011, Mr. Jeck received $634,262 and $511,156,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Based on all of the evidence before me, and in light of the foregoing discussion, the question remains whether the petitioner has demonstrated that the remuneration Mr. Jeck caused to be paid to himself was so high as to be excessive and oppressive or unfairly prejudicial to the rights of the minority shareholder.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As I mentioned at the outset of this discussion, there is little in the evidence to support what, objectively, the reasonable expectations of these shareholders were in terms of Mr. Jeck's remuneration. The respondents say although Mr. Skene deposed his expectation was that Mr. Jeck would pay himself an appropriate wage in the amount of $50,000 to $75,000 per year, he also deposed that he expected Mr. Jeck's wages to increase above 1993 levels, and he would not have objected to a comfortable management wage approaching $100,000. Mr. Skene confirmed on cross-examination that he never discussed his expectations in that regard with Mr. Jeck. He also deposed that Mr. Jeck's salary between 1993 and 2001 was not very different from what he expected, although he was "a little surprised" about Mr. Jeck's salary of $131,880 in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I find Mr. Jeck has been very well rewarded for his efforts by the compensation he has received. The figures for 2010 and 2011 are high, even by Mr. Cook's analysis. However, I am drawn to the conclusion that while the remuneration Mr. Jeck awarded himself was quite high, given that he has a majority equity interest and as majority owner is able to benefit from his shareholding if the company does well, the remuneration he has received overall was not shown to be so high that, </w:t>
      </w:r>
      <w:r>
        <w:rPr>
          <w:rFonts w:ascii="arial" w:eastAsia="arial" w:hAnsi="arial" w:cs="arial"/>
          <w:color w:val="000000"/>
          <w:sz w:val="20"/>
          <w:u w:val="single"/>
          <w:lang w:val="en-US" w:eastAsia="en-US" w:bidi="ar-SA"/>
        </w:rPr>
        <w:t>in and of itself</w:t>
      </w:r>
      <w:r>
        <w:rPr>
          <w:rFonts w:ascii="arial" w:eastAsia="arial" w:hAnsi="arial" w:cs="arial"/>
          <w:color w:val="000000"/>
          <w:sz w:val="20"/>
          <w:lang w:val="en-US" w:eastAsia="en-US" w:bidi="ar-SA"/>
        </w:rPr>
        <w:t>, it was oppressive or unfairly prejudicial.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question however arises whether very high compensation to the majority shareholder, particularly as was the case in 2010 and 2011, if not in of itself oppressive or unfairly prejudicial, is a factor that may be taken into account when considering whether the petitioner has demonstrated oppressive or unfairly prejudicial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respondents argue that the proper approach is one that I might describe as water-tight compartments; in other words, the respondents say that the proper approach is for the court to examine each allegation in isolation to see if the claim of oppression or unfair prejudice is made out. I disagree with that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The law, I think, is settled that allegations of oppressive or unfairly prejudicial conduct are to be assessed in combination and context, rather than in isolation. The authors of the second edition of </w:t>
      </w:r>
      <w:r>
        <w:rPr>
          <w:rFonts w:ascii="arial" w:eastAsia="arial" w:hAnsi="arial" w:cs="arial"/>
          <w:i/>
          <w:color w:val="000000"/>
          <w:sz w:val="20"/>
          <w:lang w:val="en-US" w:eastAsia="en-US" w:bidi="ar-SA"/>
        </w:rPr>
        <w:t>Shareholder Remedies in Canada</w:t>
      </w:r>
      <w:r>
        <w:rPr>
          <w:rFonts w:ascii="arial" w:eastAsia="arial" w:hAnsi="arial" w:cs="arial"/>
          <w:color w:val="000000"/>
          <w:sz w:val="20"/>
          <w:lang w:val="en-US" w:eastAsia="en-US" w:bidi="ar-SA"/>
        </w:rPr>
        <w:t xml:space="preserve"> (Markham, ON: LexisNexis Canada, 2009) put it this way at s.17.18: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no single event may qualify as oppressive conduct, such conduct may arise when various events are considered together. Similarly a finding of oppression depends on a consideration of all of the evidence rather than isolated incidents, and such evidence considered as a whole may suggest that no oppression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To the same effect, see David S. Morritt, Sibua K, Bjornquist &amp; Allan D. Coleman, </w:t>
      </w:r>
      <w:r>
        <w:rPr>
          <w:rFonts w:ascii="arial" w:eastAsia="arial" w:hAnsi="arial" w:cs="arial"/>
          <w:i/>
          <w:color w:val="000000"/>
          <w:sz w:val="20"/>
          <w:lang w:val="en-US" w:eastAsia="en-US" w:bidi="ar-SA"/>
        </w:rPr>
        <w:t>The Oppression Remedy</w:t>
      </w:r>
      <w:r>
        <w:rPr>
          <w:rFonts w:ascii="arial" w:eastAsia="arial" w:hAnsi="arial" w:cs="arial"/>
          <w:color w:val="000000"/>
          <w:sz w:val="20"/>
          <w:lang w:val="en-US" w:eastAsia="en-US" w:bidi="ar-SA"/>
        </w:rPr>
        <w:t xml:space="preserve"> (Canada: Canada Law Book, 2007) at 5:20; </w:t>
      </w:r>
      <w:r>
        <w:rPr>
          <w:rFonts w:ascii="arial" w:eastAsia="arial" w:hAnsi="arial" w:cs="arial"/>
          <w:i/>
          <w:color w:val="000000"/>
          <w:sz w:val="20"/>
          <w:lang w:val="en-US" w:eastAsia="en-US" w:bidi="ar-SA"/>
        </w:rPr>
        <w:t>Paley v. Leduc</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2002 BCSC 1757</w:t>
        </w:r>
      </w:hyperlink>
      <w:r>
        <w:rPr>
          <w:rFonts w:ascii="arial" w:eastAsia="arial" w:hAnsi="arial" w:cs="arial"/>
          <w:color w:val="000000"/>
          <w:sz w:val="20"/>
          <w:lang w:val="en-US" w:eastAsia="en-US" w:bidi="ar-SA"/>
        </w:rPr>
        <w:t xml:space="preserve"> at para. 33; and </w:t>
      </w:r>
      <w:r>
        <w:rPr>
          <w:rFonts w:ascii="arial" w:eastAsia="arial" w:hAnsi="arial" w:cs="arial"/>
          <w:i/>
          <w:color w:val="000000"/>
          <w:sz w:val="20"/>
          <w:lang w:val="en-US" w:eastAsia="en-US" w:bidi="ar-SA"/>
        </w:rPr>
        <w:t>Walker v. Betts</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2006 BCSC 128</w:t>
        </w:r>
      </w:hyperlink>
      <w:r>
        <w:rPr>
          <w:rFonts w:ascii="arial" w:eastAsia="arial" w:hAnsi="arial" w:cs="arial"/>
          <w:color w:val="000000"/>
          <w:sz w:val="20"/>
          <w:lang w:val="en-US" w:eastAsia="en-US" w:bidi="ar-SA"/>
        </w:rPr>
        <w:t xml:space="preserve"> at para. 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Thus, I will review the findings that I make later in this judgment and then determine whether the petitioner has established conduct on the part of the respondents entitling it to a remedy under the statute.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Forgery of Engineering Reports and Related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 turn to the question of the alleged forgery by Mr. Jeck of Mr. Skene's signature on engineering documents. This is alleged by the petitioner to be another ground for finding oppression or unfairly prejudicial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petitioner asserts this allegation relates to the oppression claim directly, which is disputed by the respondents, in addition to matters of credibility and the issue of forgery of corporate resolutions that I have discussed above. The petitioner also asserts that it is a claim entitling the petitioner to a remedy akin to damages for unjust enrichment for the benefit that the respondents have received unlawfully by affixing Mr. Skene's seal and signature to engineering documents. The petitioner refers to this as a claim for unjust enrichment, or what Mr. Fleming refers to as the penal rule of equity.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petitioner asserts that Mr. Jeck affixed Mr. Skene's signature and professional stamp on numerous engineering reports and related documents required for CSA Western's work. The petitioner asserts, in general terms, that Mr. Jeck's improper use of Mr. Skene's signature and stamp as a professional engineer generated revenue for the company in excess of one million dollars while saving the company the cost of hiring an engineer of about $450,000.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The respondents deny that any affixing of Mr. Skene's signature and stamp was done without his consent and argue, in any event, that the alleged improper use of his signature and professional stamp between 1998 and 2004 is statute barred by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They also say that the claim based on the alleged forgeries is not an oppression claim and is at best a personal claim of Mr. Skene and not a claim of the petitioner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Whether the allegation of forgery and improper use of Mr. Skene's stamp is properly the subject matter of an oppression claim, or whether it is simply a personal claim by Mr. Skene or the petitioner against the company that should be brought in a separate proceeding, if at all, is at issue between the parties. However, in my view, the issue of the authorized or unauthorized use of the stamp and Mr. Skene's signature at least relates to the question of credibility between the principals of the main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It is first necessary to provide some background as to how this issue arose in this litigation.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History of the Allegation of Forgery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In Mr. Jeck's first affidavit, he disputed Mr. Skene's asserted contribution to the overall success of CSA Western. Mr. Jeck stated that a building envelope professional's accreditation was denied to Mr. Skene in 2000 even after a challenge to that denial by Mr. Skene. Mr. Jeck noted that in 2004 Mr. Skene's engineering license was changed to non-practicing with the APEGBC and that in 2006 a complaint was lodged by two former employees, Mr. and Mrs. Kennedy, about the lack of Mr. Skene's presence while he ought to be mentoring junior engineers. Mr. Jeck deposed that the matter was resolved by Mr. Skene's resignation and return of his professional stamp, even though he was already a non-practicing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petitioner responded by filing affidavits from the Kennedys, the former employees of CSA Western and the complainants to the APEGBC. Their affidavits indicated that the 2006 complaint was to the following effect. At the outset of the Kennedys' employment at CSA Western, employees would complete engineering documents and they would be couriered to Mr. Skene wherever he was working and then returned, signed. Mr. Kennedy deposed that after a short time, the process of sending draft reports to Mr. Skene for his review and approval changed. Mr. Kennedy said that Mr. Jeck would forge Mr. Skene's signature and apply Mr. Skene's professional stamp without involving Mr. Skene.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In Mr. Jeck's third affidavit, sworn in August, 2012, he replied to this allegation, as follows:</w:t>
      </w:r>
      <w:r>
        <w:rPr>
          <w:rFonts w:ascii="arial" w:eastAsia="arial" w:hAnsi="arial" w:cs="arial"/>
          <w:sz w:val="20"/>
          <w:lang w:val="en-US" w:eastAsia="en-US" w:bidi="ar-SA"/>
        </w:rPr>
        <w:cr/>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event, I deny that I ever forged Mr. Skene's signature on any reports or other documents as alleged in the K. Kennedy Affidavit #1 and M. Kennedy Affidavit #1 or otherwise, nor did I improperly place his stamp on any documents without his knowledge as alleged or otherwise. It simply never happened and there was certainly no finding by APEGBC, despite their extensive investigations, which could have corroborated the Kennedys' complaints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At the October 2012 hearing before me, the respondents took the position that the Kennedy affidavits were not relevant to any issue in the pleadings, although there was cross-examination of the expert witness, Mr. Green, who had opined on the apparent validity of Mr. Skene's signature on the corporate resolutions. After submissions from counsel, I directed that the pleadings be amended and ordered that documents be produced. I expected that the production of documents from the company's files would resolve the question of whether there had been forgeries to the engineering documents as was now asserted in the petition and as was asserted in the Kennedy affidavits.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amended pleadings included the allegation of forging Mr. Skene's name and putting the public at risk. In addition to the allegation of forgery concerning the shareholders' resolutions, the amended pleadings now contained this assertion, as amended in November 2012 (Part 1 at para. 1):</w:t>
      </w:r>
      <w:r>
        <w:rPr>
          <w:rFonts w:ascii="arial" w:eastAsia="arial" w:hAnsi="arial" w:cs="arial"/>
          <w:sz w:val="20"/>
          <w:lang w:val="en-US" w:eastAsia="en-US" w:bidi="ar-SA"/>
        </w:rPr>
        <w:cr/>
      </w:r>
    </w:p>
    <w:p>
      <w:pPr>
        <w:numPr>
          <w:numId w:val="58"/>
        </w:numPr>
        <w:spacing w:before="120" w:line="24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forging Skene's signature on CSA Western's engineering reports and applying Skene's professional engineering stamp on those reports from [1999] 1998 to [2003] 2004, and by doing so putting the safety of the public at risk as well as putting both CSA Western (and Jeck and Skene personally) at risk of damage; [and] </w:t>
      </w:r>
      <w:r>
        <w:rPr>
          <w:rFonts w:ascii="arial" w:eastAsia="arial" w:hAnsi="arial" w:cs="arial"/>
          <w:color w:val="000000"/>
          <w:sz w:val="18"/>
          <w:lang w:val="en-US" w:eastAsia="en-US" w:bidi="ar-SA"/>
        </w:rPr>
        <w:t>[Editor's note: Text in brackets is struck out in the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No evidence of risk to the public was ever put forward by the petitioner.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response of the respondents, amended in November 2012, contained this reply (Part 4):</w:t>
      </w:r>
      <w:r>
        <w:rPr>
          <w:rFonts w:ascii="arial" w:eastAsia="arial" w:hAnsi="arial" w:cs="arial"/>
          <w:sz w:val="20"/>
          <w:lang w:val="en-US" w:eastAsia="en-US" w:bidi="ar-SA"/>
        </w:rPr>
        <w:cr/>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Jeck did not sign Mr. Skene's signature on CSA Western's engineering reports without his knowledge or without his instruction to do so.</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any of Mr. Skene's signatures on CSA Western's engineering reports have been forged, the forgeries were done without the knowledge or consent of the Respondents.</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Jeck did not apply Mr. Skene's professional engineering stamp on CSA Western engineering reports without his knowledge or without his instruction to do so.</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Mr. Skene's professional engineering stamp was applied on CSA Western engineering reports without Mr. Skene's knowledge or at his instruction, the application of the stamp was done without the knowledge or consent of the Respondents.</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 safety has never been put at risk by the Respondents. Further, the Respondents have never knowingly or intentionally put Mr. Skene or themselves at risk of damages as a result of CSA Western's engineering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The respondents also pleaded that Mr. Skene was put on notice at the latest by September 2006 by the Kennedys' complaint that his signature was being applied to engineering reports, and thus that the claim was statute-barred by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During a lengthy adjournment the respondents produced numerous CSA Western files so that Mr. Skene could review them in order to advance what documents were "forgeries". I anticipated that Mr. Skene would review the documents and point out any engineering documents purportedly bearing his signature that he alleged to be forgeries.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Mr. Skene deposed that he reviewed 53,000 pages of documents over eight-and-a-half days and identified numerous signatures in the documents produced by CSA Western that he said were not 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petitioner then filed two further expert reports dealing with the issue of whether the signatures were forgeries or not. The petitioner also took the position that the company earned significant revenue and generated savings of $75,000 per year by not having to hire an engineer and by simply forging Mr. Skene's signature on engineering reports and what were referred to as "process documents", a term used by Mr. Skene.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After this extensive document production, but while the allegation that public safety was endangered by the forgeries was still a live issue, Mr. Jeck swore the following statement in his fourth affidavit of June 26, 2013:</w:t>
      </w:r>
      <w:r>
        <w:rPr>
          <w:rFonts w:ascii="arial" w:eastAsia="arial" w:hAnsi="arial" w:cs="arial"/>
          <w:sz w:val="20"/>
          <w:lang w:val="en-US" w:eastAsia="en-US" w:bidi="ar-SA"/>
        </w:rPr>
        <w:cr/>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shocked and extremely surprised that Mr. Skene is alleging that I forged his signature on engineering reports and other documents for CSA Western. As I will describe in greater detail, due to his absence from this jurisdiction and his residence in either eastern Canada or eastern U.S. at material times, Mr. Skene asked me to sign and/or stamp documents on his behalf and authorized me to do so throughout the time period during which he now alleges that those signatures are "forgeries". I have never signed or stamped a document on Mr. Skene's behalf unless it was at his direction and/or with his authorization. In other words, I wholeheartedly dispute Mr. Skene's allegation that I "forged" his signature or misused his professional stamp.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issue was no longer whether the signature on the documents was actually Mr. Skene's but whether Mr. Skene had authorized Mr. Jeck to affix his signature.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parties have directly contrasting positions on whether the affixing of Mr. Skene's signature by Mr. Jeck to any document was ever authorized by Mr. Skene.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Mr. Jeck said that the practice of signing Mr. Skene's name began when Mr. Skene was absent from B.C. at his residence in eastern Canada and the eastern U.S. and Mr. Skene asked Mr. Jeck to sign documents on his behalf. The respondents say that Mr. Skene's protestations that this would be a gross breach of professional standards should be ignored because Mr. Skene admitted confidence and trust in the work of CSA Western -- something which is supported by the fact that he had signed off as a professional engineer on projects before construction had begun. On cross-examination, Mr. Skene agreed that he had pre-signed documents approving the work on completion, something which Mr. Morgan suggests is not far removed from allowing Mr. Jeck to sign Mr. Skene's signature.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Mr. Morgan, counsel for the respondents, argues that there is ample evidence that Mr. Skene was involved in projects that contain his "applied signature" which is circumstantial evidence that corroborates that he was aware of and approved of the work and authorized or must have authorized Mr. Jeck to sign his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Mr. Morgan argues Mr. Skene's position that he was not aware and did not authorize Mr. Jeck to apply his signature is not tenable. He points to the earlier position of Mr. Skene, who says that he investigated and disputed the complaint by the Kennedys in 2006 and provided a complete response. At that time he spoke of regularly receiving packages from CSA Western and that he would have been shocked and surprised if anyone used his engineering stamp as described in the complaint. Mr. Morgan says that if Mr. Skene has not in fact signed nor authorized his signature on any document past 2000, as he now asserts, then it is inconceivable that when the complaint was raised in 2006 (for a period ending in 2003), Mr. Skene did not tell APEGBC that he had not signed or stamped documents for CSA Western for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Mr. Jeck acknowledges signing Mr. Skene's signature was not an appropriate practice but says it was acquiesced in and accepted by Mr. Skene. Mr. Jeck asserts that Mr. Skene is now "playing chicken with the truth" to gain an advantage in this litigation, knowing that neither of the principals of CSA Western could initially come forward and admit that Mr. Skene's signature as an engineer was applied by Mr. Jeck.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Mr. Skene flatly denies giving Mr. Jeck this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petitioner argues that Mr. Jeck's current evidence contradicts the respondents' earlier position that the production of engineering files by CSA Western would resolve the question of whether there were forgeries or not. The petitioner says it also contradicts Mr. Jeck's previous sworn evidence that there was no merit to the Kennedys' complaint. The petitioner contends that there is no corroborative evidence to support the position that Mr. Jeck had Mr. Skene's authorization to affix his signature and that there are no emails, notes or documents that reflect it. Mr. Fleming argues that small involvement or participation by Mr. Skene in a few files in which there are forgeries does not show his consent nor does the absence of documents actually signed by him, because the petitioner asserts it is unclear that CSA Western has produced all of the relevant files.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Discussion of the forgery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Did Mr. Jeck apply Mr. Skene's signature on numerous engineering documents with Mr. Skene's consent? I have concluded that I am able to resolve this conflict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 have considered the evidence of the main witnesses under cross-examination both before me and before a court reporter. I have also considered the circumstantial evidence surrounding the alleged forgeries, the prior statements of the parties under oath, the plausibility of each version, and the presence or absence of corroborative circumstantial evidence as to whether Mr. Skene knew and authorized this alleged practice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petitioner argues that it is inconceivable that Mr. Skene who has had a lengthy career as a professional engineer would risk his reputation and his practicing certificate by allowing his signature and seal to be applied during the relevant period of 1998-2004, particularly for what was at the very most modest remuneration. It seems odd that Mr. Skene would be prepared to throw away his professional reputation for almost no remuneration.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That is a strong argument at first blush but of course far from conclusive.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respondents make a series of points that arise from the evidence and the cross-examination of Mr. Skene which are relevant to his credibility and whether he authorized Mr. Jeck to affix his signature.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respondents point to the evidence on cross-examination of Mr. Skene where it was shown that he had signed completion letters or other certificates to be used by the company in advance. Mr. Fleming acknowledges that Mr. Skene, on three, four or five occasions pre-signed certificates of completion because he trusted CSA Western, and acknowledged that although it was not an ideal practice there is no basis to infer that the transgressions were of a similar magnitude to the forgery scheme. On the other hand, the respondents say it is not a huge leap that Mr. Skene also authorized Mr. Jeck to sign his name on documents in circumstances where he was generally satisfied that the work was being or would be performed correctly. Although the pre-signing of documents appears to be a breach of professional protocol, is it much different than allowing a signature to be affixed by someone other than the professional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In addition, although the petitioner pleaded in November 2012 that the alleged forgeries and misuse of Mr. Skene's stamp placed the public at risk, the respondents point out that after document discovery there was still no evidence of public safety concerns and none was ever asserted. This, the respondents say, suggests that the purpose of the allegation of forgery was simply to place pressure on the respondents in this litigation to acquire the shares of the petitioner.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Mr. Morgan says that Mr. Skene's recent allegation to the effect that having reviewed the documents there are no genuine signatures between late 2000 and 2004 contradicts the position that he took in 2006 when responding to the APEGBC investigation into the Kennedys' complaint. Mr. Skene's position at that time was that he was working on projects and receiving packages from the company between 1999 and 2003. However, Mr. Skene now says that he did not see the documents that APEGBC reviewed at the time of the complaint, in fact never met the lawyer he retained, and he simply trusted Mr. Jeck who at the time in 2006 told him that the Kennedys' complaint lacked merit. Mr. Skene said essentially that he made no inquiries in 2006 regarding the allegations of forgery.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respondents also point to evidence that Mr. Skene has continuing involvement in projects where his signature is alleged to be forged, and that Mr. Skene had verified work of a junior engineer and in fact toured some projects that he now says contain forgeries. The inference that the respondents ask the court to draw is that if the impugned signatures are not Mr. Skene's original signatures, he must be taken to have authorized Mr. Jeck to sign his name. The respondents characterized Mr. Skene's evidence as contradictory, argumentative, forgetful, and they ultimately submit that it should be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 listened carefully to Mr. Skene's evidence on cross-examination and although I found he was occasionally forgetful and there were a number of points that gave rise to concerns that he may have allowed Mr. Jeck to sign his name, he maintained his denial and overall, I did not find him to be an unimpressive witness in terms of his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Mr. Fleming argues that Mr. Jeck took no clear position on why Mr. Skene authorized him to affix his signature, as Mr. Jeck alleges he did. This would be a very significant matter and Mr. Fleming says it would be surprising if Mr. Jeck did not have a clear recollection of the circumstances in which it all began. However, as Mr. Jeck put it in his fourth affidavit, at some point which he did not recall, Mr. Skene told him to sign and stamp documents for him, likely due to project time constraints.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There was no direct evidence that Mr. Skene knew that Mr. Jeck was affixing his signature. There is no document clearly authorizing Mr. Jeck to affix Mr. Skene's signature, nor anything to directly prove such an authorization.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respondents rely on two pieces of evidence to show that this authorization was given. One document was a note apparently prepared by Marilyn Hodgkiss, a secretary at CSA Western, to the effect that Mr. Jeck could sign for delivery of a package for him. However, according to Mr. Skene, he did not give authority to Mr. Jeck to sign engineering documents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other document is more significant. Mr. Jeck says that in or around early 2001, Mr. Skene called to express concern about the quality of the reproduction of his signatures. Mr. Jeck says that Mr. Skene forwarded several "examples" of his signatures to improve the quality of the reproduction. The faxed documents say "Hi" and contains samples of Mr. Skene's signatures and initials, and say "Hope These 'Examples' Will Work OK For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Mr. Skene denies that he gave the document to assist Mr. Jeck to better falsify his signature, and says that CSA Western already had numerous documents with Mr. Skene's signatures. He also says that the document relied on by the respondents is not an original and he does not know its purpose or whether it was sent to Mr. Jeck at all. In any event, he says he would have faxed sample signatures if requested without any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first document I find to be quite ambiguous. However, I find the second document to be suspicious. It might support the position that Mr. Skene wanted Mr. Jeck to replicate his signature, but it is uncertain what file the document came from and it is apparently not an original. Nevertheless, it is a piece of circumstantial evidence that tends to support the respondents' position that Mr. Skene gave authority to Mr. Jeck to sign his name as an engineer, although certainly not conclusive.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Is it reasonable to conclude that Mr. Skene, who had the opportunity to address the Kennedys' complaint and deny it in 2006, is now being forthright when he asserts the practice the Kennedys complained of in fact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If Mr. Skene saw or took time to look at the engineering files that were produced in the APEGBC investigation in 2006, he presumably would have known at the time that they were not his signatures in some of those files, given the amount of forgeries that he asserts appear in the files he reviewed recently. The respondents also say that Mr. Skene's evidence contradicts what he said in 2006 when the APEGBC investigation was taking place. At that time, he said he was actively involved in CSA Western for a period ending in 2003, but now he says, in effect, that he has not been involved in projects since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However it is unclear what files Mr. Skene actually saw at the time of the 2006 investigation. He said did not visit Vancouver, did not meet his counsel, and no documents were produced to him for his review. The respondents have claimed common interest privilege over communications among the solicitors for CSA Western, Mr. Skene, and Mr. Lofgren at the time of the investigation. It is unclear to me what Mr. Skene may have known of the actual documents at the time. The respondents, I find, have not demonstrated in the evidence that Mr. Skene had an opportunity to and did look at signatures that Mr. Skene now asserts to be forgeries.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respondents say that the forgery allegations were unfounded but were advanced to increase pressure on the respondents and for leverage in negotiations to buy the shares. The respondents say that the petitioner is "playing chicken". That, I think, is a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However, let me turn to Mr. Jeck's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In assessing Mr. Jeck's evidence, I take into consideration his earlier statements. In his 2012 affidavit he denied that he "forged" Mr. Skene's signature. There was a debate between counsel at the hearing whether that is a false statement. Mr. Morgan's position was that it is not a forgery if it was done with Mr. Skene's consent. While that technically could be correct, it should be noted that Mr. Jeck went on to depose that he did not "improperly place [Mr. Skene's] stamp on any documents without his knowledge as alleged </w:t>
      </w:r>
      <w:r>
        <w:rPr>
          <w:rFonts w:ascii="arial" w:eastAsia="arial" w:hAnsi="arial" w:cs="arial"/>
          <w:color w:val="000000"/>
          <w:sz w:val="20"/>
          <w:u w:val="single"/>
          <w:lang w:val="en-US" w:eastAsia="en-US" w:bidi="ar-SA"/>
        </w:rPr>
        <w:t>or otherwise</w:t>
      </w:r>
      <w:r>
        <w:rPr>
          <w:rFonts w:ascii="arial" w:eastAsia="arial" w:hAnsi="arial" w:cs="arial"/>
          <w:color w:val="000000"/>
          <w:sz w:val="20"/>
          <w:lang w:val="en-US" w:eastAsia="en-US" w:bidi="ar-SA"/>
        </w:rPr>
        <w:t>" (emphasis added). In his affidavit evidence, he also specifically denied the merits of the complaint by the Kennedys, stating that:</w:t>
      </w:r>
      <w:r>
        <w:rPr>
          <w:rFonts w:ascii="arial" w:eastAsia="arial" w:hAnsi="arial" w:cs="arial"/>
          <w:sz w:val="20"/>
          <w:lang w:val="en-US" w:eastAsia="en-US" w:bidi="ar-SA"/>
        </w:rPr>
        <w:cr/>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light of the Kennedys' complaints in 2006 and their recently sworn affidavits, I have reflected on their time with CSA Western and attempted to decipher why they would make such allegations </w:t>
      </w:r>
      <w:r>
        <w:rPr>
          <w:rFonts w:ascii="arial" w:eastAsia="arial" w:hAnsi="arial" w:cs="arial"/>
          <w:color w:val="000000"/>
          <w:sz w:val="20"/>
          <w:u w:val="single"/>
          <w:lang w:val="en-US" w:eastAsia="en-US" w:bidi="ar-SA"/>
        </w:rPr>
        <w:t>when they clearly were not true</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Mr. Jeck's sworn evidence is a clear denial of the allegation that documents went into his office and came out with Mr. Skene's signature.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However, I find the Kennedys' complaint was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heart of the Kennedys' complaint was that Mr. Jeck would "forge Chris Skene's signature, and apply Chris Skene's professional engineering stamp, without involving Chris" (M. Kennedy, Affidavit #1 at para. 6). Based on his current evidence, Mr. Jeck should not have said that the Kennedys' complaint was clearly not true. Their complaint that documents went into Mr. Jeck's office and came out with Mr. Skene's signature was true. Like his statement that Mr. Skene had waived the audit requirement, I find Mr. Jeck's sworn statement that the Kennedys' complaint was clearly not true, at best, very misleading, and more likely knowingly untrue. I also find that Mr. Jeck must have known that signing Mr. Skene's signature over his seal or stamp was a representation to third parties that the work was actually prepared or approved by the professional engineer before the signing by the professional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Why did Mr. Jeck not take the position in this litigation from an early point that any signatures that were not Mr. Skene's were signed by Mr. Jeck with Mr. Skene's authority? Is it because Mr. Jeck's present position that Mr. Skene knew and authorized Mr. Jeck to affix his signature is a recent fabrication? Or was disclosure delayed because Mr. Jeck was concerned about the impact of the revelation that he signed Mr. Skene's name on the business of CSA Western?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 am mindful that Mr. Skene spent eight-and-a-half days and went through about 53,000 documents to find forgeries when all Mr. Jeck had to do was say that many of the documents in the file were in fact signed by him. Was this a game of "chicken" with both men involved in the fraud, or is Mr. Jeck involved alone in this deception and simply trying to prolong this litigation, hoping perhaps that Mr. Skene would lose interest, run out of money to fund the litigation or die?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There is support in the record for the proposition that Mr. Jeck will take positions -- even positions under oath -- when those are convenient to fight this litigation, and then abandon them. Mr. Jeck now takes the position, contrary to his earlier position, that he signed the engineering documents but that I should conclude that it was with Mr. Skene's permission. Mr. Jeck had his counsel (I must conclude unknowingly) cross-examine a hand-writing expert over two days, when Mr. Jeck knew that the signatures on the resolutions were forgeries, in the sense that Mr. Jeck signed Mr. Skene's signature. It was common ground at a pre-hearing conference that the issue of whether there were forgeries would be resolved by determining if the signatures on the engineering documents were the original signatures of Mr. Skene. That, it turned out, was not correct. Mr. Jeck now says that he knew all along he had affixed Mr. Skene's signature to many of the documents. Moreover, while Mr. Jeck initially took the position through his counsel that he had applied Mr. Skene's signature to the engineering documents but not the shareholders' resolutions, during his cross-examination at the most recent hearing he suggested that he had never denied signing those shareholders' resolutions.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Further, the extensive document production was a central point underlying an application for a substantial increase in the security for costs, which I allowed only in part. It is significant that at the hearing of October 30, 2012, the respondents took the position that all of the documents would contain Mr. Skene's signature, and after several months and 53,000 pages of documents produced, the respondents now take a different position and rely on the assertion that they had consent to affix Mr. Skene's signature. Mr. Jeck in effect suggests that he took a false position in this litigation (that he did not affix Mr. Skene's signature) because of fear of exposure of the parties' common secret, but now that he no longer maintains that false position, he says the court should find that it is Mr. Skene who is untruthful and in fact consented to Mr. Jeck signing Mr. Skene's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Earlier in these reasons, I have set out Mr. Jeck's response to the allegation in the Kennedys' complaint where he deposed "nor did I improperly place his stamp on any documents without [Mr. Skene's] knowledge as alleged </w:t>
      </w:r>
      <w:r>
        <w:rPr>
          <w:rFonts w:ascii="arial" w:eastAsia="arial" w:hAnsi="arial" w:cs="arial"/>
          <w:color w:val="000000"/>
          <w:sz w:val="20"/>
          <w:u w:val="single"/>
          <w:lang w:val="en-US" w:eastAsia="en-US" w:bidi="ar-SA"/>
        </w:rPr>
        <w:t>or otherwise</w:t>
      </w:r>
      <w:r>
        <w:rPr>
          <w:rFonts w:ascii="arial" w:eastAsia="arial" w:hAnsi="arial" w:cs="arial"/>
          <w:color w:val="000000"/>
          <w:sz w:val="20"/>
          <w:lang w:val="en-US" w:eastAsia="en-US" w:bidi="ar-SA"/>
        </w:rPr>
        <w:t>" (emphasis added). He also deposed "[i]t simply never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In my view, Mr. Jeck's evidence under affirmation about affixing Mr. Skene's signature has changed, was misleading at best, and is a significant consideration in assessing the credibility of Mr. Jeck.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 recognize that there is contradictory evidence on these questions. But weighing the evidence as a whole, and recognizing the burden of proof is on the petitioner, it is my conclusion that the signatures of Mr. Skene were affixed by Mr. Jeck to the engineering reports and to the shareholders' resolutions without Mr. Skene's consent. Although Mr. Skene did acknowledge signing some completion documents in advance, he denied that he gave authority to Mr. Jeck to sign his name and apply his stamp. I did not find Mr. Skene to be seriously shaken on cross-examination or shown on substantive matters to be significantly inconsistent in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 also find that Mr. Jeck must have been aware that the cross-examination of an expert and the production of voluminous files for Mr. Skene to review were tactics to make this litigation more difficult for Mr. Skene to advance. I conclude that counsel for the respondents was not aware of the position that Mr. Jeck had signed Mr. Skene's name to the resolutions when he cross-examined the expert witness on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If Mr. Jeck affixed Mr. Skene's signature without his consent to numerous engineering documents, as I find he did, how is that issue relevant in this oppression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The petitioner says that the relevance of the forgeries is the unjust enrichment of the company: Mr. Skene estimated that CSA Western obtained $1 million in revenue from the forged signatures. The position of the petitioner is that the respondents have benefitted unjustly from their wrongdoing and must disgorge the $1 million, which they say Mr. Jeck admitted was consistent with a 2.5 times profit to salary ratio based on a $70,000 per annum salary for an engineer. The petitioner relies on the law of unjust enrichment in this regard, or alternatively what Mr. Fleming refers to as the penal rule of equity.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xml:space="preserve">  However, the respondents say that the oppression remedy is concerned with claims </w:t>
      </w:r>
      <w:r>
        <w:rPr>
          <w:rFonts w:ascii="arial" w:eastAsia="arial" w:hAnsi="arial" w:cs="arial"/>
          <w:i/>
          <w:color w:val="000000"/>
          <w:sz w:val="20"/>
          <w:lang w:val="en-US" w:eastAsia="en-US" w:bidi="ar-SA"/>
        </w:rPr>
        <w:t>qua</w:t>
      </w:r>
      <w:r>
        <w:rPr>
          <w:rFonts w:ascii="arial" w:eastAsia="arial" w:hAnsi="arial" w:cs="arial"/>
          <w:color w:val="000000"/>
          <w:sz w:val="20"/>
          <w:lang w:val="en-US" w:eastAsia="en-US" w:bidi="ar-SA"/>
        </w:rPr>
        <w:t xml:space="preserve"> shareholder, and is not a proxy for personal causes of action against the company. They submit the forgery claim is not a claim </w:t>
      </w:r>
      <w:r>
        <w:rPr>
          <w:rFonts w:ascii="arial" w:eastAsia="arial" w:hAnsi="arial" w:cs="arial"/>
          <w:i/>
          <w:color w:val="000000"/>
          <w:sz w:val="20"/>
          <w:lang w:val="en-US" w:eastAsia="en-US" w:bidi="ar-SA"/>
        </w:rPr>
        <w:t>qua</w:t>
      </w:r>
      <w:r>
        <w:rPr>
          <w:rFonts w:ascii="arial" w:eastAsia="arial" w:hAnsi="arial" w:cs="arial"/>
          <w:color w:val="000000"/>
          <w:sz w:val="20"/>
          <w:lang w:val="en-US" w:eastAsia="en-US" w:bidi="ar-SA"/>
        </w:rPr>
        <w:t xml:space="preserve"> shareholder, but a personal claim of Mr. Skene's against the company, and should not be part of the consideration of whether the petitioner has established oppression.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Secondly, the respondents take the position that the claim for damages or unjust enrichment, or for relief under the penal rule of equity, even if it had any merit or is relevant to the oppression claim, is statute-barred and/or was not brought in a timely manner as required by the </w:t>
      </w:r>
      <w:r>
        <w:rPr>
          <w:rFonts w:ascii="arial" w:eastAsia="arial" w:hAnsi="arial" w:cs="arial"/>
          <w:i/>
          <w:color w:val="000000"/>
          <w:sz w:val="20"/>
          <w:lang w:val="en-US" w:eastAsia="en-US" w:bidi="ar-SA"/>
        </w:rPr>
        <w:t>BCA</w:t>
      </w:r>
      <w:r>
        <w:rPr>
          <w:rFonts w:ascii="arial" w:eastAsia="arial" w:hAnsi="arial" w:cs="arial"/>
          <w:color w:val="000000"/>
          <w:sz w:val="20"/>
          <w:lang w:val="en-US" w:eastAsia="en-US" w:bidi="ar-SA"/>
        </w:rPr>
        <w:t>. The forgeries, if they were that, occurred at the latest by 2004 and Mr. Skene had clear knowledge of the allegation that Mr. Jeck had forged his name by, at the latest, 2006. The forgery claim was made by the petitioner in this proceeding more than six years later when the pleadings were amended in 2012.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Timeliness or Limitation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Before I consider the other claims, asserted by the respondents to be derivative claims, and whether the alleged conduct that I have found to be proven constitutes oppression or unfairly prejudicial treatment, I will deal with the timeliness and the limitation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Claims pursuant to the statutory oppression remedy must be brought in a "timely manner". Section 227(4) reads, in reference to the remedies which may be imposed by way of s. 227 (3),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may make an order under subsection (3) if it is satisfied that the application was brought by the shareholder in a timely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Apart from the requirement that the application be brought in a timely manner,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also has application. I refer to this passage of N. Smith J from </w:t>
      </w:r>
      <w:r>
        <w:rPr>
          <w:rFonts w:ascii="arial" w:eastAsia="arial" w:hAnsi="arial" w:cs="arial"/>
          <w:i/>
          <w:color w:val="000000"/>
          <w:sz w:val="20"/>
          <w:lang w:val="en-US" w:eastAsia="en-US" w:bidi="ar-SA"/>
        </w:rPr>
        <w:t>Runnalls v. Regent Holdings Ltd.</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2010 BCSC 1106</w:t>
        </w:r>
      </w:hyperlink>
      <w:r>
        <w:rPr>
          <w:rFonts w:ascii="arial" w:eastAsia="arial" w:hAnsi="arial" w:cs="arial"/>
          <w:color w:val="000000"/>
          <w:sz w:val="20"/>
          <w:lang w:val="en-US" w:eastAsia="en-US" w:bidi="ar-SA"/>
        </w:rPr>
        <w:t xml:space="preserve"> (at paras. 52-56):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is clear that the court can grant relief for oppression only if the application is made in a "timely manner". That provision has no direct equivalent in the oppression remedy section of the federal statute that was before the Supreme Court of Canada in </w:t>
      </w:r>
      <w:r>
        <w:rPr>
          <w:rFonts w:ascii="arial" w:eastAsia="arial" w:hAnsi="arial" w:cs="arial"/>
          <w:i/>
          <w:color w:val="000000"/>
          <w:sz w:val="20"/>
          <w:lang w:val="en-US" w:eastAsia="en-US" w:bidi="ar-SA"/>
        </w:rPr>
        <w:t>BCE Inc.</w:t>
      </w:r>
      <w:r>
        <w:rPr>
          <w:rFonts w:ascii="arial" w:eastAsia="arial" w:hAnsi="arial" w:cs="arial"/>
          <w:color w:val="000000"/>
          <w:sz w:val="20"/>
          <w:lang w:val="en-US" w:eastAsia="en-US" w:bidi="ar-SA"/>
        </w:rPr>
        <w:t xml:space="preserve"> However, the Court at para. 78 inferred a comparable requirement in that, among the factors to be taken into account in determining reasonable expectations, it included the question of whether there were any "steps the claimant could have taken to protect itself". I take that to mean that if the claimant was aware or should have been aware of the conduct in issue and did not take available steps to prevent it, the continuation of that conduct cannot be said to be outside his or her reasonable expectations.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regard to the specific timeliness provision of the B.C. statute, an application is timely if a course of conduct that constitutes oppression is continuing or if its effects are continuing: </w:t>
      </w:r>
      <w:r>
        <w:rPr>
          <w:rFonts w:ascii="arial" w:eastAsia="arial" w:hAnsi="arial" w:cs="arial"/>
          <w:i/>
          <w:color w:val="000000"/>
          <w:sz w:val="20"/>
          <w:lang w:val="en-US" w:eastAsia="en-US" w:bidi="ar-SA"/>
        </w:rPr>
        <w:t>Orr v. Sojitz Tungsten Resources Inc.</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2010 BCSC 66</w:t>
        </w:r>
      </w:hyperlink>
      <w:r>
        <w:rPr>
          <w:rFonts w:ascii="arial" w:eastAsia="arial" w:hAnsi="arial" w:cs="arial"/>
          <w:color w:val="000000"/>
          <w:sz w:val="20"/>
          <w:lang w:val="en-US" w:eastAsia="en-US" w:bidi="ar-SA"/>
        </w:rPr>
        <w:t xml:space="preserve">. However, an oppression claim is still subject to the provisions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Jaska v. Jaska</w:t>
      </w:r>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(1996), 141 D.L.R. (4th) 385</w:t>
        </w:r>
      </w:hyperlink>
      <w:r>
        <w:rPr>
          <w:rFonts w:ascii="arial" w:eastAsia="arial" w:hAnsi="arial" w:cs="arial"/>
          <w:color w:val="000000"/>
          <w:sz w:val="20"/>
          <w:lang w:val="en-US" w:eastAsia="en-US" w:bidi="ar-SA"/>
        </w:rPr>
        <w:t xml:space="preserve"> (Man. C.A.); and </w:t>
      </w:r>
      <w:r>
        <w:rPr>
          <w:rFonts w:ascii="arial" w:eastAsia="arial" w:hAnsi="arial" w:cs="arial"/>
          <w:i/>
          <w:color w:val="000000"/>
          <w:sz w:val="20"/>
          <w:lang w:val="en-US" w:eastAsia="en-US" w:bidi="ar-SA"/>
        </w:rPr>
        <w:t>Carr v. Cheng, Dorset College Inc.</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2007 BCSC 1693</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Jaska</w:t>
      </w:r>
      <w:r>
        <w:rPr>
          <w:rFonts w:ascii="arial" w:eastAsia="arial" w:hAnsi="arial" w:cs="arial"/>
          <w:color w:val="000000"/>
          <w:sz w:val="20"/>
          <w:lang w:val="en-US" w:eastAsia="en-US" w:bidi="ar-SA"/>
        </w:rPr>
        <w:t xml:space="preserve">, the Manitoba Court of Appeal noted that there is little case authority on the relationship between the oppression remedy and general limitation statutes because oppression claims are "almost by definition, matters of urgency". The Court held that the Manitoba </w:t>
      </w:r>
      <w:r>
        <w:rPr>
          <w:rFonts w:ascii="arial" w:eastAsia="arial" w:hAnsi="arial" w:cs="arial"/>
          <w:i/>
          <w:color w:val="000000"/>
          <w:sz w:val="20"/>
          <w:lang w:val="en-US" w:eastAsia="en-US" w:bidi="ar-SA"/>
        </w:rPr>
        <w:t>Limitation of Actions Act</w:t>
      </w:r>
      <w:r>
        <w:rPr>
          <w:rFonts w:ascii="arial" w:eastAsia="arial" w:hAnsi="arial" w:cs="arial"/>
          <w:color w:val="000000"/>
          <w:sz w:val="20"/>
          <w:lang w:val="en-US" w:eastAsia="en-US" w:bidi="ar-SA"/>
        </w:rPr>
        <w:t>, R.S.M. 1987, applies to all proceedings, including oppression claims.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Carr</w:t>
      </w:r>
      <w:r>
        <w:rPr>
          <w:rFonts w:ascii="arial" w:eastAsia="arial" w:hAnsi="arial" w:cs="arial"/>
          <w:color w:val="000000"/>
          <w:sz w:val="20"/>
          <w:lang w:val="en-US" w:eastAsia="en-US" w:bidi="ar-SA"/>
        </w:rPr>
        <w:t xml:space="preserve">, this Court dismissed both a derivative action and an oppression claim on a number of grounds, including the fact they had been commenced more than six years after the causes of action arose and after they came within the plaintiff's means of knowledge. The six year period referred to derives from s. 3(5)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which deals with actions not specifically mentioned in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or other statute as having a different limitation period. The six years run from the date the right to bring an action arose, subject to the postponement provisions of s. 6(3), which are based on the date the facts giving rise to the action come within the plaintiff's means of knowledge.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case, the petition was filed on March 18, 2008. I have already held there to be oppression based on the facts found in my earlier Reasons for Judgment. But to the extent that the specific transactions now at issue are said to be distinct acts of oppression, I must be satisfied under s. 227(4) that the application was brought in a "timely manner". Although timeliness is a flexible concept that will depend on the circumstances of each case, the clear outer limit of what may be considered timely is the period that would be allowed by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Carr v. Cheng</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2007 BCSC 1693</w:t>
        </w:r>
      </w:hyperlink>
      <w:r>
        <w:rPr>
          <w:rFonts w:ascii="arial" w:eastAsia="arial" w:hAnsi="arial" w:cs="arial"/>
          <w:color w:val="000000"/>
          <w:sz w:val="20"/>
          <w:lang w:val="en-US" w:eastAsia="en-US" w:bidi="ar-SA"/>
        </w:rPr>
        <w:t xml:space="preserve"> (referred to above) the court said (at paras. 104-105):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R.S.B.C. 1996, c. 266, s. 3(5) provides for a six year limitation period in respect of the claims in the Derivative Action. The limitation period runs with certain exceptions from the day when the right arose. In cases of fraud the period is postponed and only begins to run from the date when the defendant is identified and the relevant facts are within the party's means of knowledge (ss. 6(3) and 6(4)). In other words the period runs either from when the facts are discovered or when they ought to have been discovered by exercise of reasonable diligence: </w:t>
      </w:r>
      <w:r>
        <w:rPr>
          <w:rFonts w:ascii="arial" w:eastAsia="arial" w:hAnsi="arial" w:cs="arial"/>
          <w:i/>
          <w:color w:val="000000"/>
          <w:sz w:val="20"/>
          <w:lang w:val="en-US" w:eastAsia="en-US" w:bidi="ar-SA"/>
        </w:rPr>
        <w:t>De Shazo v. Nations Energy Company Limited</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2005 ABCA 241</w:t>
        </w:r>
      </w:hyperlink>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256 D.L.R. (4th) 502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allegations against Mr. Cheng for fraud,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in the Derivative Action are about his conduct in managing Dorset BC. The Derivative Action was not commenced until November 18, 2005, more than six years after the claims arose and were known to the Carrs. No reply was filed in the Derivative Action asserting postponement of the limitation period. The burden of proving a postponement rests with the person claiming it (s. 6(6)), and there is no evidence to support a postponement beyond Mr. Carr's vague assertions that Mr. Cheng did not keep him informed: see </w:t>
      </w:r>
      <w:r>
        <w:rPr>
          <w:rFonts w:ascii="arial" w:eastAsia="arial" w:hAnsi="arial" w:cs="arial"/>
          <w:i/>
          <w:color w:val="000000"/>
          <w:sz w:val="20"/>
          <w:lang w:val="en-US" w:eastAsia="en-US" w:bidi="ar-SA"/>
        </w:rPr>
        <w:t>Tyson v. Canada (Attorney General)</w:t>
      </w:r>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2000 BCSC 201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Jaska v. Jaska</w:t>
      </w:r>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(1996), 141 D.L.R. (4th) 385</w:t>
        </w:r>
      </w:hyperlink>
      <w:r>
        <w:rPr>
          <w:rFonts w:ascii="arial" w:eastAsia="arial" w:hAnsi="arial" w:cs="arial"/>
          <w:color w:val="000000"/>
          <w:sz w:val="20"/>
          <w:lang w:val="en-US" w:eastAsia="en-US" w:bidi="ar-SA"/>
        </w:rPr>
        <w:t xml:space="preserve"> (Man. C.A.), (also referred to above) the Manitoba Court of Appeal concluded an oppression claim was statute-barred. After discussing case law on the application of limitation periods to oppression claims, the court stated (at paras. 29-30):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these decisions are consistent with the fundamental policy behind the oppression remedies in the various </w:t>
      </w:r>
      <w:r>
        <w:rPr>
          <w:rFonts w:ascii="arial" w:eastAsia="arial" w:hAnsi="arial" w:cs="arial"/>
          <w:i/>
          <w:color w:val="000000"/>
          <w:sz w:val="20"/>
          <w:lang w:val="en-US" w:eastAsia="en-US" w:bidi="ar-SA"/>
        </w:rPr>
        <w:t>Corporations Acts</w:t>
      </w:r>
      <w:r>
        <w:rPr>
          <w:rFonts w:ascii="arial" w:eastAsia="arial" w:hAnsi="arial" w:cs="arial"/>
          <w:color w:val="000000"/>
          <w:sz w:val="20"/>
          <w:lang w:val="en-US" w:eastAsia="en-US" w:bidi="ar-SA"/>
        </w:rPr>
        <w:t xml:space="preserve">. The purpose of these provisions is to provide protection from unfair conduct, usually perpetrated by majority shareholders or management. The element of timeliness arises directly from the scope and purpose of the oppression provisions themselves and is distinct from the statutory limitation period or the equitable principle of </w:t>
      </w:r>
      <w:r>
        <w:rPr>
          <w:rFonts w:ascii="arial" w:eastAsia="arial" w:hAnsi="arial" w:cs="arial"/>
          <w:i/>
          <w:color w:val="000000"/>
          <w:sz w:val="20"/>
          <w:lang w:val="en-US" w:eastAsia="en-US" w:bidi="ar-SA"/>
        </w:rPr>
        <w:t>laches</w:t>
      </w:r>
      <w:r>
        <w:rPr>
          <w:rFonts w:ascii="arial" w:eastAsia="arial" w:hAnsi="arial" w:cs="arial"/>
          <w:color w:val="000000"/>
          <w:sz w:val="20"/>
          <w:lang w:val="en-US" w:eastAsia="en-US" w:bidi="ar-SA"/>
        </w:rPr>
        <w:t>. If the minority shareholders or creditors do not need to be protected, then there is no reason to invoke the remedies under the statute since other remedies are still available, most notably the commencement of an ordinary lawsuit for damages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Walter knew in 1988 the facts and circumstances concerning the alleged wrongful conduct that was not asserted against Robert until May 1995. Simply put, when Walter decided to sit on his rights for an extended period of time, this conduct took him outside the purpose and scope of the statutory remedy. The oppression remedy now invoked was available to Walter in 1988 when he first discovered the misconduct complained of. On this ground as well I would allow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Turning first to the allegations addressed earlier in these reasons concerning the provision of financial information and excessive management fees, given my conclusions on the representations made to Mr. Skene about the company's performance and the forging of the consent resolutions waiving the audit requirement without the authorization of the petitioner, I find these claims in relation to what I have termed the corporate governance or financial information issues are not statute barred, were subject to wilful concealment, and in the circumstances were brought in a timely manner. The failure to provide audited financial statements, or financial statements with a waiver, were continuing breaches by the respondents, and given the conduct of the respondents in terms of the information that was provided and Mr. Jeck's signing of Mr. Skene's signature to the resolutions, I think that the treatment of the petitioner was clearly outside the petitioner's reasonable expectations.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 more involved question is that of the forgery allegations in relation to the engineering documents. Although the petition was initiated on December 23, 2011, the forgery allegations in connection with the engineering documents were not advanced until November 2012, and at that time the respondents reserved the right and pleaded a limitation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The allegations of forgery of engineering documents, given that they concern events before 2004, are out of time unless the petitioner can establish postponement.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xml:space="preserve">  The relevant sections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R.S.B.C. 1996, c. 266, s. 6 are as follows:</w:t>
      </w:r>
      <w:r>
        <w:rPr>
          <w:rFonts w:ascii="arial" w:eastAsia="arial" w:hAnsi="arial" w:cs="arial"/>
          <w:sz w:val="20"/>
          <w:lang w:val="en-US" w:eastAsia="en-US" w:bidi="ar-SA"/>
        </w:rPr>
        <w:cr/>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running of time with respect to the limitation periods set by this Act for any of the following actions is postponed as provided in subsection (4):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which material facts relating to the cause of action have been wilfully concealed;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or claimant with respect to an action referred to in subsection (3) until the identity of the defendant or respondent is known to the plaintiff or claimant and those facts within the plaintiff's or claimant's means of knowledge are such that a reasonable person, knowing those facts and having taken the appropriate advice a reasonable person would seek on those facts, would regard those facts as showing that</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burden of proving that the running of time has been postponed under subsections (3) and (4) is on the person claiming the benefit of the postponement.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Although Mr. Skene did not know that his signature was being forged and his stamp misused when it occurred in the 1998-2003 or 2004 period, I find that during and by reason of the APEGBC investigation in 2006, Mr. Skene knew of those allegations, that it was Mr. Jeck who was alleged to have done so, and that Mr. Skene had within his means of knowledge access to files which would have refuted or substantiated those allegations. I find that, consistent with the test for postponement set out in </w:t>
      </w:r>
      <w:r>
        <w:rPr>
          <w:rFonts w:ascii="arial" w:eastAsia="arial" w:hAnsi="arial" w:cs="arial"/>
          <w:i/>
          <w:color w:val="000000"/>
          <w:sz w:val="20"/>
          <w:lang w:val="en-US" w:eastAsia="en-US" w:bidi="ar-SA"/>
        </w:rPr>
        <w:t>Ounjian v. St. Paul's Hospital</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2002 BCSC 104</w:t>
        </w:r>
      </w:hyperlink>
      <w:r>
        <w:rPr>
          <w:rFonts w:ascii="arial" w:eastAsia="arial" w:hAnsi="arial" w:cs="arial"/>
          <w:color w:val="000000"/>
          <w:sz w:val="20"/>
          <w:lang w:val="en-US" w:eastAsia="en-US" w:bidi="ar-SA"/>
        </w:rPr>
        <w:t>, a reasonable person knowing those facts and having taken the appropriate advice a reasonable person would seek on those facts, would regard an action as having a reasonable prospect of success and that the petitioner ought to be able to pursue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The respondents' point is that for the postponement provision in s. 6(3)(e) to be triggered the petitioner must establish wilful concealment, which has been interpreted to mean knowingly or deliberately keeping the material facts relating to the cause of action from the plaintiff or knowingly preventing the plaintiff from seeking legal redress: </w:t>
      </w:r>
      <w:r>
        <w:rPr>
          <w:rFonts w:ascii="arial" w:eastAsia="arial" w:hAnsi="arial" w:cs="arial"/>
          <w:i/>
          <w:color w:val="000000"/>
          <w:sz w:val="20"/>
          <w:lang w:val="en-US" w:eastAsia="en-US" w:bidi="ar-SA"/>
        </w:rPr>
        <w:t>Cimolai v. Hall</w:t>
      </w:r>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2005 BCSC 31</w:t>
        </w:r>
      </w:hyperlink>
      <w:r>
        <w:rPr>
          <w:rFonts w:ascii="arial" w:eastAsia="arial" w:hAnsi="arial" w:cs="arial"/>
          <w:color w:val="000000"/>
          <w:sz w:val="20"/>
          <w:lang w:val="en-US" w:eastAsia="en-US" w:bidi="ar-SA"/>
        </w:rPr>
        <w:t xml:space="preserve"> at para. 355, aff'd </w:t>
      </w:r>
      <w:hyperlink r:id="rId75" w:history="1">
        <w:r>
          <w:rPr>
            <w:rFonts w:ascii="arial" w:eastAsia="arial" w:hAnsi="arial" w:cs="arial"/>
            <w:i/>
            <w:color w:val="0077CC"/>
            <w:sz w:val="20"/>
            <w:u w:val="single"/>
            <w:shd w:val="clear" w:color="auto" w:fill="FFFFFF"/>
            <w:lang w:val="en-US" w:eastAsia="en-US" w:bidi="ar-SA"/>
          </w:rPr>
          <w:t>2007 BCCA 225</w:t>
        </w:r>
      </w:hyperlink>
      <w:r>
        <w:rPr>
          <w:rFonts w:ascii="arial" w:eastAsia="arial" w:hAnsi="arial" w:cs="arial"/>
          <w:color w:val="000000"/>
          <w:sz w:val="20"/>
          <w:lang w:val="en-US" w:eastAsia="en-US" w:bidi="ar-SA"/>
        </w:rPr>
        <w:t>. That is not made out here by the petitioner in relation to the forgery allegations concerning the engineering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I do not see how Mr. Skene's position that he relied in 2006 upon Mr. Jeck's comment to the effect that the Kennedys' complaint had no merit can postpone the limitation date. Mr. Skene knew that the allegation was Mr. Jeck was the one who forged the signatures and improperly applied the stamps -- in those circumstances a reasonable person, taking advice, would not have relied on the word of the alleged forger and would have investigated and found out if the allegations had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As such, I conclude that the allegations of forgery on engineering reports, if they are a proper oppression claim, are out of time. Accordingly, I find that the allegations of forgery of engineering documents or reports, whether purportedly in support of a claim for oppression or unjust enrichment are statute-barred. Moreover, I have concluded that this claim is a personal claim by Mr. Skene as a professional engineer and not a claim of the petitioner. In terms of the alleged unjust enrichment claim, it is not a claim that affects the interests of the petitioner as a shareholder. Finally, apart from the limitation defence, if this is a proper oppression claim, which I conclude it is not, I find in the circumstances it was not brought in a timely way as required by the statute.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Other Allegations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Apart from the allegations addressed above, under a heading in its argument entitled "further allegations", the petitioner points to other conduct that it alleges is oppressive.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It says that the respondent company guaranteed a personal mortgage on Mrs. Jeck's property on Fawcett Road in Coquitlam; and that Mr. Jeck wrongfully appropriated to himself a corporate opportunity by purchasing a half interest in the land on which the company operates in 1997, and further appropriated to himself and his wife a corporate opportunity to purchase the remaining half interest in 2008. The petitioner also alleges that Mr. Jeck failed to disclose his conflict of interest arising from ownership of the company's premises, collected rent from the company since 1997, and that the respondents diverted CSA Western business to a company owned by Mr. and Mrs. Jeck called CS Analytics.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 above claims are alleged to be particulars of oppressive conduct, and in the case of certain claims, the petitioner also seeks leave to bring them as derivative claims in the name of the company against the individual respondents. As I understood the petitioner's submission, it sought a remedy in the oppression proceeding with the hope that it would effectively conclude the litigation between the parties. However, the petitioner said that if its claims are not considered by this court to be appropriate oppression claims, it seeks leave to bring the claims on behalf of the company as derivative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The respondents say that these further claims are not oppression claims and at best are derivative claims for which leave should be denied for a number of reasons, including an absence of merit and because they are out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Let me briefly refer to some general principles that apply in determining whether claims are oppression or derivative claims, and in determining whether to grant leave to start an action in the name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Unless claims have affected the complaining shareholder in a manner different from or in addition to the indirect effect on the value of all shareholders' shares generally, they cannot form the basis of an oppression proceeding for which leave is not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xml:space="preserve">  The requirement in </w:t>
      </w:r>
      <w:r>
        <w:rPr>
          <w:rFonts w:ascii="arial" w:eastAsia="arial" w:hAnsi="arial" w:cs="arial"/>
          <w:i/>
          <w:color w:val="000000"/>
          <w:sz w:val="20"/>
          <w:lang w:val="en-US" w:eastAsia="en-US" w:bidi="ar-SA"/>
        </w:rPr>
        <w:t>Furry Creek</w:t>
      </w:r>
      <w:r>
        <w:rPr>
          <w:rFonts w:ascii="arial" w:eastAsia="arial" w:hAnsi="arial" w:cs="arial"/>
          <w:color w:val="000000"/>
          <w:sz w:val="20"/>
          <w:lang w:val="en-US" w:eastAsia="en-US" w:bidi="ar-SA"/>
        </w:rPr>
        <w:t xml:space="preserve"> that the petitioner show a loss that is different from or in addition to loss to the company was explicitly confirmed in </w:t>
      </w:r>
      <w:r>
        <w:rPr>
          <w:rFonts w:ascii="arial" w:eastAsia="arial" w:hAnsi="arial" w:cs="arial"/>
          <w:i/>
          <w:color w:val="000000"/>
          <w:sz w:val="20"/>
          <w:lang w:val="en-US" w:eastAsia="en-US" w:bidi="ar-SA"/>
        </w:rPr>
        <w:t>Pasnak v. Chura</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2004 BCCA 221</w:t>
        </w:r>
      </w:hyperlink>
      <w:r>
        <w:rPr>
          <w:rFonts w:ascii="arial" w:eastAsia="arial" w:hAnsi="arial" w:cs="arial"/>
          <w:color w:val="000000"/>
          <w:sz w:val="20"/>
          <w:lang w:val="en-US" w:eastAsia="en-US" w:bidi="ar-SA"/>
        </w:rPr>
        <w:t xml:space="preserve"> at para.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authorities are clear that a shareholder must show direct and special harm in order to maintain a personal action for oppression, otherwise he must seek leave to bring a derivative action in the name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xml:space="preserve">  It is well accepted that there is a degree of overlap such that claims which could be brought as derivative claims may in some cases also be pursued as oppression claims: Markus Koehnen, </w:t>
      </w:r>
      <w:r>
        <w:rPr>
          <w:rFonts w:ascii="arial" w:eastAsia="arial" w:hAnsi="arial" w:cs="arial"/>
          <w:i/>
          <w:color w:val="000000"/>
          <w:sz w:val="20"/>
          <w:lang w:val="en-US" w:eastAsia="en-US" w:bidi="ar-SA"/>
        </w:rPr>
        <w:t>Oppression and Related Remedies</w:t>
      </w:r>
      <w:r>
        <w:rPr>
          <w:rFonts w:ascii="arial" w:eastAsia="arial" w:hAnsi="arial" w:cs="arial"/>
          <w:color w:val="000000"/>
          <w:sz w:val="20"/>
          <w:lang w:val="en-US" w:eastAsia="en-US" w:bidi="ar-SA"/>
        </w:rPr>
        <w:t xml:space="preserve"> (Canada: Thomson Canada Limited, 2004) at pp. 445-48. Those claims have historically included ones for excessive management fees (as I referred to above) and unauthorized corporate transactions: </w:t>
      </w:r>
      <w:r>
        <w:rPr>
          <w:rFonts w:ascii="arial" w:eastAsia="arial" w:hAnsi="arial" w:cs="arial"/>
          <w:i/>
          <w:color w:val="000000"/>
          <w:sz w:val="20"/>
          <w:lang w:val="en-US" w:eastAsia="en-US" w:bidi="ar-SA"/>
        </w:rPr>
        <w:t>Oppression and Related Remedies</w:t>
      </w:r>
      <w:r>
        <w:rPr>
          <w:rFonts w:ascii="arial" w:eastAsia="arial" w:hAnsi="arial" w:cs="arial"/>
          <w:color w:val="000000"/>
          <w:sz w:val="20"/>
          <w:lang w:val="en-US" w:eastAsia="en-US" w:bidi="ar-SA"/>
        </w:rPr>
        <w:t xml:space="preserve"> at pp. 446-47.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xml:space="preserve">  Section 232 of the </w:t>
      </w:r>
      <w:r>
        <w:rPr>
          <w:rFonts w:ascii="arial" w:eastAsia="arial" w:hAnsi="arial" w:cs="arial"/>
          <w:i/>
          <w:color w:val="000000"/>
          <w:sz w:val="20"/>
          <w:lang w:val="en-US" w:eastAsia="en-US" w:bidi="ar-SA"/>
        </w:rPr>
        <w:t>BCA</w:t>
      </w:r>
      <w:r>
        <w:rPr>
          <w:rFonts w:ascii="arial" w:eastAsia="arial" w:hAnsi="arial" w:cs="arial"/>
          <w:color w:val="000000"/>
          <w:sz w:val="20"/>
          <w:lang w:val="en-US" w:eastAsia="en-US" w:bidi="ar-SA"/>
        </w:rPr>
        <w:t xml:space="preserve"> permits a shareholder to seek leave of the court to bring a derivative action in the name, and on behalf of, the company to enforce a right, duty or obligation enforceable by the company or to recover damages for any breach of those rights, duties, or obligations: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Derivative actions</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section and section 233,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"complainant" means, in relation to a company, a shareholder or director of the company;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"shareholder" has the same meaning as in section 1 (1) and includes a beneficial owner of a share of the company and any other person whom the court considers to be an appropriate person to make an application under this section.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A complainant may, with leave of the court, prosecute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legal proceeding in the name and on behalf of a company</w:t>
      </w:r>
      <w:r>
        <w:rPr>
          <w:rFonts w:ascii="arial" w:eastAsia="arial" w:hAnsi="arial" w:cs="arial"/>
          <w:sz w:val="20"/>
          <w:lang w:val="en-US" w:eastAsia="en-US" w:bidi="ar-SA"/>
        </w:rPr>
        <w:cr/>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enforce a right, duty or obligation owed to the company that could be enforced by the company itself, or</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obtain damages for any breach of a right, duty or obligation referred to in paragraph (a) of this subsection.</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(2) applies whether the right, duty or obligation arises under this Act or otherwise.</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leave of the court, a complainant may, in the name and on behalf of a company, defend a legal proceeding brought against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xml:space="preserve">  Mr. Justice Pearlman summarized the substantive requirements for the granting of leave to prosecute a derivative action in </w:t>
      </w:r>
      <w:r>
        <w:rPr>
          <w:rFonts w:ascii="arial" w:eastAsia="arial" w:hAnsi="arial" w:cs="arial"/>
          <w:i/>
          <w:color w:val="000000"/>
          <w:sz w:val="20"/>
          <w:lang w:val="en-US" w:eastAsia="en-US" w:bidi="ar-SA"/>
        </w:rPr>
        <w:t>Luft v. Ball</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2013 BCSC 574</w:t>
        </w:r>
      </w:hyperlink>
      <w:r>
        <w:rPr>
          <w:rFonts w:ascii="arial" w:eastAsia="arial" w:hAnsi="arial" w:cs="arial"/>
          <w:color w:val="000000"/>
          <w:sz w:val="20"/>
          <w:lang w:val="en-US" w:eastAsia="en-US" w:bidi="ar-SA"/>
        </w:rPr>
        <w:t xml:space="preserve"> at paras. 46, 53-55: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Good Faith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applicant bears the onus of establishing that it is acting in good faith in bringing derivative proceedings. Good faith is not presumed; the applicant must adduce evidence to establish good faith: </w:t>
      </w:r>
      <w:r>
        <w:rPr>
          <w:rFonts w:ascii="arial" w:eastAsia="arial" w:hAnsi="arial" w:cs="arial"/>
          <w:i/>
          <w:color w:val="000000"/>
          <w:sz w:val="20"/>
          <w:lang w:val="en-US" w:eastAsia="en-US" w:bidi="ar-SA"/>
        </w:rPr>
        <w:t>Creative Realty Corp. v. 333 Terminal Holdings Ltd.</w:t>
      </w:r>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2011 BCSC 638</w:t>
        </w:r>
      </w:hyperlink>
      <w:r>
        <w:rPr>
          <w:rFonts w:ascii="arial" w:eastAsia="arial" w:hAnsi="arial" w:cs="arial"/>
          <w:color w:val="000000"/>
          <w:sz w:val="20"/>
          <w:lang w:val="en-US" w:eastAsia="en-US" w:bidi="ar-SA"/>
        </w:rPr>
        <w:t xml:space="preserve"> (B.C. S.C.) at para. 19. The test of good faith is whether the action is brought primarily for the purpose of pursuing the claim on the company's behalf. The factors to be considered include the applicant's belief in the merits of the proposed claim, existing disputes between the parties, and alleged ulterior motives: </w:t>
      </w:r>
      <w:r>
        <w:rPr>
          <w:rFonts w:ascii="arial" w:eastAsia="arial" w:hAnsi="arial" w:cs="arial"/>
          <w:i/>
          <w:color w:val="000000"/>
          <w:sz w:val="20"/>
          <w:lang w:val="en-US" w:eastAsia="en-US" w:bidi="ar-SA"/>
        </w:rPr>
        <w:t>Bennett v. Rudek</w:t>
      </w: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2008 BCSC 1278</w:t>
        </w:r>
      </w:hyperlink>
      <w:r>
        <w:rPr>
          <w:rFonts w:ascii="arial" w:eastAsia="arial" w:hAnsi="arial" w:cs="arial"/>
          <w:color w:val="000000"/>
          <w:sz w:val="20"/>
          <w:lang w:val="en-US" w:eastAsia="en-US" w:bidi="ar-SA"/>
        </w:rPr>
        <w:t xml:space="preserve"> (B.C. S.C.) at para. 46. As Adair J. observed in Lost Lake Properties Ltd. at para. 56, ultimately good faith is a question of fact to be determined on all of the evidence and the particular circumstances of the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Interests of the Corporation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be satisfied that it appears to be in the interests of the corporation to bring the derivative proceedings: </w:t>
      </w:r>
      <w:r>
        <w:rPr>
          <w:rFonts w:ascii="arial" w:eastAsia="arial" w:hAnsi="arial" w:cs="arial"/>
          <w:i/>
          <w:color w:val="000000"/>
          <w:sz w:val="20"/>
          <w:lang w:val="en-US" w:eastAsia="en-US" w:bidi="ar-SA"/>
        </w:rPr>
        <w:t>Bellman</w:t>
      </w:r>
      <w:r>
        <w:rPr>
          <w:rFonts w:ascii="arial" w:eastAsia="arial" w:hAnsi="arial" w:cs="arial"/>
          <w:color w:val="000000"/>
          <w:sz w:val="20"/>
          <w:lang w:val="en-US" w:eastAsia="en-US" w:bidi="ar-SA"/>
        </w:rPr>
        <w:t xml:space="preserve"> at para. 19. The applicant must show that there is an arguable case that the derivative action is in the interests of the company: </w:t>
      </w:r>
      <w:r>
        <w:rPr>
          <w:rFonts w:ascii="arial" w:eastAsia="arial" w:hAnsi="arial" w:cs="arial"/>
          <w:i/>
          <w:color w:val="000000"/>
          <w:sz w:val="20"/>
          <w:lang w:val="en-US" w:eastAsia="en-US" w:bidi="ar-SA"/>
        </w:rPr>
        <w:t>Gartenberg v. Consolidated Stone Industries Inc.</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2005 BCCA 462</w:t>
        </w:r>
      </w:hyperlink>
      <w:r>
        <w:rPr>
          <w:rFonts w:ascii="arial" w:eastAsia="arial" w:hAnsi="arial" w:cs="arial"/>
          <w:color w:val="000000"/>
          <w:sz w:val="20"/>
          <w:lang w:val="en-US" w:eastAsia="en-US" w:bidi="ar-SA"/>
        </w:rPr>
        <w:t xml:space="preserve"> (B.C. C.A.) at para. 26.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should not attempt to try the case when deciding whether the requirement that the derivative action is in the interests of the corporation has been met. The court should determine whether the proposed action has a reasonable prospect of success or is bound to fail: </w:t>
      </w:r>
      <w:r>
        <w:rPr>
          <w:rFonts w:ascii="arial" w:eastAsia="arial" w:hAnsi="arial" w:cs="arial"/>
          <w:i/>
          <w:color w:val="000000"/>
          <w:sz w:val="20"/>
          <w:lang w:val="en-US" w:eastAsia="en-US" w:bidi="ar-SA"/>
        </w:rPr>
        <w:t>Discovery Enterprises Inc. v. Ebco Industries Ltd.</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(1997), 40 B.C.L.R. (3d) 43</w:t>
        </w:r>
      </w:hyperlink>
      <w:r>
        <w:rPr>
          <w:rFonts w:ascii="arial" w:eastAsia="arial" w:hAnsi="arial" w:cs="arial"/>
          <w:color w:val="000000"/>
          <w:sz w:val="20"/>
          <w:lang w:val="en-US" w:eastAsia="en-US" w:bidi="ar-SA"/>
        </w:rPr>
        <w:t xml:space="preserve"> (B.C. S.C.) at para. 19, citing </w:t>
      </w:r>
      <w:r>
        <w:rPr>
          <w:rFonts w:ascii="arial" w:eastAsia="arial" w:hAnsi="arial" w:cs="arial"/>
          <w:i/>
          <w:color w:val="000000"/>
          <w:sz w:val="20"/>
          <w:lang w:val="en-US" w:eastAsia="en-US" w:bidi="ar-SA"/>
        </w:rPr>
        <w:t>Primex Investments Ltd. v. Northwest Sports Enterprises Ltd.</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(1995), 13 B.C.L.R. (3d) 300</w:t>
        </w:r>
      </w:hyperlink>
      <w:r>
        <w:rPr>
          <w:rFonts w:ascii="arial" w:eastAsia="arial" w:hAnsi="arial" w:cs="arial"/>
          <w:color w:val="000000"/>
          <w:sz w:val="20"/>
          <w:lang w:val="en-US" w:eastAsia="en-US" w:bidi="ar-SA"/>
        </w:rPr>
        <w:t xml:space="preserve"> (B.C. S.C. [In Chambers]) appeal dismissed </w:t>
      </w:r>
      <w:hyperlink r:id="rId83" w:history="1">
        <w:r>
          <w:rPr>
            <w:rFonts w:ascii="arial" w:eastAsia="arial" w:hAnsi="arial" w:cs="arial"/>
            <w:i/>
            <w:color w:val="0077CC"/>
            <w:sz w:val="20"/>
            <w:u w:val="single"/>
            <w:shd w:val="clear" w:color="auto" w:fill="FFFFFF"/>
            <w:lang w:val="en-US" w:eastAsia="en-US" w:bidi="ar-SA"/>
          </w:rPr>
          <w:t>(1996), 26 B.C.L.R. (3d) 357</w:t>
        </w:r>
      </w:hyperlink>
      <w:r>
        <w:rPr>
          <w:rFonts w:ascii="arial" w:eastAsia="arial" w:hAnsi="arial" w:cs="arial"/>
          <w:color w:val="000000"/>
          <w:sz w:val="20"/>
          <w:lang w:val="en-US" w:eastAsia="en-US" w:bidi="ar-SA"/>
        </w:rPr>
        <w:t xml:space="preserve"> (B.C. C.A.), leave to appeal to S.C.C. dismissed April 24, 1997 [</w:t>
      </w:r>
      <w:hyperlink r:id="rId84" w:history="1">
        <w:r>
          <w:rPr>
            <w:rFonts w:ascii="arial" w:eastAsia="arial" w:hAnsi="arial" w:cs="arial"/>
            <w:i/>
            <w:color w:val="0077CC"/>
            <w:sz w:val="20"/>
            <w:u w:val="single"/>
            <w:shd w:val="clear" w:color="auto" w:fill="FFFFFF"/>
            <w:lang w:val="en-US" w:eastAsia="en-US" w:bidi="ar-SA"/>
          </w:rPr>
          <w:t>[1997] S.C.C.A. No. 4</w:t>
        </w:r>
      </w:hyperlink>
      <w:r>
        <w:rPr>
          <w:rFonts w:ascii="arial" w:eastAsia="arial" w:hAnsi="arial" w:cs="arial"/>
          <w:color w:val="000000"/>
          <w:sz w:val="20"/>
          <w:lang w:val="en-US" w:eastAsia="en-US" w:bidi="ar-SA"/>
        </w:rPr>
        <w:t xml:space="preserve"> (S.C.C.)].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assessing the interests of the corporation, the court, in addition to considering whether the plaintiff's case has a reasonable chance of success or is bound to fail, also takes into account whether the defence raised is bound to be accepted and whether the potential relief will justify the cost and inconvenience to the company: </w:t>
      </w:r>
      <w:r>
        <w:rPr>
          <w:rFonts w:ascii="arial" w:eastAsia="arial" w:hAnsi="arial" w:cs="arial"/>
          <w:i/>
          <w:color w:val="000000"/>
          <w:sz w:val="20"/>
          <w:lang w:val="en-US" w:eastAsia="en-US" w:bidi="ar-SA"/>
        </w:rPr>
        <w:t>Discovery Enterprises Inc.</w:t>
      </w:r>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xml:space="preserve">  Although </w:t>
      </w:r>
      <w:r>
        <w:rPr>
          <w:rFonts w:ascii="arial" w:eastAsia="arial" w:hAnsi="arial" w:cs="arial"/>
          <w:i/>
          <w:color w:val="000000"/>
          <w:sz w:val="20"/>
          <w:lang w:val="en-US" w:eastAsia="en-US" w:bidi="ar-SA"/>
        </w:rPr>
        <w:t>Luft v. Ball</w:t>
      </w:r>
      <w:r>
        <w:rPr>
          <w:rFonts w:ascii="arial" w:eastAsia="arial" w:hAnsi="arial" w:cs="arial"/>
          <w:color w:val="000000"/>
          <w:sz w:val="20"/>
          <w:lang w:val="en-US" w:eastAsia="en-US" w:bidi="ar-SA"/>
        </w:rPr>
        <w:t xml:space="preserve"> dealt with the federal statute's derivative action provisions, its analysis was applied to the B.C. statute in </w:t>
      </w:r>
      <w:r>
        <w:rPr>
          <w:rFonts w:ascii="arial" w:eastAsia="arial" w:hAnsi="arial" w:cs="arial"/>
          <w:i/>
          <w:color w:val="000000"/>
          <w:sz w:val="20"/>
          <w:lang w:val="en-US" w:eastAsia="en-US" w:bidi="ar-SA"/>
        </w:rPr>
        <w:t>Khela v. Phoenix Homes Ltd.</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2013 BCSC 2079</w:t>
        </w:r>
      </w:hyperlink>
      <w:r>
        <w:rPr>
          <w:rFonts w:ascii="arial" w:eastAsia="arial" w:hAnsi="arial" w:cs="arial"/>
          <w:color w:val="000000"/>
          <w:sz w:val="20"/>
          <w:lang w:val="en-US" w:eastAsia="en-US" w:bidi="ar-SA"/>
        </w:rPr>
        <w:t>. The substantive requirements of good faith and that the action is in the best interests of the company are the same in both statutes. The substantive requirements are in addition to the requirements of notice and that reasonable efforts have been made to have the company bring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xml:space="preserve">  The leading case on when a director is precluded from taking for himself a corporate opportunity is </w:t>
      </w:r>
      <w:r>
        <w:rPr>
          <w:rFonts w:ascii="arial" w:eastAsia="arial" w:hAnsi="arial" w:cs="arial"/>
          <w:i/>
          <w:color w:val="000000"/>
          <w:sz w:val="20"/>
          <w:lang w:val="en-US" w:eastAsia="en-US" w:bidi="ar-SA"/>
        </w:rPr>
        <w:t>Canadian Aero Service Ltd. v. O'Malley</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[1974] S.C.R. 592</w:t>
        </w:r>
      </w:hyperlink>
      <w:r>
        <w:rPr>
          <w:rFonts w:ascii="arial" w:eastAsia="arial" w:hAnsi="arial" w:cs="arial"/>
          <w:color w:val="000000"/>
          <w:sz w:val="20"/>
          <w:lang w:val="en-US" w:eastAsia="en-US" w:bidi="ar-SA"/>
        </w:rPr>
        <w:t>, where the court said, at 607: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examination of the case law in this Court and in the Courts of other like jurisdictions on the fiduciary duties of directors and senior officers shows the pervasiveness of a strict ethic in this area of the law. In my opinion, this ethic disqualifies a director or senior officer from usurping for himself or diverting to another person or company with whom or with which he is associated a maturing business opportunity which his company is actively pursuing; he is also precluded from so acting even after his resignation where the resignation may fairly be said to have been prompted or influenced by a wish to acquire for himself the opportunity sought by the company, or where it was his position with the company rather than a fresh initiative that led him to the opportunity which he later acquired.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Let me deal with the additional claims in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Purchase of Business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The petitioner says that Mr. Jeck purchased a half interest in the property in which the company carries on business in 1997 with Jim Ferrie. The petitioner says that Mrs. Jeck purchased Mr. Ferrie's half interest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The respondents say that Mr. Skene was aware of the purchase of the company's premises by Mr. Jeck and Mr. Jim Ferrie in 1997 and visited the premises on several occasions. The respondents say that Mr. Skene was aware that the company leased the premises from those owners and that Mrs. Jeck, who is not an officer or director of CSA Western, bought Mr. Ferrie's interest in 2004 although it was not registered until 2008. Mr. Skene apparently denies knowledge of the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The respondents say that it was not a corporate opportunity as CSA Western was not in the business of land assembly or real estate development or holding. The respondents say that the company paid commercial rent and there is no suggestion or evidence that the company was in a position to purchase the premises. As to the allegation that Mr. Jeck failed to disclose a conflict of interest, the respondents say that the relevant section of the statute did not come into force until 2004, and is inapplicable as it would only apply to a contract with the company. Although the petitioner points to s. 15.2 of the company's articles as requiring disclosure of a conflict of interest, no loss to the company was suggested.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I do not think that this is an oppression claim. If anything it is a possible derivative action but on the material before me, I have concluded that I would not grant leave to the petitioner to sue in the name of the company. Given that the purchase by Mr. Jeck was in 1997 and the purchase by Mrs. Jeck, a non-fiduciary, from a third party was in 2004, I think that even if the possible acquisition was a corporate opportunity in 1997 that the claim is bound to fail because of the limitations issue. Given this apparent absence of merit to the claim, I would not exercise my discretion to grant leave.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Guarantee of Mrs. Jeck's liability to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This allegation concerns a resolution of the director authorizing the company to grant an unlimited guarantee of the debts of Mr. and Mrs. Jeck and that the company did guarantee the mortgage of Mrs. Jeck on Fawcett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The respondents say that there was a limited guarantee of Mrs. Jeck's mortgage on Fawcett Road, the premises where the company carried on its business, but that it has been discharged and that at the time it was given there was an appraisal showing the bank to be well secured. The respondent says that at the time of the guarantee the petitioner did not "exist" as it had been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Although arguably the granting of a guarantee in favour of a non-member of the company might support the contention that Mr. Jeck was treating the company as his own, I do not place great significance on this, given that on the evidence the bank was well secured. As no loss has apparently been suffered by the company, I would in any event decline to grant leave to start a derivative action on this allegation.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CS Analytics / Citadel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The petitioner alleges that Mr. Jeck wrongfully appropriated to himself and his wife a corporate opportunity to operate CS Analytics as a separate business starting in 2012 and that this was first revealed to the petitioner in the April 2012 financial statement that was produced in audited form in January 2013. The petitioner says that the reserve fund studies business is closely related to the work of CSA Western and that the change to not run the business through CSA Western only arose part way through the audit.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As to CS Analytics, the respondents say that it was incorporated in 2009, that the Jecks are each 50% shareholders, and that it has since had a name change to Citadel Building Consultants. The business initially of Citadel Building Consultants ("Citadel") was window testing and providing maintenance manuals. In 2011, the business of Citadel shifted to its present business of performing reserve fund studies. The allegation is that CS Analytics/Citadel shares office space with CSA Western, has a closely related business, and has paid dividends to the Jecks in the sum of $214,000 in the 2009-2012 fiscal year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The respondents say that the company cannot provide window testing services as that would be in conflict with the business that is done by CSA Western for its clients, and that the business it does do -- that is, perform reserve fund studies -- is not a corporate opportunity, as Maria Jeck was not obliged to provide that service through CSA Western.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The respondents submit that this service is not "closely related" to CSA Western's work -- it is not the typical service provided by an engineering firm. Even if Mrs. Jeck at one time intended to provide the service through CSA Western, the respondents say that it is not a corporate opportunity such that she was obliged to conduct the business through CSA Western.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I will leave further discussion of this claim until the conclusion of my reasons but at this point I am not satisfied that it is an oppression claim but only a possible basis for a derivative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Trust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Lastly, there are a number of trust claims to properties owned by the Jecks, but they have been adjourned on the basis that there must first be a determination of whether funds had been removed by the company without authority. Given that I have not found monies were removed from the company without authority, it follows that the various trust claims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Conclusions on Allegations of Oppression and Unfair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At this point, I will summarize my conclusions on what conduct has been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I have found the respondents failed to provide the petitioner with full and accurate financial information about the company for a lengthy period of time. That failure began in the early 2000s and ended in late 2010 when the petitioner was supplied unaudited financial statements by the respondents.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I have found the respondents' failure to provide the petitioner with full and accurate financial information about the company for a lengthy period of time was a failure to comply with important provisions of the statute, and that the context in which this occurred is significant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I have found the petitioner, as a minority shareholder, was entitled each year to have, in the absence of a waiver and unanimous agreement of the shareholders, audited financial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xml:space="preserve">  This is an important protection for a minority shareholder. I referred to the decisions in </w:t>
      </w:r>
      <w:r>
        <w:rPr>
          <w:rFonts w:ascii="arial" w:eastAsia="arial" w:hAnsi="arial" w:cs="arial"/>
          <w:i/>
          <w:color w:val="000000"/>
          <w:sz w:val="20"/>
          <w:lang w:val="en-US" w:eastAsia="en-US" w:bidi="ar-SA"/>
        </w:rPr>
        <w:t>Discovery Enterprises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Burdeny</w:t>
      </w:r>
      <w:r>
        <w:rPr>
          <w:rFonts w:ascii="arial" w:eastAsia="arial" w:hAnsi="arial" w:cs="arial"/>
          <w:color w:val="000000"/>
          <w:sz w:val="20"/>
          <w:lang w:val="en-US" w:eastAsia="en-US" w:bidi="ar-SA"/>
        </w:rPr>
        <w:t>, which indicate the significance of the provision of audited financial statements to a minority shareholder.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I have found the circumstances of this case are also unique.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The respondents' position that the petitioner was struck in 2006; that there were discussions that continued from 2007-2011 but Mr. Skene had no interest in reviving the petitioner, although he could have perhaps done so at modest cost; and that Mr. Skene's failure to reinstate the petitioner placed Mr. Jeck in a difficult position regarding the corporate structure and any other matters that required shareholder approval, has to be placed in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It was not only a statement from Mr. Jeck that led Mr. Skene to believe the company was just muddling along. I have found the minority shareholder had not received and did not receive financial information to which it was entitled. I have found the statutory requirement was never waived and a purported waiver of the requirement for audited statements had been forged for four years; thereafter the financial statements were not provided, audited or otherwise, and no waiver of the audit requirement was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I do not accept that Mr. Jeck believed the petitioner was receiving the financial statements. The company, through Mr. Jeck, had purported to provide financial information in a very general sense but that information was inaccurate and misleading. I have found that the information that was provided led Mr. Skene to believe his interest in the company was of marginal value. If he had waived the requirement for audited statements or expressed no interest in the company, he would have no basis to complain -- but here I have found the petitioner did not waive the audit requirement. Although the corporate records purported to show that it did, those resolutions contained a signature that was not Mr. Skene's and, I have found, not applied with his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xml:space="preserve">  Although the petitioner was dissolved, under the Ontario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R.S.O. 1990, c. B. 16, s. 241</w:t>
        </w:r>
      </w:hyperlink>
      <w:r>
        <w:rPr>
          <w:rFonts w:ascii="arial" w:eastAsia="arial" w:hAnsi="arial" w:cs="arial"/>
          <w:color w:val="000000"/>
          <w:sz w:val="20"/>
          <w:lang w:val="en-US" w:eastAsia="en-US" w:bidi="ar-SA"/>
        </w:rPr>
        <w:t>(5), the corporation, when revived, is -- subject to the rights acquired by persons during the period of dissolution -- "deemed for all purposes to have never been dissolved".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Notwithstanding the respondents' arguments to the contrary, I did not see any detriment or prejudice to the respondents in the petitioner failing to maintain itself as a registered entity. There was inconvenience, perhaps, but if the respondents had complied with the statutory obligations, and not forged shareholders' resolutions but presented them for signature or informed the petitioner of the true state of the company's financial performance, I have found this inconvenience would not have occurred. Financial information about the company could easily have been provided at any time by Mr. Jeck to Mr. Skene, the principal of the petitioner. Had the company complied with the audit requirement, I have found the petitioner and Mr. Skene's actions and interest in the affairs of the company would have been quite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While I recognize that the failure of the petitioner to maintain its status as a registered company and expressly demand financial statements might indicate a lack of interest in the ongoing affairs of the company and arguably affect the reasonable expectations of the shareholder, I have concluded, in the circumstances of this case, that occurred because there seemed to be little point to reinstatement from the petitioner's perspective, given the modest financial performance that the petitioner believed the company was generating. I have found the petitioner's conduct was not unreasonable given the information that it had received from the majority shareholder.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In making these findings, I have taken into consideration that in the last financial statements the petitioner saw before the drought of information there was reference to certain retained earnings, but I am not satisfied that the petitioner ought to have known the true state of the company's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It is an understatement to say that the respondents' conduct in failing to comply with important corporate governance provisions and in forging the signature of the minority shareholder on the impugned consent resolutions in the period 2002-2006 lacks probity and fair dealing. I have found the petitioner was not aware of this conduct until around the time this litigation started in late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In light of these findings, I have concluded that the petitioner's claims concerning the provision of financial information are not statute-barred, were brought in a timely manner in the circumstances, and are not barred by an estoppel. I have also found the failure of the respondents to comply with the statutory requirements of audited financial statements and annual meetings, absent a waiver, acted to the prejudice of the petitioner.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The authorities indicate that the oppression cases are quite fact specific. Here, in these particular circumstances, I have concluded that the majority shareholder essentially operated the company as if it was his private entity, without regard for the minority shareholder. While I do not suggest that Mr. Jeck did not work hard, as he apparently did, I have found that the remuneration he directed to be paid to himself for his efforts is another important aspect of the context of this case. Mr. Jeck was the majority shareholder but he was not the only shareholder. I have found that Mr. Jeck's conduct in relation to the provision of financial information to Mr. Skene and the forging of the impugned shareholders' resolutions, taken with the substantial management fees he received, particularly in 2010 and 2011, supports the position that he was treating this company as if it was his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Notwithstanding that the petitioner was told the company was muddling along, under Mr. Jeck's stewardship the company was doing very well. I have concluded the reasonable expectations of the shareholders as to Mr. Jeck's remuneration had to account for Mr. Jeck's position and role at CSA Western. It is important to recognize that Mr. Jeck was a sole manager; CSA Western would not necessarily pay a dividend which was at the discretion of the director in any event; Mr. Jeck would set his management fees as permitted by the articles; and Mr. Skene had no reasonable expectation to participate in management. All of that I think is true -- however, Mr. Jeck's determination of his management fee had to be tempered by the fact that he would ultimately share in any profits as a majority shareholder and that Mr. Skene was entitled to full disclosure of financial information about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Although I did not find the management fees taken by the majority shareholder were in themselves oppressive as excessive in comparison to some norm, I have found that the payments made to Mr. Jeck were high -- particularly, very high in the years 2010 and 2011, which were the fiscal years just before the petition was launched.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Overall, I have found that the failure to fulfil the requirement to provide audited financial statements or hold annual meetings, the misleading information about the company's performance coupled with the payment to Mr. Jeck of management fees that were high, and in the years 2010 and 2011 very high, were cumulatively contrary to the reasonable expectation of both shareholders. They demonstrate the operation of the company's affairs in a manner that was oppressive and unfairly prejudicial to the minority. While the minority did not have a unfettered right to dividends or the right to set the manager's remuneration -- that was Mr. Jeck's as the sole director -- the petitioner was entitled to accurate financial information and at any meeting try to protect its proprietary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I recognize that the petitioner's counsel has made many allegations. I have found on the evidence that some of the allegations have not been proven in this proceeding, and that some of the allegations are for conduct that is out of time and not brought in a timely manner. But I find the conduct that is proven, not time-barred, and was raised in a timely manner cumulatively establishes oppression and unfair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When addressing the appropriate remedy in this case, I will return to the complaint of the petitioner with respect to CS Analytics, which the petitioner says is a business opportunity that the principal of the company has taken for himself and his wife in breach of his fiduciary duty. Aside from the merit of that assertion, the evidence suggests that the matter came to the petitioner's attention only as a result of the audited financial statements that were delivered following the commencement of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Given my conclusions, the question that arises is the appropriate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The respondents argue that given they have now provided financial statements and, in 2012, audited statements, that should cure any deficiency. I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In the circumstances, I find it would not be possible for the minority shareholder to retain any confidence in the impartiality and fairness of the majority in the administration of the company's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I find that the conduct of the majority, particularly viewed through the lens of what has occurred in this litigation, suggests a reasonable expectation that the improper treatment of the minority will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In all of the circumstances I have concluded the hope of Mr. Jeck was that he would be able to acquire the shares of Mr. Skene for a very modest amount. While it was argued that he went to lengths to have the petitioner reinstated, I expect that was done as part of his goal to acquire the minority interest of the petitioner at a very reasonable cost. However, when that failed and the minority attempted to assert its rights, the petitioner was met with positions in this litigation which were time-consuming and costly for the petitioner but were then abandoned by the respondents. In this respect, I am referring to the position that the consent resolutions "appear to bear Mr. Skene's signature" and the cross-examination of the writing expert for a lengthy period, then the suggestion much later it was never disputed the signatures were applied by Mr. Jeck. The same type of conduct appeared in the defence of the allegation that Mr. Skene's signature was improperly applied to engineering reports and documents. After indicating that the accuracy of that allegation would be established by the production of files, and after Mr. Skene spent over eight days looking at files in a boardroom, the respondents said that Mr. Jeck had applied the signatures and that Mr. Skene knew of this all along.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xml:space="preserve">  In my opinion, the appropriate order in these circumstances is for the respondents to purchase the petitioner's shares, pursuant to s. 227(3)(a) and (h) of the </w:t>
      </w:r>
      <w:r>
        <w:rPr>
          <w:rFonts w:ascii="arial" w:eastAsia="arial" w:hAnsi="arial" w:cs="arial"/>
          <w:i/>
          <w:color w:val="000000"/>
          <w:sz w:val="20"/>
          <w:lang w:val="en-US" w:eastAsia="en-US" w:bidi="ar-SA"/>
        </w:rPr>
        <w:t>BCA</w:t>
      </w:r>
      <w:r>
        <w:rPr>
          <w:rFonts w:ascii="arial" w:eastAsia="arial" w:hAnsi="arial" w:cs="arial"/>
          <w:color w:val="000000"/>
          <w:sz w:val="20"/>
          <w:lang w:val="en-US" w:eastAsia="en-US" w:bidi="ar-SA"/>
        </w:rPr>
        <w:t>. In making that order, I am mindful that the remedy is to protect the petitioner's interests as a shareholder and such an order in my view is necessary to bring the matters complained of to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Given the collapse of trust and absence of probity, I think this is the only reasonable order, and a more limited order would not achieve the aims of the statute. Although the petitioner had no reasonable expectation to participate in management, it was entitled to have its interests as a shareholder respected.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I will hear further submissions from counsel on the appropriate terms of the buyout order including which respondent should be directed to purchase the shares and a possible joint retention of a valuator.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For the reasons that I have given, in fixing the valuation date, I decline to make the requested orders that Mr. Jeck repay management fees over $175,000 per year, or that the business premises be conveyed at the 1997 price, or that Mr. Jeck repay rent that was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As the adjourned claim against Mrs. Jeck was dependent on a finding that monies were unlawfully removed from the company, which finding I did not make, that claim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Apart from costs, the outstanding issue I must decide is whether I ought to grant leave to the petitioner to be allowed to commence a derivative action in the name of the company concerning the alleged misappropriation of a corporate opportunity in the business of CS Analytics. I recognize the underlying facts are much in dispute, but on the evidence, I find that the claim appears to be arguable and brought in good faith. However, it may be academic or largely academic, given the recent establishment of that business and the suggested valuation date of 2011 for the buyout that was proposed by the petitioner. I will hear further argument on whether it is appropriate to grant leave to commence a derivative action in the name of the company in connection with CS Analytics, and if so, on what terms, at the time I give directions for the purchase of the petitioner's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The parties if they wish may speak to the question of costs at that time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J.S. SIGURDSON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6"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3" w:history="1">
        <w:r>
          <w:rPr>
            <w:rFonts w:ascii="arial" w:eastAsia="arial" w:hAnsi="arial" w:cs="arial"/>
            <w:b/>
            <w:bCs/>
            <w:i/>
            <w:color w:val="0077CC"/>
            <w:kern w:val="32"/>
            <w:sz w:val="28"/>
            <w:szCs w:val="32"/>
            <w:u w:val="single"/>
            <w:shd w:val="clear" w:color="auto" w:fill="FFFFFF"/>
            <w:lang w:val="en-US" w:eastAsia="en-US" w:bidi="ar-SA"/>
          </w:rPr>
          <w:t>Aker Kvaerner Canada Inc. v. Twardowski, [2010] B.C.J. No. 1613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S.C. Fitzpatrick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29,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16,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S063995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1613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1153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2157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192 A.C.W.S. (3d) 434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Aker Kvaerner Canada Inc., Plaintiff, and Zbigniew Twardowski,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7"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 w:name="Keywords_1"/>
      <w:bookmarkEnd w:id="14"/>
      <w:r>
        <w:rPr>
          <w:rFonts w:ascii="arial" w:eastAsia="arial" w:hAnsi="arial" w:cs="arial"/>
          <w:b/>
          <w:color w:val="000000"/>
          <w:sz w:val="20"/>
          <w:lang w:val="en-US" w:eastAsia="en-US" w:bidi="ar-SA"/>
        </w:rPr>
        <w:t>Civil litigation — Civil procedure — Disposition without trial — Dismissal of action — Delay or failure to prosecute — Application by former employee to dismiss claim dismissed — Plaintiff commenced action against former employee in 2006 alleging breach of confidentiality — Former employee filed statement of defence and delivered list of documents by end of 2006, but no significant steps taken until plaintiff filed notice of intention to proceed in February 2010 — Delay inordinate and inexcusable given seriousness of allegations and that plaintiff obtained injunction four years ago — Although former employee experienced some prejudice, prejudice not serious — Interests of justice did not demand that action be dismissed as former employee could still be afforded fair trial — Supreme Court Civil Rules, Rule 22-07(7).</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 w:name="Case Summary_1"/>
            <w:bookmarkEnd w:id="1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former employee to dismiss the claim for want of prosecution. The defendant was a scientist/ engineer who was employed as a staff scientist by the plaintiff. The employment agreement pursuant to which the defendant was employed contained a confidentiality clause which required the confidentiality of various matters arising in the course of the defendant's employment. Differences arose between the defendant and the plaintiff, from what the defendant described as a demotion and constructive dismissal and ultimately the plaintiff dismissed the defendant. Following the defendant's dismissal in April 2006, further issues arose between the parties concerning certain disclosures that the plaintiff alleged had been made by the defendant with respect to a technology that the defendant had been working in the course of his employment with the plaintiff. The plaintiff commenced an action against the defendant in June 2006 alleging breach of the employment agreement and breach of the common law and fiduciary duties that the defendant owed to the plaintiff by his disclosure of certain confidential information. In June 2006, the plaintiffs applied for and were granted an interlocutory injunction preventing further dissemination or distribution of the confidential information. In October 2006, the defendant filed a statement of defence denying all of the allegations, and he produced a list of documents in December 2006. Between December 2006 and February 2010, counsel for the parties twice exchanged correspondence in which they discussed settlement, but neither party took any steps to further the action. In February 2010, the plaintiff served a notice of intention to proceed, which led to the defendant's application to dismiss the action. The plaintiff's list of documents was not delivered until April 2010, after the defendant filed his application.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 w:name="Holdings of Court_1"/>
            <w:bookmarkEnd w:id="16"/>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delay of 41 months was inordinate and inexcusable given the seriousness of the allegations against the defendant and that the plaintiff's had obtained an injunction against the defendant, which had been in place for over four years. Although the defendant experienced some prejudice by reason of the injunction, the prejudice was not serious, and he had not been prejudiced in his ability to present evidence due to the unavailability or poor memories of witnesses as a result of the passage of time. Finally, the interests of justice did not demand that the action be dismissed as while the delay was regrettable, the defendant could still be afforded a fair trial where he could present evidence in defence of his claim.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 w:name="Legislation Cited_1"/>
      <w:bookmarkEnd w:id="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8"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1-3</w:t>
      </w:r>
      <w:r>
        <w:rPr>
          <w:rFonts w:ascii="arial" w:eastAsia="arial" w:hAnsi="arial" w:cs="arial"/>
          <w:color w:val="000000"/>
          <w:sz w:val="20"/>
          <w:lang w:val="en-US" w:eastAsia="en-US" w:bidi="ar-SA"/>
        </w:rPr>
        <w:t>(1), Rule 5-1, Rule 22-7(7)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 w:name="Counsel_1"/>
      <w:bookmarkEnd w:id="1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9" style="position:absolute;z-index:2517626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T.M. Pontin.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 Vanderkooy.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 w:name="Judgment_1"/>
      <w:bookmarkEnd w:id="19"/>
      <w:r>
        <w:pict>
          <v:line id="_x0000_s1040" style="position:absolute;z-index:2518138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 w:name="S.C. FITZPATRICK J."/>
            <w:bookmarkEnd w:id="20"/>
            <w:r>
              <w:rPr>
                <w:rFonts w:ascii="arial" w:eastAsia="arial" w:hAnsi="arial" w:cs="arial"/>
                <w:b/>
                <w:color w:val="000000"/>
                <w:sz w:val="30"/>
                <w:lang w:val="en-US" w:eastAsia="en-US" w:bidi="ar-SA"/>
              </w:rPr>
              <w:t>S.C. FITZPATRICK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 Zbigniew Twardowski ("Dr. Twardowski"), applies to dismiss this proceeding for want of prosecution pursuant to Supreme Court Rule 2(7) (now Supreme Court Civil Rule 22-7(7),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effective July 1,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proceeding arose from Dr. Twardowski's employment with the plaintiff, Aker Kvaerner Canada Inc. ("Chemetics").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Dr. Twardowski is a scientist/engineer who is trained in the areas of electrochemical and membrane separation science and technology. He was employed as a staff scientist by Chemetics pursuant to an employment agreement dated September 1, 1992 (the "Employment Agreement"). The Employment Agreement was not in evidence on this application, although counsel agreed that, as is common in many employment agreements, Dr. Twardowski was required to maintain the confidentiality of various matters arising in the course of his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During the course of his employment with Chemetics, Dr. Twardowski was involved in the development of certain desalination processes known as a Sulphate Removal System ("SRS") and as Osmotic Membrane Distillation ("OMD"). In fact, Dr. Twardowski describes himself as the inventor of the SRS technology and a co-inventor of the OMD technology (along with Dr. Bessarabov, who is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Differences arose between Dr. Twardowski and Chemetics commencing in 2004, from what Dr. Twardowski describes as a demotion and constructive dismissal. Ultimately, Chemetics formally dismissed Dr. Twardowski on April 28,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Following his dismissal, further issues arose between the parties concerning certain disclosures alleged by Chemetics to have been made by Dr. Twardowski with respect to the OMD technology. In particular, Chemetics alleged that these disclosures had been made by Dr. Twardowski to Hyflux Filtech (Shanghai) Limited ("Hyflux") after his termination. Hyflux is a major competitor of Chemetics which had hired Dr. Twardowski shortly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June 20, 2006, Chemetics commenced this proceeding against Dr. Twardowski. The principal allegations against him are that in breach of the Employment Agreement and in breach of his common law and fiduciary duties owed to Chemetics, Dr. Twardowski disclosed certain confidential information relating to the SRS and OMD technology. The confidential information is said to have been disclosed to Hyflux both before and after his termination by Chemetics. Further, he is alleged to have publicly disclosed certain confidential information at a conference in Nanjing, China, in 2006. Chemetics also alleged certain misrepresentations were made by Dr. Twardowski at various conferences.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Chemetics immediately brought a motion on notice to Dr. Twardowski for an interim and interlocutory injunction preventing further dissemination or distribution of the confidential information. That application was granted by Justice R. Holmes on June 26, 2006: </w:t>
      </w:r>
      <w:r>
        <w:rPr>
          <w:rFonts w:ascii="arial" w:eastAsia="arial" w:hAnsi="arial" w:cs="arial"/>
          <w:i/>
          <w:color w:val="000000"/>
          <w:sz w:val="20"/>
          <w:lang w:val="en-US" w:eastAsia="en-US" w:bidi="ar-SA"/>
        </w:rPr>
        <w:t>Aker Kvaerner Canada Inc. v. Twardowski</w:t>
      </w:r>
      <w:r>
        <w:rPr>
          <w:rFonts w:ascii="arial" w:eastAsia="arial" w:hAnsi="arial" w:cs="arial"/>
          <w:color w:val="000000"/>
          <w:sz w:val="20"/>
          <w:lang w:val="en-US" w:eastAsia="en-US" w:bidi="ar-SA"/>
        </w:rPr>
        <w:t xml:space="preserve"> (26 June 2006), Vancouver S063995 (S.C.). In his reasons for judgment, Justice R. Holmes noted the potential serious impact on Chemetics by reason of disclosure of the confidential information. Conversely, Justice R. Holmes was careful to restrain Dr. Twardowski in the least intrusive manner possible and solely for the purpose of avoiding potential harm to Chemetics. Justice R. Holmes commented: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On a comparative basis injunctive restraint against the defendant should be neither a problem economically or career-wise. It is important that the defendant not be restricted so as to affect his ability to effectively compete in the labour market in which he has training, experience and opportunity. It must be borne in mind that he has functioned in a relatively narrow niche market of skill. I agree, however, with the comments of counsel for the plaintiff who seeks only to restrict the defendant and I quote "by the same obligations of confidentiality by which he is already bound by virtue of his employment agreement, the fiduciary relationship, duties that he owes to Chemetics and his common law obligations of good faith and fidelity."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The plaintiffs do not seek to restrain the defendant from employment with Hyflux. An injunction would not interfere with the defendant's ability to continue in its capacity as a consultant to Hyflux in respect of technical assistance involving certain waste water projects, opportunities in China or to establish North America sales of Hyflux proprietary HUM brine filtration system technology. These are two of the three main functions that the defendant deposes that he was retained for by Hyflux.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parties exchanged demands for document discovery and notices to produce in September 2006. Dr. Twardowski produced his list of documents in December 2006. Copies of the documents disclosed by him were requested at that time by Chemetics'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Following the granting of the injunction, Dr. Twardowski filed a statement of defence on October 20, 2006. Dr. Twardowski essentially denied all of the allegations of Chemetics, and specifically alleged that the confidential information he allegedly disclosed had already been made public by others with the consent of Chemetics.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For reasons that are not clear, the parties were not successful in settling the terms of the order of Justice R. Holmes until March 8,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was a minor step taken in the proceedings in January 2008, when Chemetics' counsel delivered a notice of change of address for delivery. On February 18, 2010, Chemetics served a notice of intention to proceed, which, in turn, led to this application being filed on April 1, 2010. On April 19, 2010, presumably in response to this application, Chemetics delivered its list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have been advised that no examinations for discovery have taken place and no notice of trial or other attempts to secure a trial date have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test to be applied on this application has been discussed and developed in various decisions by our Court of Appeal: </w:t>
      </w:r>
      <w:r>
        <w:rPr>
          <w:rFonts w:ascii="arial" w:eastAsia="arial" w:hAnsi="arial" w:cs="arial"/>
          <w:i/>
          <w:color w:val="000000"/>
          <w:sz w:val="20"/>
          <w:lang w:val="en-US" w:eastAsia="en-US" w:bidi="ar-SA"/>
        </w:rPr>
        <w:t>Irving v. Irving</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(1982), 38 B.C.L.R. 318</w:t>
        </w:r>
      </w:hyperlink>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140 D.L.R. (3d) 157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Busse v. Robinson Morelli Chertkow</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1999 BCCA 313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Tundra Helicopters Ltd. v. Allison Gas Turbine,</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2002 BCCA 145</w:t>
        </w:r>
      </w:hyperlink>
      <w:r>
        <w:rPr>
          <w:rFonts w:ascii="arial" w:eastAsia="arial" w:hAnsi="arial" w:cs="arial"/>
          <w:color w:val="000000"/>
          <w:sz w:val="20"/>
          <w:lang w:val="en-US" w:eastAsia="en-US" w:bidi="ar-SA"/>
        </w:rPr>
        <w:t xml:space="preserve">; and finally, </w:t>
      </w:r>
      <w:r>
        <w:rPr>
          <w:rFonts w:ascii="arial" w:eastAsia="arial" w:hAnsi="arial" w:cs="arial"/>
          <w:i/>
          <w:color w:val="000000"/>
          <w:sz w:val="20"/>
          <w:lang w:val="en-US" w:eastAsia="en-US" w:bidi="ar-SA"/>
        </w:rPr>
        <w:t>0690860 Manitoba Ltd. v. Country West Construction Ltd.</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2009 BCCA 535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PMC Builders</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PMC Builders</w:t>
      </w:r>
      <w:r>
        <w:rPr>
          <w:rFonts w:ascii="arial" w:eastAsia="arial" w:hAnsi="arial" w:cs="arial"/>
          <w:color w:val="000000"/>
          <w:sz w:val="20"/>
          <w:lang w:val="en-US" w:eastAsia="en-US" w:bidi="ar-SA"/>
        </w:rPr>
        <w:t>, Justice Low summarized the factors to be considered: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These cases suggest to me that a chambers judge charged with the hearing of an application for dismissal of an action for want of prosecution is bound to consider the following:</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the delay and whether it was inordinate;</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reasons for the delay either offered in evidence or inferred from the evidence, including whether the delay was intentional and tactical or whether it was the product of dilatoriness,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impecuniosity, illness or some other relevant cause, the ultimate consideration being whether the delay is excusable in the circumstances;</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delay has caused serious prejudice to the defendant in presenting a defence and, if there is such prejudice, whether it creates a substantial risk that a fair trial is not possible at the earliest date by which the action could be readied for trial after its reactivation by the plaintiff; and</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on balance, justice requires dismissal of the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I consider the fourth question to encompass the other three and to be the most important and decisive question.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Was there inordinate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Twardowski contends that the delay should be measured from the last formal step taken by Chemetics, the serving of the demand for discovery of documents in September 2006, until February 2010, when the notice of intention to proceed was served, for a total of 41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Consideration of this issue requires an analysis of the type of allegations that have been raised in these proceedings. In this case, Chemetics alleges that Dr. Twardowski breached confidences, breached common law duties, breached fiduciary duties, breached the Employment Contract, made unlawful use of confidential information, misrepresented himself to the public, and passed off property of Chemetics as his own. He contends that these are onerous personal accusations and that as such, Chemetics was obliged to prosecute this claim expeditiously beyond even normal expectations.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Dr. Twardowski relies on </w:t>
      </w:r>
      <w:r>
        <w:rPr>
          <w:rFonts w:ascii="arial" w:eastAsia="arial" w:hAnsi="arial" w:cs="arial"/>
          <w:i/>
          <w:color w:val="000000"/>
          <w:sz w:val="20"/>
          <w:lang w:val="en-US" w:eastAsia="en-US" w:bidi="ar-SA"/>
        </w:rPr>
        <w:t>Kern v. Watson</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(1997), 32 B.C.L.R. (3d) 398</w:t>
        </w:r>
      </w:hyperlink>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69 A.C.W.S. (3d) 1038</w:t>
        </w:r>
      </w:hyperlink>
      <w:r>
        <w:rPr>
          <w:rFonts w:ascii="arial" w:eastAsia="arial" w:hAnsi="arial" w:cs="arial"/>
          <w:color w:val="000000"/>
          <w:sz w:val="20"/>
          <w:lang w:val="en-US" w:eastAsia="en-US" w:bidi="ar-SA"/>
        </w:rPr>
        <w:t xml:space="preserve"> (S.C.), for that proposition. In that case, Justice Warren considered an application to dismiss in the context of a three year delay where there were allegations of fraudulent misrepresentations against a member of the Bar. Justice Warren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In my view where there are serious allegations levelled against a party such of those allegations levelled against these Defendants in the pleadings before me, there is a particular onus on the Plaintiffs to pursue its relief diligently.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Similar comments were made by Justice Crawford in </w:t>
      </w:r>
      <w:r>
        <w:rPr>
          <w:rFonts w:ascii="arial" w:eastAsia="arial" w:hAnsi="arial" w:cs="arial"/>
          <w:i/>
          <w:color w:val="000000"/>
          <w:sz w:val="20"/>
          <w:lang w:val="en-US" w:eastAsia="en-US" w:bidi="ar-SA"/>
        </w:rPr>
        <w:t>Daum v. City of Surrey,</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2004 BCSC 1584</w:t>
        </w:r>
      </w:hyperlink>
      <w:r>
        <w:rPr>
          <w:rFonts w:ascii="arial" w:eastAsia="arial" w:hAnsi="arial" w:cs="arial"/>
          <w:color w:val="000000"/>
          <w:sz w:val="20"/>
          <w:lang w:val="en-US" w:eastAsia="en-US" w:bidi="ar-SA"/>
        </w:rPr>
        <w:t>, where outstanding allegations included assault, wrongful detention, arrest and imprisonment, malicious prosecution and conspiracy: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 The plaintiffs' claims sounding in conspiracy with its odious inference of back door dealing are such that they should not remain outstanding longer than necessary.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These authorities were applied in the later case of </w:t>
      </w:r>
      <w:r>
        <w:rPr>
          <w:rFonts w:ascii="arial" w:eastAsia="arial" w:hAnsi="arial" w:cs="arial"/>
          <w:i/>
          <w:color w:val="000000"/>
          <w:sz w:val="20"/>
          <w:lang w:val="en-US" w:eastAsia="en-US" w:bidi="ar-SA"/>
        </w:rPr>
        <w:t>Walsh v. 422164 BC Ltd.</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2006 BCSC 1535</w:t>
        </w:r>
      </w:hyperlink>
      <w:r>
        <w:rPr>
          <w:rFonts w:ascii="arial" w:eastAsia="arial" w:hAnsi="arial" w:cs="arial"/>
          <w:color w:val="000000"/>
          <w:sz w:val="20"/>
          <w:lang w:val="en-US" w:eastAsia="en-US" w:bidi="ar-SA"/>
        </w:rPr>
        <w:t>, where a delay of over three years was found to constitute inordinate delay where there were serious allegations of misappropriation of funds and breach of trust which impinged on the defendant's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Rhyolite Resources Inc. v. CanQuest Resource Corp</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1999 BCCA 36</w:t>
        </w:r>
      </w:hyperlink>
      <w:r>
        <w:rPr>
          <w:rFonts w:ascii="arial" w:eastAsia="arial" w:hAnsi="arial" w:cs="arial"/>
          <w:color w:val="000000"/>
          <w:sz w:val="20"/>
          <w:lang w:val="en-US" w:eastAsia="en-US" w:bidi="ar-SA"/>
        </w:rPr>
        <w:t>, the defendant also faced allegations concerning breach of fiduciary duty. Justice Hall observed that the nature of the action would be a significant issue to assess on such an application. In that case, he stated at para. 24, "I also believe that the chambers judge was entitled to take the view that the allegation of breach of fiduciary duty was an unpleasant one to have hanging indefinitely over the head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agree that the allegations against Dr. Twardowski are serious in that they concern his professional reputation and livelihood. As such, Chemetics was under an obligation to proceed diligently in this litigation. This is particularly so given that the injunction has been in place for over four years now and continues to prevent Dr. Twardowski from acting in a manner that he contends would not result in a breach of his obligations as to confidentiality in relation to his knowledge of SRS and OMD technology.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Dr. Twardowski relies on the Alberta Court of Appeal decision in </w:t>
      </w:r>
      <w:r>
        <w:rPr>
          <w:rFonts w:ascii="arial" w:eastAsia="arial" w:hAnsi="arial" w:cs="arial"/>
          <w:i/>
          <w:color w:val="000000"/>
          <w:sz w:val="20"/>
          <w:lang w:val="en-US" w:eastAsia="en-US" w:bidi="ar-SA"/>
        </w:rPr>
        <w:t>Tsuu T'ina Nation Band v. Fraser</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2001 ABCA 109</w:t>
        </w:r>
      </w:hyperlink>
      <w:r>
        <w:rPr>
          <w:rFonts w:ascii="arial" w:eastAsia="arial" w:hAnsi="arial" w:cs="arial"/>
          <w:color w:val="000000"/>
          <w:sz w:val="20"/>
          <w:lang w:val="en-US" w:eastAsia="en-US" w:bidi="ar-SA"/>
        </w:rPr>
        <w:t>, in support of the proposition that where there is an interim injunction, the plaintiff must proceed expeditiously to advance the case. Even if no injunction had been obtained by Chemetics, I would have found that it was bound to pursue the claim diligently. The fact that the injunction was obtained bolsters my finding. Dr. Twardowski is entitled to present his defence at trial in a timely manner to advance his argument that his actions did not violate his obligations under the Employment Agreement and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this case, Chemetics concedes that the delay has been inordinate.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Is the delay excusable?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Whether the delay is excusable will depend on the circumstances of each case: </w:t>
      </w:r>
      <w:r>
        <w:rPr>
          <w:rFonts w:ascii="arial" w:eastAsia="arial" w:hAnsi="arial" w:cs="arial"/>
          <w:i/>
          <w:color w:val="000000"/>
          <w:sz w:val="20"/>
          <w:lang w:val="en-US" w:eastAsia="en-US" w:bidi="ar-SA"/>
        </w:rPr>
        <w:t>PMC Builders</w:t>
      </w:r>
      <w:r>
        <w:rPr>
          <w:rFonts w:ascii="arial" w:eastAsia="arial" w:hAnsi="arial" w:cs="arial"/>
          <w:color w:val="000000"/>
          <w:sz w:val="20"/>
          <w:lang w:val="en-US" w:eastAsia="en-US" w:bidi="ar-SA"/>
        </w:rPr>
        <w:t xml:space="preserve">, at para. 29. As noted in </w:t>
      </w:r>
      <w:r>
        <w:rPr>
          <w:rFonts w:ascii="arial" w:eastAsia="arial" w:hAnsi="arial" w:cs="arial"/>
          <w:i/>
          <w:color w:val="000000"/>
          <w:sz w:val="20"/>
          <w:lang w:val="en-US" w:eastAsia="en-US" w:bidi="ar-SA"/>
        </w:rPr>
        <w:t>De Cotiis v. Viam Holdings Ltd.</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2004 BCSC 1301</w:t>
        </w:r>
      </w:hyperlink>
      <w:r>
        <w:rPr>
          <w:rFonts w:ascii="arial" w:eastAsia="arial" w:hAnsi="arial" w:cs="arial"/>
          <w:color w:val="000000"/>
          <w:sz w:val="20"/>
          <w:lang w:val="en-US" w:eastAsia="en-US" w:bidi="ar-SA"/>
        </w:rPr>
        <w:t xml:space="preserve"> at para. 16, factors relating to whether the delay is inordinate may also be relevant on the issue of whether the delay is excusable.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this case, the excuse advanced by Chemetics is that the parties were pursuing settlement negotiations. Mr. Wotherspoon, counsel for Chemetics, deposes that beyond ongoing discussions towards settling the terms of Justice Holmes' order of June 26, 2006, Chemetics intended to pursue examinations for discovery of Dr. Twardowski, but that plan was put on hold in September 2006, as a result of discussions directly between the parties that might have led to a resolution of the dispute. Mr. Wotherspoon said he was made aware from Chemetics of such ongoing discussions through to at least May 2007. Dr. Twardowski does not recall any such direct discussions between the parties taking place as alleged and no direct evidence was introduced by Chemetics to refute his recollections. I accept Dr. Twardowski's evidence that no such discussions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Further, it appears that Mr. Wotherspoon spoke by telephone with Mr. Yeager, counsel for Dr. Twardowski, in late 2008 about a potential resolution, but no agreement was reached. Mr. Yeager and Mr. Wotherspoon exchanged emails regarding a resolution in May 2009, but again, no agreement was reached. Mr. Yeager confirms that such discussions and email exchanges took place, but indicates that his message in September 2008 was that there had been no steps taken to further the action and he was inquiring whether Chemetics would agree to a consent order to vacate or terminate the injunction. The later emails in May 2009 confirm that Chemetics was to forward documentation in respect of the issue as to whether the injunction was to be continued or vacated, although it appears that Chemetics still wanted to discuss an overall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Legitimate settlement discussions can potentially constitute the basis on which a delay may be excusable. In </w:t>
      </w:r>
      <w:r>
        <w:rPr>
          <w:rFonts w:ascii="arial" w:eastAsia="arial" w:hAnsi="arial" w:cs="arial"/>
          <w:i/>
          <w:color w:val="000000"/>
          <w:sz w:val="20"/>
          <w:lang w:val="en-US" w:eastAsia="en-US" w:bidi="ar-SA"/>
        </w:rPr>
        <w:t>Tundra Helicopters,</w:t>
      </w:r>
      <w:r>
        <w:rPr>
          <w:rFonts w:ascii="arial" w:eastAsia="arial" w:hAnsi="arial" w:cs="arial"/>
          <w:color w:val="000000"/>
          <w:sz w:val="20"/>
          <w:lang w:val="en-US" w:eastAsia="en-US" w:bidi="ar-SA"/>
        </w:rPr>
        <w:t xml:space="preserve">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In my respectful view, it was error in principle for the learned judge to find, as he did in para. 18 of his reasons,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that the delay was unreasonable because the decision to do so was "tactical in nature". In circumstances such as arose here, </w:t>
      </w:r>
      <w:r>
        <w:rPr>
          <w:rFonts w:ascii="arial" w:eastAsia="arial" w:hAnsi="arial" w:cs="arial"/>
          <w:color w:val="000000"/>
          <w:sz w:val="20"/>
          <w:u w:val="single"/>
          <w:lang w:val="en-US" w:eastAsia="en-US" w:bidi="ar-SA"/>
        </w:rPr>
        <w:t>it cannot be held against the plaintiffs that they wished to save litigation costs or obtain the benefit of a review of the available evidence or that they hoped to improve their settlement prospects. Those are legitimate objects</w:t>
      </w:r>
      <w:r>
        <w:rPr>
          <w:rFonts w:ascii="arial" w:eastAsia="arial" w:hAnsi="arial" w:cs="arial"/>
          <w:color w:val="000000"/>
          <w:sz w:val="20"/>
          <w:lang w:val="en-US" w:eastAsia="en-US" w:bidi="ar-SA"/>
        </w:rPr>
        <w:t>, a view which the defendants appear to have shared.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Nevertheless, I do not find the evidence of Chemetics on this point compelling. The overall tenor of Mr. Yeager's evidence is that he was emphasizing the delay and pressing for a consent order to vacate or terminate the injunction. Clearly, while these discussions were ongoing, Mr. Yeager was continuing to impress upon Chemetics' counsel the seriousness of the injunction remaining in place. The two exchanges between counsel, one in 2008 and one in 2009, did not, in my view, constitute meaningful settlement discussions that would constitute an excuse for the delay. In fact, after the last contact in May 2009, Chemetics' counsel did not forward the documentation to Mr. Yeager which he had earlier agreed to send. Nothing was done for a further seven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For legitimate reasons, Chemetics did not advance any argument that Dr. Twardowski had acquiesced in the delay. Overall, it remained the responsibility of Chemetics to move this litigation forward and, in fact, it was their "turn to move" in the sense of taking the necessary procedural steps to prosecute the action: see </w:t>
      </w:r>
      <w:r>
        <w:rPr>
          <w:rFonts w:ascii="arial" w:eastAsia="arial" w:hAnsi="arial" w:cs="arial"/>
          <w:i/>
          <w:color w:val="000000"/>
          <w:sz w:val="20"/>
          <w:lang w:val="en-US" w:eastAsia="en-US" w:bidi="ar-SA"/>
        </w:rPr>
        <w:t>Hanna's Construction v. Blue River</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2006 BCCA 142</w:t>
        </w:r>
      </w:hyperlink>
      <w:r>
        <w:rPr>
          <w:rFonts w:ascii="arial" w:eastAsia="arial" w:hAnsi="arial" w:cs="arial"/>
          <w:color w:val="000000"/>
          <w:sz w:val="20"/>
          <w:lang w:val="en-US" w:eastAsia="en-US" w:bidi="ar-SA"/>
        </w:rPr>
        <w:t xml:space="preserve"> at para. 26. In fact, Chemetics failed to respond to the demand for discovery of documents in a timely manner and has taken no steps to schedule any examinations for discovery of Dr. Twardowski or to set the matter down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response from Chemetics does not convince me that the delay was excusable in all of the circumstances, particularly given the gravity of the allegations made and the fact that the injunction remained in place against Dr. Twardowski over the ensuing years from the commencement of the action.</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Is there serious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Most of the argument on this application centered on the issue of whether or not the delay in prosecuting this action has caused serious prejudice to Dr. Twardowski.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court's approach to the issue of serious prejudice was discussed in </w:t>
      </w:r>
      <w:r>
        <w:rPr>
          <w:rFonts w:ascii="arial" w:eastAsia="arial" w:hAnsi="arial" w:cs="arial"/>
          <w:i/>
          <w:color w:val="000000"/>
          <w:sz w:val="20"/>
          <w:lang w:val="en-US" w:eastAsia="en-US" w:bidi="ar-SA"/>
        </w:rPr>
        <w:t>Tundra Helicopters,</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I also regard it as error in principle to dispose of the issue of prejudice by asking whether the plaintiffs had rebutted 'the presumption of prejudice that arises in the circumstances' and by going on to answer that question in the negative. The "presumption of prejudice" is not a presumption of law. It can be termed a presumption of fact but only in the sense, as it is put in Sopinka and Lederman </w:t>
      </w:r>
      <w:r>
        <w:rPr>
          <w:rFonts w:ascii="arial" w:eastAsia="arial" w:hAnsi="arial" w:cs="arial"/>
          <w:i/>
          <w:color w:val="000000"/>
          <w:sz w:val="20"/>
          <w:lang w:val="en-US" w:eastAsia="en-US" w:bidi="ar-SA"/>
        </w:rPr>
        <w:t>"The Law of Evidence in Civil Cases"</w:t>
      </w:r>
      <w:r>
        <w:rPr>
          <w:rFonts w:ascii="arial" w:eastAsia="arial" w:hAnsi="arial" w:cs="arial"/>
          <w:color w:val="000000"/>
          <w:sz w:val="20"/>
          <w:lang w:val="en-US" w:eastAsia="en-US" w:bidi="ar-SA"/>
        </w:rPr>
        <w:t>, 1974 at p. 378: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term "presumption of fact" is used in many instances in which it is desired merely to shift the secondary burden to a particular party. When used in this sense, it means that the facts are such that a certain inference should, but need not, be logically drawn.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It is in that sense that the word "presumption" is employed in </w:t>
      </w:r>
      <w:r>
        <w:rPr>
          <w:rFonts w:ascii="arial" w:eastAsia="arial" w:hAnsi="arial" w:cs="arial"/>
          <w:i/>
          <w:color w:val="000000"/>
          <w:sz w:val="20"/>
          <w:lang w:val="en-US" w:eastAsia="en-US" w:bidi="ar-SA"/>
        </w:rPr>
        <w:t>Busse v. Robinson Morelli Chertkow</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In considering whether the presumption of prejudice has any application in a particular case, the question properly to be asked, as stated by Goldie J.A. in para. 27 of </w:t>
      </w:r>
      <w:r>
        <w:rPr>
          <w:rFonts w:ascii="arial" w:eastAsia="arial" w:hAnsi="arial" w:cs="arial"/>
          <w:i/>
          <w:color w:val="000000"/>
          <w:sz w:val="20"/>
          <w:lang w:val="en-US" w:eastAsia="en-US" w:bidi="ar-SA"/>
        </w:rPr>
        <w:t>Busse</w:t>
      </w:r>
      <w:r>
        <w:rPr>
          <w:rFonts w:ascii="arial" w:eastAsia="arial" w:hAnsi="arial" w:cs="arial"/>
          <w:color w:val="000000"/>
          <w:sz w:val="20"/>
          <w:lang w:val="en-US" w:eastAsia="en-US" w:bidi="ar-SA"/>
        </w:rPr>
        <w:t>, 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has the plaintiff established on a balance of probabilities that the defendant has not suffered prejudice or that other circumstances would make it unjust to terminate the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considering that question it may be misleading to approach it by asking whether the plaintiff offered evidence on the point. In most cases, it will only be the defendant who is in a position to offer evidence as to the existence of specific prejudice - as two of the defendants attempted to do in this case. The plaintiff often will be able only to point to the overall circumstances, including the absence of any evidence from the defendant of specific prejudice, as establishing on the balance of probabilities that serious prejudice has not been suffered.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In this case, much of the evidence which tends to prove absence of prejudice was put in the record by those defendants who sought to establish that the case against them is a weak one. It matters not who puts forward the evidence. The question remains whether, on a balance of probabilities, absence of prejudice has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exigencies of litigation inevitably dictate that prejudice is suffered simply by the passage of time. Many cases raise this element of prejudice as a matter of common sense; one might say that some prejudice inevitably "comes with the territory" of litigation, given the normal time frames that seem unduly lengthy to most lay people. The prejudice that is relevant in this case is prejudice that goes beyond this normal type of prejudice and has been described as "serious" prejudice: </w:t>
      </w:r>
      <w:r>
        <w:rPr>
          <w:rFonts w:ascii="arial" w:eastAsia="arial" w:hAnsi="arial" w:cs="arial"/>
          <w:i/>
          <w:color w:val="000000"/>
          <w:sz w:val="20"/>
          <w:lang w:val="en-US" w:eastAsia="en-US" w:bidi="ar-SA"/>
        </w:rPr>
        <w:t>PMC Builders</w:t>
      </w:r>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It must also be borne in mind that only direct evidence of prejudice is admissible on this type of application given that the relief sought is for a final order. Evidence based on information and belief is not admissible: </w:t>
      </w:r>
      <w:r>
        <w:rPr>
          <w:rFonts w:ascii="arial" w:eastAsia="arial" w:hAnsi="arial" w:cs="arial"/>
          <w:i/>
          <w:color w:val="000000"/>
          <w:sz w:val="20"/>
          <w:lang w:val="en-US" w:eastAsia="en-US" w:bidi="ar-SA"/>
        </w:rPr>
        <w:t>PMC Builders</w:t>
      </w:r>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Twardowski alleges three elements of prejudice:</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been unable to pursue employment opportunities related to the SRS and OMD technology he invented while employed by Chemetics by reason of the injunction;</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have been potential adverse effects on his wife's career; he and his family are suffering the stress of having this litigation over their head; and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has been a loss of evidence which would have supported his defence, particularly in relation to the presentations given by Dr. Bessarabov in 2005 and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With respect to Dr. Twardowski's personal circumstances, there is no doubt that the litigation and the injunction are having an effect on him. He is 60 years of age and acknowledges that he is in the twilight years of his career. He assists in supporting his family: a wife and a young son. He wishes to use his expertise in his remaining working years and wishes to provide consulting services to companies worldwide that are involved in using this technology.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Dr. Twardowski relies on </w:t>
      </w:r>
      <w:r>
        <w:rPr>
          <w:rFonts w:ascii="arial" w:eastAsia="arial" w:hAnsi="arial" w:cs="arial"/>
          <w:i/>
          <w:color w:val="000000"/>
          <w:sz w:val="20"/>
          <w:lang w:val="en-US" w:eastAsia="en-US" w:bidi="ar-SA"/>
        </w:rPr>
        <w:t>Tsuu T'ina Nation</w:t>
      </w:r>
      <w:r>
        <w:rPr>
          <w:rFonts w:ascii="arial" w:eastAsia="arial" w:hAnsi="arial" w:cs="arial"/>
          <w:color w:val="000000"/>
          <w:sz w:val="20"/>
          <w:lang w:val="en-US" w:eastAsia="en-US" w:bidi="ar-SA"/>
        </w:rPr>
        <w:t xml:space="preserve"> on the issue of prejudice. In that case, there was a three-year delay and the court found at para. 9 that there was a likelihood of serious prejudice "in that the interim injunction in place was tantamount to a permanent injunction." In my view, the fact that there is an injunction is but one factor to be considered on this type of application. The decision was decided on the specific facts presented in that case and does not stand for the proposition that a delay following an interim injunction inevitably establishes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accept that Dr. Twardowski has suffered some prejudice by reason of the injunction. Nevertheless, it bears pointing out that even if this action were to be dismissed and the injunction dissolved, Dr. Twardowski would still remain subject to the confidentiality provisions in the Employment Agreement and his common law and fiduciary duties with respect to his knowledge of confidential information developed while in the employ of Chemetics. The injunction does not prevent Dr. Twardowski from being employed by Hyflux, but only from giving advice to them regarding the research, development, or sale of SRS and OMD technologies in competition with those of Chemetics. In any event, it appears that Dr. Twardowski remains gainfully employed with Hyflux even at this time, although he is making slightly less than what he had been earning in his position at Chemetics.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Twardowski and his wife gave evidence concerning the negative effect that this litigation is having on their relationship and their family. Dr. Twardowski cites various stresses relating to the cost of the litigation, financial uncertainty, and anxiety relating to his career, his family, and the action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With respect to items 1 and 2 above, there is considerable authority that the alleged prejudice must be directly concerned with the action itself, in the sense that the prejudice has thrown into question whether the defendant will be able to have a fair trial on the merits to decide the issues in the case. In </w:t>
      </w:r>
      <w:r>
        <w:rPr>
          <w:rFonts w:ascii="arial" w:eastAsia="arial" w:hAnsi="arial" w:cs="arial"/>
          <w:i/>
          <w:color w:val="000000"/>
          <w:sz w:val="20"/>
          <w:lang w:val="en-US" w:eastAsia="en-US" w:bidi="ar-SA"/>
        </w:rPr>
        <w:t>Lindholm v. Pollen</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(1986), 3 B.C.L.R. (2d) 23</w:t>
        </w:r>
      </w:hyperlink>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38 A.C.W.S. (2d) 363</w:t>
        </w:r>
      </w:hyperlink>
      <w:r>
        <w:rPr>
          <w:rFonts w:ascii="arial" w:eastAsia="arial" w:hAnsi="arial" w:cs="arial"/>
          <w:color w:val="000000"/>
          <w:sz w:val="20"/>
          <w:lang w:val="en-US" w:eastAsia="en-US" w:bidi="ar-SA"/>
        </w:rPr>
        <w:t xml:space="preserve"> (S.C.), Justice Gow rejected evidence that there was prejudice in that the outstanding action was affecting the defendant's political aspirations. The court held at para. 15 that relevant prejudice "must be prejudice directly concerned with the action itself and its trial." (See also </w:t>
      </w:r>
      <w:r>
        <w:rPr>
          <w:rFonts w:ascii="arial" w:eastAsia="arial" w:hAnsi="arial" w:cs="arial"/>
          <w:i/>
          <w:color w:val="000000"/>
          <w:sz w:val="20"/>
          <w:lang w:val="en-US" w:eastAsia="en-US" w:bidi="ar-SA"/>
        </w:rPr>
        <w:t>De Cotiis</w:t>
      </w:r>
      <w:r>
        <w:rPr>
          <w:rFonts w:ascii="arial" w:eastAsia="arial" w:hAnsi="arial" w:cs="arial"/>
          <w:color w:val="000000"/>
          <w:sz w:val="20"/>
          <w:lang w:val="en-US" w:eastAsia="en-US" w:bidi="ar-SA"/>
        </w:rPr>
        <w:t xml:space="preserve">, where it was stated in para. 34 that the prejudice "must be related to the action itself"). In fact, this proposition flows from the </w:t>
      </w:r>
      <w:r>
        <w:rPr>
          <w:rFonts w:ascii="arial" w:eastAsia="arial" w:hAnsi="arial" w:cs="arial"/>
          <w:i/>
          <w:color w:val="000000"/>
          <w:sz w:val="20"/>
          <w:lang w:val="en-US" w:eastAsia="en-US" w:bidi="ar-SA"/>
        </w:rPr>
        <w:t>PMC Builders</w:t>
      </w:r>
      <w:r>
        <w:rPr>
          <w:rFonts w:ascii="arial" w:eastAsia="arial" w:hAnsi="arial" w:cs="arial"/>
          <w:color w:val="000000"/>
          <w:sz w:val="20"/>
          <w:lang w:val="en-US" w:eastAsia="en-US" w:bidi="ar-SA"/>
        </w:rPr>
        <w:t xml:space="preserve"> test at para. 27 in that any prejudice must "create[s] a substantial risk that a fair trial is not possible at the earliest date by which the action could be readied for trial after its reactivation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Having considered all the circumstances, I am not convinced that the above elements of prejudice raised by Dr. Twardowski constitute serious prejudice. In any event, I reject these allegations of prejudice, including the fact that the injunction remains in place, on the basis that they are not related to the action itself and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more serious allegation of prejudice is item 3 above which relates to Dr. Twardowski's assertion that witnesses who would otherwise have given evidence on his behalf are no longer available or are no longer able to give certain evidence in support of his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Twardowski initially contended that two of his potential witnesses who are former employees of Chemetics have relocated a significant distance away from British Columbia. He has since located one of them; the other is in New Zealand. Chemetics confirmed that this witness had moved to New Zealand even before Dr. Twardowski's termination. No evidence was presented that these witnesses were not available to Dr. Twardowski for the purposes of the trial because of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Central to Dr. Twardowski's defence is that the confidential information which he allegedly disclosed at the Nanjing, China conference in 2006 had already been publicly disclosed by Dr. Bessarabov at two conferences (in Russia, September 2005, and in South Africa, January 2006) with the knowledge and/or consent of Chemetics. Dr. Twardowski refers to a "small pool of witnesses" who he hoped to rely on to give evidence in that regard. He proffered evidence with respect to six potential witnesses: Professor Sanderson attended at but has no recollection of the presentation of Dr. Bessarabov in South Africa; Mr. Moser is a former employee of Chemetics and was charged with the responsibility of vetting and approving the conference materials of both Dr. Twardowski and Dr. Bessarabov. He has no current recollection of the contents of Dr. Bessarabov's presentations or the presentation materials of Dr. Twardowski from 2005 and 2006; two other witnesses, Dr. Volchek and Professor Feng, also attended Dr. Bessarabov's presentation at the Russia conference but both have no recollection beyond the fact that the presentation was made; with respect to Dr. Twardowski's presentation in Nanjing, China, one witness, Mr. Xing, has no recollection of the details and another witness, Ms. He, cannot be 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evidence concerning the contents of the three conferences is countered by Chemetics. With respect to the Nanjing, China conference, there were approximately 100 attendees at that conference. An employee of Chemetics, Ms. Yang, has copies of the materials presented by Dr. Twardowski at that conference. This witness was also in attendance at a conference in Kunming, China immediately following the Nanjing conference, at which Dr. Twardowski presented information concerning Hyflux's technology, said to be similar to the SRS technology developed by Chemetics. Ms. Yang has digital photos of the presentation along with copies of the slides used in that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Chemetics also presented evidence that Dr. Bessarabov currently lives in the Lower Mainland and has a recollection of the two presentations that he made on behalf of Chemetics in Russia and South Africa in 2005 and 2006, respectively. It also appears that Dr. Twardowski has not been in contact with Dr. Bessarabov since April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is questionable how much of the evidence presented by both Dr. Twardowski and Chemetics on this issue is admissible on this application given that most was based on information and belief. Nevertheless, no objection was made by either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Tundra Helicopters</w:t>
      </w:r>
      <w:r>
        <w:rPr>
          <w:rFonts w:ascii="arial" w:eastAsia="arial" w:hAnsi="arial" w:cs="arial"/>
          <w:color w:val="000000"/>
          <w:sz w:val="20"/>
          <w:lang w:val="en-US" w:eastAsia="en-US" w:bidi="ar-SA"/>
        </w:rPr>
        <w:t>, the court discusses elements of prejudice that may arise in relation to witnesses' memories by reason of delay: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 In considering that, it must be borne in mind that in all contested law suits there is likely to be sufficient passage of time that memories erode to some extent, records may be lost, witnesses may disappear.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addition, it is clear that lack of an anticipated witness is not proof of substantial prejudice in and of itself but is a factor to be considered in all of the circumstances: </w:t>
      </w:r>
      <w:r>
        <w:rPr>
          <w:rFonts w:ascii="arial" w:eastAsia="arial" w:hAnsi="arial" w:cs="arial"/>
          <w:i/>
          <w:color w:val="000000"/>
          <w:sz w:val="20"/>
          <w:lang w:val="en-US" w:eastAsia="en-US" w:bidi="ar-SA"/>
        </w:rPr>
        <w:t>Irving</w:t>
      </w:r>
      <w:r>
        <w:rPr>
          <w:rFonts w:ascii="arial" w:eastAsia="arial" w:hAnsi="arial" w:cs="arial"/>
          <w:color w:val="000000"/>
          <w:sz w:val="20"/>
          <w:lang w:val="en-US" w:eastAsia="en-US" w:bidi="ar-SA"/>
        </w:rPr>
        <w:t xml:space="preserve">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 approach the evidence of Dr. Twardowski with some scepticism, although I appreciate that the onus of proving prejudice does not rest on him. The approach of the court on this point at para. 32 of </w:t>
      </w:r>
      <w:r>
        <w:rPr>
          <w:rFonts w:ascii="arial" w:eastAsia="arial" w:hAnsi="arial" w:cs="arial"/>
          <w:i/>
          <w:color w:val="000000"/>
          <w:sz w:val="20"/>
          <w:lang w:val="en-US" w:eastAsia="en-US" w:bidi="ar-SA"/>
        </w:rPr>
        <w:t>Tundra Helicopters</w:t>
      </w:r>
      <w:r>
        <w:rPr>
          <w:rFonts w:ascii="arial" w:eastAsia="arial" w:hAnsi="arial" w:cs="arial"/>
          <w:color w:val="000000"/>
          <w:sz w:val="20"/>
          <w:lang w:val="en-US" w:eastAsia="en-US" w:bidi="ar-SA"/>
        </w:rPr>
        <w:t xml:space="preserve"> bears repeating: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 In considering that question it may be misleading to approach it by asking whether the plaintiff offered evidence on the point. </w:t>
      </w:r>
      <w:r>
        <w:rPr>
          <w:rFonts w:ascii="arial" w:eastAsia="arial" w:hAnsi="arial" w:cs="arial"/>
          <w:color w:val="000000"/>
          <w:sz w:val="20"/>
          <w:u w:val="single"/>
          <w:lang w:val="en-US" w:eastAsia="en-US" w:bidi="ar-SA"/>
        </w:rPr>
        <w:t>In most cases, it will only be the defendant who is in a position to offer evidence as to the existence of specific prejudice</w:t>
      </w:r>
      <w:r>
        <w:rPr>
          <w:rFonts w:ascii="arial" w:eastAsia="arial" w:hAnsi="arial" w:cs="arial"/>
          <w:color w:val="000000"/>
          <w:sz w:val="20"/>
          <w:lang w:val="en-US" w:eastAsia="en-US" w:bidi="ar-SA"/>
        </w:rPr>
        <w:t xml:space="preserve"> - as two of the defendants attempted to do in this case. The plaintiff often will be able only to point to the overall circumstances, including the </w:t>
      </w:r>
      <w:r>
        <w:rPr>
          <w:rFonts w:ascii="arial" w:eastAsia="arial" w:hAnsi="arial" w:cs="arial"/>
          <w:color w:val="000000"/>
          <w:sz w:val="20"/>
          <w:u w:val="single"/>
          <w:lang w:val="en-US" w:eastAsia="en-US" w:bidi="ar-SA"/>
        </w:rPr>
        <w:t>absence of any evidence from the defendant of specific prejudice</w:t>
      </w:r>
      <w:r>
        <w:rPr>
          <w:rFonts w:ascii="arial" w:eastAsia="arial" w:hAnsi="arial" w:cs="arial"/>
          <w:color w:val="000000"/>
          <w:sz w:val="20"/>
          <w:lang w:val="en-US" w:eastAsia="en-US" w:bidi="ar-SA"/>
        </w:rPr>
        <w:t>, as establishing on the balance of probabilities that serious prejudice has not been suffered.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It is not clear from the evidence that there is any dispute at all concerning exactly what was presented at the various conferences in South Africa, Russia, and China, in 2005 and 2006. What the effect of that evidence may be at trial in the context of the disclosure issue is for another day. However, having particular regard to the fact that this evidence would likely come from Dr. Twardowski and Dr. Bessarabov directly, it is difficult to see that Dr. Twardowski has been prejudiced in his ability to fully present that evidence. In other words, I am not convinced that the unavailability or poor memories of the witnesses mentioned above would have an impact - or more importantly, a negative impact - on Dr. Twardowski's ability to present or perhaps corroborate this type of evidence. Dr. Twardowski has not made any assertions that his and Dr. Bessarabov's presentation materials are no longer available, or that he is unable to locate or obtain Dr. Bessarabov to discuss his presentation. If such was the case, I would have expected him to say so. In fact, the opposite appears to be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Alternatively, Chemetics takes the position that any loss of that evidence can only be laid at the feet of Dr. Twardowski in not securing the evidence in a timely manner. In light of the fact that these issues were raised early in the litigation in June 2006, at the time of the injunction application, there is no doubt that Dr. Twardowski was aware of the need to assemble evidence and documentation in support of his defence. He does not say that he neglected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Thandi v. Ech-Tech Recycling Ltd.</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2006 BCSC 95</w:t>
        </w:r>
      </w:hyperlink>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[2006] B.C.J. No. 116</w:t>
        </w:r>
      </w:hyperlink>
      <w:r>
        <w:rPr>
          <w:rFonts w:ascii="arial" w:eastAsia="arial" w:hAnsi="arial" w:cs="arial"/>
          <w:color w:val="000000"/>
          <w:sz w:val="20"/>
          <w:lang w:val="en-US" w:eastAsia="en-US" w:bidi="ar-SA"/>
        </w:rPr>
        <w:t>, the court addressed arguments from the defendants regarding certain truck drivers who were said to be key witnesses. Some of the drivers could not be located and others had no recollection of the facts. In that case, the defendants had been alerted that the plaintiff was seeking evidence from the truck drivers early in the case. Justice Kelleher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In my view, the prejudice suffered by the defendants is a result of their own failure to investigate the plaintiffs' claim when they learned of it rather than the ensuing delay by the plaintiffs in prosecuting their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Therefore the prejudice was caused by the defendants' own conduct. It was not occasioned by the plaintiffs' delay. The defendants knew in 1999 what information they needed to obtain from persons who hauled waste on their behalf. They knew the recollections of these persons would become less clear with the passage of time. Yet the defendants chose not to contact these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this case, Dr. Twardowski has not addressed why he did not take steps in 2006 to secure evidence from people whom he considers to be essential to his defence. He was clearly aware of the allegations made from June 2006 when this action began and his defence was in place from October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Chemetics raises a further aspect of what they say is lack of prejudice arising from certain other litigation between the parties. On October 27, 2009, Dr. Twardowski commenced an action against Chemetics in Small Claims Court seeking recovery of approximately $25,000 for his share in certain patent profits. On November 23, 2009, this claim was defended by Chemetics. In particular, Chemetics claimed a set-off in respect of loss and damage allegedly suffered by reason of the allegations made in this Supreme Court action. Later still, on February 2, 2010, Dr. Twardowski commenced a further Small Claims Court action against Chemetics seeking recovery of $25,000, plus costs, relating to salary alleged to be owing under the Employment Agreement. The notice of claim is a lengthy document and specifically responds to anticipated defences which, for the most part, are the allegations made by Chemetics in this litigation. As anticipated, on February 18, 2010, Chemetics filed a reply citing again those same allegations and, in particular, that Dr. Twardowski was dismissed for cause in light of the alleged disclosures. I am advised by counsel for Chemetics that an application has been made in Small Claims Court to have the matters referred to the Supreme Court and the decision has been reserved.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It appears that Dr. Twardowski himself considers that he is in a position to advance his claims in the Small Claims Court actions and meet the anticipated defences of Chemetics, presumably through both his evidence and that of his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all of the circumstances, I am convinced that Chemetics has established on the balance of probabilities that Dr. Twardowski has not suffered serious prejudice. To put it differently, I am satisfied that it is still possible to have a fair trial of this matter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What does justice demand?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If I am wrong in my conclusion relating to serious prejudice, in that Dr. Twardowski has met all three aspects of the test, the authorities are clear that it remains open to the court to consider whether in all of the circumstances, justice still requires that the action be dismissed. As Justice Seaton stated in </w:t>
      </w:r>
      <w:r>
        <w:rPr>
          <w:rFonts w:ascii="arial" w:eastAsia="arial" w:hAnsi="arial" w:cs="arial"/>
          <w:i/>
          <w:color w:val="000000"/>
          <w:sz w:val="20"/>
          <w:lang w:val="en-US" w:eastAsia="en-US" w:bidi="ar-SA"/>
        </w:rPr>
        <w:t>Irving</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The demonstration of inordinate delay, inexcusable delay and serious prejudice does not lead necessarily to dismissal. Those three factors are only the primary considerations; all of the circumstances must be considered. It is still for the courts to decide "whether or not on balance justice demands that the action should be dismissed". Salmon L.J. in </w:t>
      </w:r>
      <w:r>
        <w:rPr>
          <w:rFonts w:ascii="arial" w:eastAsia="arial" w:hAnsi="arial" w:cs="arial"/>
          <w:i/>
          <w:color w:val="000000"/>
          <w:sz w:val="20"/>
          <w:lang w:val="en-US" w:eastAsia="en-US" w:bidi="ar-SA"/>
        </w:rPr>
        <w:t>Allen v. Sir Alfred McAlpine &amp; Sons Ltd</w:t>
      </w:r>
      <w:r>
        <w:rPr>
          <w:rFonts w:ascii="arial" w:eastAsia="arial" w:hAnsi="arial" w:cs="arial"/>
          <w:color w:val="000000"/>
          <w:sz w:val="20"/>
          <w:lang w:val="en-US" w:eastAsia="en-US" w:bidi="ar-SA"/>
        </w:rPr>
        <w:t xml:space="preserve">. [1968] 2 Q.B. 229). All of the statements of law are subject to the overriding principle that essential justice must be done. (See Freedman J.A., as he then was, in </w:t>
      </w:r>
      <w:r>
        <w:rPr>
          <w:rFonts w:ascii="arial" w:eastAsia="arial" w:hAnsi="arial" w:cs="arial"/>
          <w:i/>
          <w:color w:val="000000"/>
          <w:sz w:val="20"/>
          <w:lang w:val="en-US" w:eastAsia="en-US" w:bidi="ar-SA"/>
        </w:rPr>
        <w:t>Ross and Ross v. Crown Fuel Co. Ltd. et al</w:t>
      </w:r>
      <w:r>
        <w:rPr>
          <w:rFonts w:ascii="arial" w:eastAsia="arial" w:hAnsi="arial" w:cs="arial"/>
          <w:color w:val="000000"/>
          <w:sz w:val="20"/>
          <w:lang w:val="en-US" w:eastAsia="en-US" w:bidi="ar-SA"/>
        </w:rPr>
        <w:t xml:space="preserve"> (1962) 41 W.W.R. 65 at 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Further,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(now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Rule 1-3(1)) confirm that the object of the rules is to secure a just, speedy and inexpensive determination of every proceeding on its merits. Our Court of Appeal has stated clearly that an order dismissing an action on this basis is a "draconian order" and should not be made lightly: </w:t>
      </w:r>
      <w:r>
        <w:rPr>
          <w:rFonts w:ascii="arial" w:eastAsia="arial" w:hAnsi="arial" w:cs="arial"/>
          <w:i/>
          <w:color w:val="000000"/>
          <w:sz w:val="20"/>
          <w:lang w:val="en-US" w:eastAsia="en-US" w:bidi="ar-SA"/>
        </w:rPr>
        <w:t>Irving</w:t>
      </w:r>
      <w:r>
        <w:rPr>
          <w:rFonts w:ascii="arial" w:eastAsia="arial" w:hAnsi="arial" w:cs="arial"/>
          <w:color w:val="000000"/>
          <w:sz w:val="20"/>
          <w:lang w:val="en-US" w:eastAsia="en-US" w:bidi="ar-SA"/>
        </w:rPr>
        <w:t xml:space="preserve"> at para. 8; </w:t>
      </w:r>
      <w:r>
        <w:rPr>
          <w:rFonts w:ascii="arial" w:eastAsia="arial" w:hAnsi="arial" w:cs="arial"/>
          <w:i/>
          <w:color w:val="000000"/>
          <w:sz w:val="20"/>
          <w:lang w:val="en-US" w:eastAsia="en-US" w:bidi="ar-SA"/>
        </w:rPr>
        <w:t>Tundra Helicopters</w:t>
      </w:r>
      <w:r>
        <w:rPr>
          <w:rFonts w:ascii="arial" w:eastAsia="arial" w:hAnsi="arial" w:cs="arial"/>
          <w:color w:val="000000"/>
          <w:sz w:val="20"/>
          <w:lang w:val="en-US" w:eastAsia="en-US" w:bidi="ar-SA"/>
        </w:rPr>
        <w:t xml:space="preserve"> at para.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PCM Builders</w:t>
      </w:r>
      <w:r>
        <w:rPr>
          <w:rFonts w:ascii="arial" w:eastAsia="arial" w:hAnsi="arial" w:cs="arial"/>
          <w:color w:val="000000"/>
          <w:sz w:val="20"/>
          <w:lang w:val="en-US" w:eastAsia="en-US" w:bidi="ar-SA"/>
        </w:rPr>
        <w:t>, the Court of Appeal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Rule 2(7) raises the possibility of dismissal of an action other than on its merits. Therefore, it should be applied with considerable caution. Lengthy delay by a plaintiff in bringing a claim to trial must be carefully considered in the context of evidence presented by both sides as to actual prejudice to the defendant in presenting its case at trial. Any prejudice will only be material to the extent that it was caused by the plaintiff's inordinate delay, not by other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Chemetics raises the final issue that even if this action were to be dismissed, the limitation period has not expired and they would therefore be in a position to simply commence a new lawsuit and reapply for an interim injunction. Such a circumstance was considered in </w:t>
      </w:r>
      <w:r>
        <w:rPr>
          <w:rFonts w:ascii="arial" w:eastAsia="arial" w:hAnsi="arial" w:cs="arial"/>
          <w:i/>
          <w:color w:val="000000"/>
          <w:sz w:val="20"/>
          <w:lang w:val="en-US" w:eastAsia="en-US" w:bidi="ar-SA"/>
        </w:rPr>
        <w:t>Fowler v. Ihlen</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[1999] B.C.J. No. 11</w:t>
        </w:r>
      </w:hyperlink>
      <w:r>
        <w:rPr>
          <w:rFonts w:ascii="arial" w:eastAsia="arial" w:hAnsi="arial" w:cs="arial"/>
          <w:color w:val="000000"/>
          <w:sz w:val="20"/>
          <w:lang w:val="en-US" w:eastAsia="en-US" w:bidi="ar-SA"/>
        </w:rPr>
        <w:t xml:space="preserve"> (S.C.), even after the court found that there had been inordinate and inexcusable delay and "some" prejudice. Dr. Twardowski does not dispute that such a circumstance may occur. I have considered this factor not as determinative of the entire issue, but rather as one of the factors to be considered: </w:t>
      </w:r>
      <w:r>
        <w:rPr>
          <w:rFonts w:ascii="arial" w:eastAsia="arial" w:hAnsi="arial" w:cs="arial"/>
          <w:i/>
          <w:color w:val="000000"/>
          <w:sz w:val="20"/>
          <w:lang w:val="en-US" w:eastAsia="en-US" w:bidi="ar-SA"/>
        </w:rPr>
        <w:t>Rhyolite</w:t>
      </w:r>
      <w:r>
        <w:rPr>
          <w:rFonts w:ascii="arial" w:eastAsia="arial" w:hAnsi="arial" w:cs="arial"/>
          <w:color w:val="000000"/>
          <w:sz w:val="20"/>
          <w:lang w:val="en-US" w:eastAsia="en-US" w:bidi="ar-SA"/>
        </w:rPr>
        <w:t xml:space="preserve"> at paras. 9, 10, and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After considering the matter, I am not convinced that the interests of justice demand that this action be dismissed. While the delay to this point in time is regrettable, I am of the view that Dr. Twardowski can still be afforded a fair trial where he can present his evidence in defence of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Twardowski's objection concerning the delay in bringing this matter forward given the interim injunction is a valid concern. He gave evidence on this application that Chemetics and Hyflux had entered into certain agreements subsequent to the injunction being granted. These agreements do not appear to have been listed by Chemetics on its list of documents. Dr. Twardowski takes the position that this new relationship bears directly on the damage claim and more importantly on the need for the injunction, which he says was obtained based on his employment with Hyflux.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Nevertheless, I agree with counsel for Chemetics that if that concern is real, Dr. Twardowski has the option of firstly, applying for proper disclosure of any documents and examining representatives of Chemetics and secondly, perhaps applying to the court for an order dissolving the injunction. Any such application would of course be based on proper evidence and the law applicable to that application, including a consideration of the delay in prosecuting these proceedings. It is not appropriate to use this application to indirectly achieve that result since there are distinct differences in the applicable tests between an application to set aside an injunction and an application to dismiss for want of prosecution: </w:t>
      </w:r>
      <w:r>
        <w:rPr>
          <w:rFonts w:ascii="arial" w:eastAsia="arial" w:hAnsi="arial" w:cs="arial"/>
          <w:i/>
          <w:color w:val="000000"/>
          <w:sz w:val="20"/>
          <w:lang w:val="en-US" w:eastAsia="en-US" w:bidi="ar-SA"/>
        </w:rPr>
        <w:t>Ciba-Geigy Ltd. v. Novopharm Ltd.</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[1998] 2 F.C. 527</w:t>
        </w:r>
      </w:hyperlink>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[1997] F.C.J. No. 1836</w:t>
        </w:r>
      </w:hyperlink>
      <w:r>
        <w:rPr>
          <w:rFonts w:ascii="arial" w:eastAsia="arial" w:hAnsi="arial" w:cs="arial"/>
          <w:color w:val="000000"/>
          <w:sz w:val="20"/>
          <w:lang w:val="en-US" w:eastAsia="en-US" w:bidi="ar-SA"/>
        </w:rPr>
        <w:t xml:space="preserve"> (Trial Div.), at paras. 17 and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the result, the application is dismissed with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addition, I am directing that Chemetics schedule a case planning conference pursuant to Rule 5-1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as soon as possible, subject to the availability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 FITZPATRICK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1"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0"/>
          <w:headerReference w:type="default" r:id="rId111"/>
          <w:footerReference w:type="even" r:id="rId112"/>
          <w:footerReference w:type="default" r:id="rId113"/>
          <w:headerReference w:type="first" r:id="rId114"/>
          <w:footerReference w:type="first" r:id="rId11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6" w:history="1">
        <w:r>
          <w:rPr>
            <w:rFonts w:ascii="arial" w:eastAsia="arial" w:hAnsi="arial" w:cs="arial"/>
            <w:b/>
            <w:bCs/>
            <w:i/>
            <w:color w:val="0077CC"/>
            <w:kern w:val="32"/>
            <w:sz w:val="28"/>
            <w:szCs w:val="32"/>
            <w:u w:val="single"/>
            <w:shd w:val="clear" w:color="auto" w:fill="FFFFFF"/>
            <w:lang w:val="en-US" w:eastAsia="en-US" w:bidi="ar-SA"/>
          </w:rPr>
          <w:t>Alibhai v. Royal Bank of Canada, [2004] B.C.J. No. 2165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Allan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4, 5 and 6,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21,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S021663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2165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1360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134 A.C.W.S. (3d) 435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Malek Alibhai, plaintiff, and Royal Bank of Canada and Kathie Munsie,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2"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 w:name="Keywords_2"/>
      <w:bookmarkEnd w:id="21"/>
      <w:r>
        <w:rPr>
          <w:rFonts w:ascii="arial" w:eastAsia="arial" w:hAnsi="arial" w:cs="arial"/>
          <w:b/>
          <w:color w:val="000000"/>
          <w:sz w:val="20"/>
          <w:lang w:val="en-US" w:eastAsia="en-US" w:bidi="ar-SA"/>
        </w:rPr>
        <w:t>Master and servant — Dismissal without cause — Notice of dismissal — What constitutes reasonable notice — Torts — Interference with economic relations — Master and servant.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 w:name="Case Summary_2"/>
            <w:bookmarkEnd w:id="2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58-year-old plaintiff employee against the defendant Bank for damages for wrongful dismissal, tortuous interference with contractual relations and wilful infliction of mental suffering. The employee worked for the Bank for 17 years. When she was terminated, she was an assistant team leader, supervising seven to eight employees. In 2001, the defendant manager wrote to the employee that her position was being eliminated due to an ongoing centralization of the Bank's operations and a downsizing of her department. The employee actively participated in the Bank's job line relocation program but refused to take another position that was a demotion. She accepted a lump sum severance package of $23,130; the equivalent of eight months' salary. The Bank paid for courses the employee took to augment her workplace skills. The employee, who was born in East Africa, claimed the Bank had improper regard to her ethnicity and her manner of speaking. She alleged the manager deliberately reduced her scores on an annual performance review to make it appear she was less qualified and capable than she was. The manager deposed that she honestly believed the employee lacked the necessary skills to be an effective supervisor. She denied being critical of the employee's race or quality of her accent.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 w:name="Holdings of Court_2"/>
            <w:bookmarkEnd w:id="23"/>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case was suitable for summary disposition as even if all the conflicts in the evidence were resolved in the employee's favour, her causes of action on the tortuous claims could not succeed. The manager's assertion that the employee was unsuited for work as a supervisor was insufficient to ground a claim of intentionally interfering with contractual relations. The employee had not established that the Bank's conduct was flagrant and extreme and calculated to produce harm. There was no evidence to support the employee's claims of discrimination. There was no basis to the employee's tortuous claims. The notice period, equivalent to 16 months, given to the employee was appropriate.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 w:name="Legislation Cited_2"/>
      <w:bookmarkEnd w:id="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3"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 18A(11).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1982.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 w:name="Counsel_2"/>
      <w:bookmarkEnd w:id="2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4"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Barbara Findlay,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Gavin Marshall,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 w:name="Judgment_2"/>
      <w:bookmarkEnd w:id="26"/>
      <w:r>
        <w:pict>
          <v:line id="_x0000_s1045" style="position:absolute;z-index:2518149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 w:name="ALLAN J."/>
            <w:bookmarkEnd w:id="27"/>
            <w:r>
              <w:rPr>
                <w:rFonts w:ascii="arial" w:eastAsia="arial" w:hAnsi="arial" w:cs="arial"/>
                <w:b/>
                <w:color w:val="000000"/>
                <w:sz w:val="30"/>
                <w:lang w:val="en-US" w:eastAsia="en-US" w:bidi="ar-SA"/>
              </w:rPr>
              <w:t>ALLAN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Ms. Alibhai, the plaintiff, seeks damages for wrongful dismissal, tortious interference with contractual relations and willful infliction of mental suffering. She has withdrawn a claim for damages for interference with economic interests by unlawful means. She seeks to have the outstanding issues resolved by way of a summary trial pursuant to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following facts are not disputed:</w:t>
      </w:r>
      <w:r>
        <w:rPr>
          <w:rFonts w:ascii="arial" w:eastAsia="arial" w:hAnsi="arial" w:cs="arial"/>
          <w:sz w:val="20"/>
          <w:lang w:val="en-US" w:eastAsia="en-US" w:bidi="ar-SA"/>
        </w:rPr>
        <w:cr/>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Alibhai was an employee of the defendant Royal Bank of Canada (the "Bank") for more than 17 years. When she was terminated, she was an Assistant Team Leader in the Customer Service Group ("CSG"), which is one of three departments of the Operations Service Centre ("OSC"). The purpose of the OSC is to centralize many of the standard retail banking functions previously performed in the branches and make them more efficient.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Alibhai's job was to supervise seven or eight employees in two work groups, the "green team" and the "red team". Her annual salary, from April 2000, was $33,500. Employees are ranked in eight compensation bands or "CBs" from 02 to 72. The plaintiff was ranked a "CB22" on the Bank's job classification scale.</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Commencing in August or September 2000, Ms. Alibhai reported to the co-Managers of the CSG, Anna Ripoli and the defendant Kathie Munsie. In January 2001, Ms. Ripoli became ill and took a leave of absence and Ms. Munsie, whose position was a CB42, supervised the CSG employees. Ms. Munsie reported to Dan Richardson, the Manager of the OSC.</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letter dated February 23, 2001, Ms. Munsie, advised Ms. Alibhai that her position would be eliminated effective July 29, 2001, due to an ongoing centralization of the Bank's operations and a downsizing of the CSG. Ms. Munsie further advised that the Bank would assist her in finding a comparable position with the Bank. However, she added: "If these efforts have not been successful by June 1st we will discuss further options which could result in termination of employment based on redundancy."</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actively participated in the Bank's "Job Line" relocation program. Her participation was extended from 90 days to the end of July 2001 in order to maximize her opportunity to find a position. During that time, she received coaching and "job shadowing" opportunities to update her branch experience. On July 31, 2001, Ms. Alibhai accepted a lump sum severance package amount of $23,130 (the equivalent of about eight months' salary). The Bank also paid for courses that she took at Capilano College to augment her workplace skills. She received her full salary and benefits until October 31, 2001 to allow her pension to vest and then received her severance package.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Alibhai asserts that the defendants did not decide to eliminate her position objectively; instead, they had "improper regard to her ethnicity and/or race and her manner of speaking". Ms. Alibhai, who was born in East Africa, is of Indian descent. She deposes that English is her second language, that she speaks with an accent, and that her skin is dark. She further alleges that Ms. Munsie deliberately and arbitrarily reduced her scores on an annual performance review to make it appear that she was less qualified and capable than she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Alibhai also asserts that, although she worked hard within the Bank to identify and apply for jobs at the same compensation level as her previous job, Ms. Munsie interfered with her job search by improperly describing her to prospective managers as unsuitable for work as a supervisor.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Alibhai complains that although her teams did well and she was very well-liked and respected by the people on her teams, she was treated poorly by her supervisors and co-workers. She says that she was the only person of colour among the assistant team leaders, team leaders, and management of the CSG. In her affidavit, she makes the following complaints:</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never part of the informal networks at the CSG and she was not invited to go shopping or for coffee with the others.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People said hurtful things to her. As an example, she recalled that on one occasion, after a meeting, Ms. Ripoli embarrassed her in front of other staff by asking in a condescending way, "Malek, did you understand what was said?" The plaintiff says "the words themselves could have been benign but they were said in a way which made me know that she was making the remark pointedly because I was 'different', a foreigner."</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she volunteered to organize the staff Christmas lunch, Ms. Munsie re-assigned that task at the next staff meeting as if she wasn't there or couldn't be trusted to undertake the job.</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volunteered to take an unpopular shift, which was to be rotated, but then Ms. Munsie decided there would be no rotation.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developed and suggested an idea for tracking productivity of her team's members. Ms. Munsie ignored her idea but then praised another team leader who later came up with a similar idea.</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Alibhai had never been advised of any deficiencies in her work. However, in 2000, Ms. Munsie arbitrarily reduced her Annual Evaluation Score by 15 points and increased another team leader's score by 15 points. Although Ms. Munsie had the authority to make those changes, "she had absolutely no basis for making the alteration."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Ms. Munsie told her that she would be laid off, she asked Ms. Munsie, "Why are you doing this?" Ms. Alibhai deposes that Ms. Munsie made the following reply: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She said, in a sarcastic tone of voice, "It is your language". I was stunned. No one at the OSC had ever complained to me about my language at work (though sometimes people have thought my speaking manner was abrupt). By her tone, and by my experience with other Caucasian people in Canada who make comments about my "language", I understood her remark to be a remark directed at my race, or the fact that she sees me as "different".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Alibhai deposes that she was "deeply shocked and humiliated" and "completely distraught" as a result. She wept uncontrollably and had difficulty eating and sleeping for some weeks. She saw a counsellor who told her she did not need a counsellor, that she needed a lawyer because she had been discriminated against.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Alibhai says that Ms. Munsie offered her a job as an investigator at the CB12 level but she declined it as she considered it to be a demotion that would have been humiliating to accept.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says she was further humiliated and shocked when Ms. Munsie advised the CSG staff that she had "volunteered" to step down as Team Leader. She was "extremely humiliated" when Ms. Munsie asked her to move out of her office during the Job Line process because she did not understand that to be the usual practice.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Alibhai says that Dan Richardson, the Manager at the OSC, offered her a job at the CB12 level and told her that if she did not want it she could resign after the 90 day period. She says that he was not interested in listening to her.</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early March, Ms. Alibhai started work at the Audit Centre on the understanding that she would be assisting a CB22 with a special project. After 4 weeks, she discovered that she was working on a project for a CB12 and telephoned the employee help line. She was told that she should cease work because if she worked there for more than 90 days, she would be deemed to have accepted the job at a CB12 level.</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Alibhai says that although Ms. Munsie would not let her apply for a CB22, she applied for jobs at that level. Four managers interviewed her for a CB22 or CB32 position. She deposes that she was assured of each job until the managers spoke to Ms. Munsie. She confronted Ms. Munsie who told her that she did not have good "people skills" and angrily said she would not support her for anything over a CB12 position.</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April 2001, Ms. Munsie placed someone else from the CSG into place as a team leader without posting the job on the Bank's Job Line, contrary to Bank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Not surprisingly, the Bank's employees refute the plaintiff's allegations. Ms. Munsie deposes that she told the plaintiff she would support her efforts to seek an alternate position within the Bank, including a CB22 role, at the same salary level, but not in a "people leader" or supervisory position. Ms. Munsie says she honestly believed that Ms. Alibhai lacked the necessary skills to be an effective supervisor. She considered the plaintiff to be the weakest of the team leaders. She denies using the phrase "it is your language" and says that if she used the word "language" at all, she used it in the context of a discussion about Ms. Alibhai's management style and her manner of dealing with other employees, and not her speech in English. Ms. Munsie deposes that the plaintiff's accent was never a consideration, although her "tone" was. Finally, Ms. Munsie says that only one prospective employer contacted her during the plaintiff's Job Line search and that she emphasized the positive aspects of Ms. Alibhai's skill set to that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is the defendants' position that, when contacted for a reference, Ms. Munsie was positive and professional about Ms. Alibi's skills and said she would recommend her for any position up to a CB22 position, but not a position involving "people leader" functions.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Munsie deposes that she was critical of the plaintiff's skills as a manager, but not of her race or the quality of her accent.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Ripoli, who is now the Operations Risk Advisor for the OSC, deposes that in the fall of 1999 and winter of 2000, she formed the opinion that the plaintiff was not developing successfully as an Assistant Team Leader. Ms. Ripoli agrees that she had asked Ms. Alibhai if she "understood" something that had been conveyed in a meeting. She deposes that the discussion took place after the meeting and referred to a previous meeting the two women had had concerning a management skill called "Listening Understanding and Responding" that the Bank seeks to cultivate in supervisory staff to focus on effective communication.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Richardson says that they had a lengthy discussion in which he told Ms. Alibhai that he and Ms. Munsie would support her in a CB12 or CB22 non-people leader role at her current salary. Instead, Ms. Alibhai applied for several CB22 people leader positions through the Bank's Job Line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Sadhra, a member of the Bank's Human Resources Advisory Group, provided the plaintiff with job research assistance. He arranged "a job shadow" experience at a local branch to update her experience with the type of work done in the branches. He extended her working notice until the end of July 2001 to give her more time to look for work on the Job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Rodrigues, Mr. Shwartz, Ms. Ho, and Mr. Austin separately interviewed the plaintiff for four positions posted on the Job Line. Each of them has deposed that they did not consider her an optimal candidate for the position in question. Only Mr. Austin recalled contacting Ms. Munsie and he stated that Ms. Munsie had only positive things to say about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say that prior to her termination, Ms. Alibhai never raised any of the issues of which she now complains.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impugned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Findlay, counsel for Ms. Alibhai, seeks to strike large portions of the defendants' affidavits on the basis the proposed evidence is inadmissible as hearsay, opinion evidence, or argument. That application was initially brought before Madam Justice Boyd. Boyd J. dismissed the plaintiff's motion on the basis that to strike out or limit the use of the impugned evidence would unduly tie the hands of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is important to keep in mind that not every out-of-court statement is hearsay. If the statement is tendered for the truth of its contents, it is hearsay. However, the fact that a statement was made may have probative value apart from its truth. For example, the fact of making the statement may be relevant in considering the mental state or subsequent conduct of the witness or another person in whose presence the statement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this case, the defendants deny the plaintiff's assertion that they acted in bad faith or out of racial motives. Hence, much of the impugned evidence addresses the issue of whether or not the defendants acted in good faith when they terminated Ms. Alibhai and dealt with her in her efforts to find alternative employment with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objections to the defendants' affidavits comprise some nine pages. I do not propose to deal with them separately. I find most, but not all, of the objections to be without merit. With respect to internal discussions between the Bank's employees concerning Ms. Alibhai's performance and potential for future employment, many of the impugned statements go to the deponent's state of mind. For example, Mr. Sadhra deposes that Ms. Munsie and Mr. Richardson told him that Ms. Alibhai did not have the skills and attributes to be a "people manager" at the CB22 level, but had other skills that would make her valuable in other positions at the Bank. Clearly, that information was relevant to establishing the state of mind of Mr. Sadhra who was charged with the duty of counselling Ms. Alibhai and helping her re-deploy within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some instances, statements are admissible for more than one purpose. Mr. Richardson deposes that "After 2000, the Scorecard system was abandoned because the managers in the service centres (including myself) felt that, even with the 15% discretion, the system did not accurately capture employee performance." That statement is admissible as evidence of the truth of what he believed and as to his state of mind with respect to how he believed other managers viewed the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"opinion" evidence is also admissible as going to the deponent's state of mind and what actions he or she took as a result. For example, Ms. Munsie deposes that "Malek was perceived by others as being stubborn and opinionated and she got people's back up a bit. She knew this. She and I discussed how she came across to others. She felt comfortable approaching me regarding this topic, because we had a good working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There are, however, certain statements that are inadmissible as hearsay or double hearsay. For example, Ms. Munsie deposes that: "Before Malek left the CSG to do her job shadow at the ORS, she had a discussion with Dan Richardson about the decision that had been made concerning her position, and the conclusion we had arrived at concerning her leadership skills." Another example of clearly inadmissible evidence is Ms. Munsie's statement that "I believe that Wendy Youzwyshyn, the Vice-President of the Royal Bank, asked Mr. Sadhra to participate, when she received a letter from Malek with allegations that Dan Richardson and I had the ulterior (racist) motives in eliminating her position, and expressing the views we did about Malek's leadership skills."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this matter suitable for disposition by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Rule 18A(11) provides that judgment may be granted generally or on an issue unless the Court is unable to find the necessary facts to decide the issues of fact or law or it would be unjust to decide the issues summarily. There are additional factors to consider in this case. Even if the plaintiff were successful, the amount involved is not large. The fact that the parties have already spent one day in chambers on the plaintiff's motion to strike out portions of the defendants' affidavits, and three days on the plaintiff's application for summary trial, makes it probable that, if this matter were sent to the conventional trial list, the litigation costs would be exorbitant in relation to any possible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My initial reaction was that this matter was not suitable for summary disposition because the necessary facts could not be found. There are numerous disputes with respect to what the Bank's representatives are alleged to have said to Ms. Alibhai and their motives, or lack of motives, behind their statements and actions. However, Mr. Marshall submits that, even if the plaintiff's version of events is accepted, she cannot succeed. There is no dispute that the Bank terminated her employment without cause; the only issue in that regard is the appropriate length of notice. Mr. Marshall argues that the plaintiff's evidence cannot support her tortious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There is no doubt that, in some circumstances, the Court can decide issues on a summary trial where the facts are contested. In Haight-Smith v. Neden </w:t>
      </w:r>
      <w:hyperlink r:id="rId117" w:history="1">
        <w:r>
          <w:rPr>
            <w:rFonts w:ascii="arial" w:eastAsia="arial" w:hAnsi="arial" w:cs="arial"/>
            <w:i/>
            <w:color w:val="0077CC"/>
            <w:sz w:val="20"/>
            <w:u w:val="single"/>
            <w:shd w:val="clear" w:color="auto" w:fill="FFFFFF"/>
            <w:lang w:val="en-US" w:eastAsia="en-US" w:bidi="ar-SA"/>
          </w:rPr>
          <w:t>(2002), 211 D.L.R. (4th) 370</w:t>
        </w:r>
      </w:hyperlink>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2002 BCCA 132</w:t>
        </w:r>
      </w:hyperlink>
      <w:r>
        <w:rPr>
          <w:rFonts w:ascii="arial" w:eastAsia="arial" w:hAnsi="arial" w:cs="arial"/>
          <w:color w:val="000000"/>
          <w:sz w:val="20"/>
          <w:lang w:val="en-US" w:eastAsia="en-US" w:bidi="ar-SA"/>
        </w:rPr>
        <w:t xml:space="preserve">, the Court of Appeal upheld the decision of the trial judge who had dismissed the plaintiff's claims for defamation,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malice on a summary trial. The trial judge found that any potentially defamatory statements made by respondents who were not covered by a collective agreement were protected by qualified privilege. The Court of Appeal held, at para. 58, that "The trial judge found, on the evidence before him, that there was no malice on the part of the three respondents. His finding is not only reasonable, it is the only possible finding he could make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conclude that this case is suitable for resolution under Rule 18A. In my opinion, even if all of the conflicts in evidence were resolved in the plaintiff's favour, her causes of action on the tortious claims cannot succeed. Accordingly, I conclude this case is suitable for resolution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claim for intentional interference with contractual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Findlay submits that Ms. Munsie wrongfully interfered with the plaintiff's contractual rights to participate in the Job Line program of the Bank. She argues that Ms. Munsie wrongfully and discriminatorily gave prospective employers misinformation based on stereotypes about Ms. Alibhai's ability to perform supervision duties. The plaintiff pleads that, as a result, it was impossible for her to take advantage of the contractual term that permitted her to take up a position equivalent to the one she was leaving upon demonstrating her competence to perform the duties. Alternatively, it was impossible for her to fulfil her duty to mitigate her damages after the Bank breached her contract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argument, Ms. Findlay conceded that the Bank's practices regarding the deployment of redundant employees did not constitute contractual terms of the plaintiff's employment. Instead, she submitted, the Bank's Job Line policy created a "reasonable expectation" on Ms. Alibhai's part that she would obtain another suitable job with the Bank. In my opinion, it is important to keep in mind that the Job Line program provided an opportunity for, and not a promise of, alternate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defendants say that Ms. Munsie acted at all times within the scope of her authority, in good faith, and honestly expressed her views with respect to Ms. Alibhai's abilities as a "people leader". She considered it her duty to the Bank to give an honest assessment of those under her supervision. The defendants assert that Ms. Munsie is entitled to the protection of the rule in Said v. Butt, [1920] 3 K.B. 497: an action for inducing breach of contract cannot be maintained against an employee acting bona fide within the scope of his or her authority. That employee is the agent or alter ego of the employer. (cf. also Digital.Doc Services (Canada) Inc. v. Future Shop Ltd., </w:t>
      </w:r>
      <w:hyperlink r:id="rId118" w:history="1">
        <w:r>
          <w:rPr>
            <w:rFonts w:ascii="arial" w:eastAsia="arial" w:hAnsi="arial" w:cs="arial"/>
            <w:i/>
            <w:color w:val="0077CC"/>
            <w:sz w:val="20"/>
            <w:u w:val="single"/>
            <w:shd w:val="clear" w:color="auto" w:fill="FFFFFF"/>
            <w:lang w:val="en-US" w:eastAsia="en-US" w:bidi="ar-SA"/>
          </w:rPr>
          <w:t>[1997] B.C.J. No. 1689</w:t>
        </w:r>
      </w:hyperlink>
      <w:r>
        <w:rPr>
          <w:rFonts w:ascii="arial" w:eastAsia="arial" w:hAnsi="arial" w:cs="arial"/>
          <w:color w:val="000000"/>
          <w:sz w:val="20"/>
          <w:lang w:val="en-US" w:eastAsia="en-US" w:bidi="ar-SA"/>
        </w:rPr>
        <w:t xml:space="preserve"> (S.C.)). In response, the plaintiff says that Ms. Munsie lost that protection because her discrimination and prejudice, which could not be in the best interests of her employer, took her outside the scope of her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my opinion, Ms. Munsie's assertion to potential employers that Ms. Alibhai was unsuited for work as a supervisor is insufficient to ground a claim of intentionally interfering with contractual relations. First, Ms. Alibhai had received notice of termination; there was no contractual term guaranteeing her any other job. Second, Ms. Munsie's honest opinion, right or wrong, was that Ms. Alibhai was not a "people leader". That is clear from her statements to the plaintiff and other employees of the Bank, as well as any potential employers. She had a duty to provide an honest assessment of those under her supervision. She recommended Ms. Alibhai for both CB12 and CB22 non-people leader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Further, I agree with Mr. Marshall that even if Ms. Munsie had been critical of Ms. Alibhai, the provision of a candid reference would give rise to a qualified privilege, unless the plaintiff could establish malice. Qualified privilege arises when a person has an interest or duty - legal, social or moral - to make a statement to a person who has a corresponding duty to receive it. Ms. Munsie's remarks were relevant to the discussion of Ms. Alibhai's suitability for certain positions and the plaintiff simply cannot establish any malice that would defeat the resulting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Findlay submits that intention is irrelevant in human rights law and it is proof of the effect which grounds a discrimination complaint. However, human rights law occupies a distinct field that does not, in my view, overlap with the jurisprudence relating to intentional torts. Ms. Findlay further asserts that, with the advent of the Charter, the law should be considered from the perspective of people who have been marginalized in Canadian society. That assertion cannot, however, reverse the onus that remains on the plaintiff to prove intention on the part of someone who is alleged to have willfully interfered with contractual relations or inflicted mental harm. Intent is the essence of those torts and not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claim for damages for willful infliction of mental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particulars of her claim, the plaintiff makes the following allegations:</w:t>
      </w:r>
      <w:r>
        <w:rPr>
          <w:rFonts w:ascii="arial" w:eastAsia="arial" w:hAnsi="arial" w:cs="arial"/>
          <w:sz w:val="20"/>
          <w:lang w:val="en-US" w:eastAsia="en-US" w:bidi="ar-SA"/>
        </w:rPr>
        <w:cr/>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December 2000 and October 2001, Ms. Munsie actively and willfully inflicted mental suffering on her by:</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Casting aspersions upon, and permitting other staff - Ms. Ripoli and Ms. McKay - to cast aspersions on, her abilities in the English language; and</w:t>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Casting aspersions upon, and permitting other staff - Ms. Ripoli and Ms. McKay - to cast aspersions on, her managerial abilities, causing emotional and physical distress that Ms. Munsie knew or should have known would be caused to the plaintiff.</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Bank - Mr. Richardson, Ms. Youzwyshyn, Mr. Loveck, and Mr. Sadhra -acquiesced in the mistreatment of the plaintiff by Ms. Munsie.</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emotional distress included humiliation, anxiety, anger, and fear. Her physical distress included sleep-loss, inability to concentrate, increased heart rate, and shortness of breath.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allegations in those particulars are not well supported in the affidavit evidence of her complaints, which I have summarized above in para.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To recover damages for intentional infliction of mental suffering, the defendant's conduct must be both "flagrant and extreme" and calculated to produce the resulting harm: Rahemtulla v. Vanfed Credit Union </w:t>
      </w:r>
      <w:hyperlink r:id="rId119" w:history="1">
        <w:r>
          <w:rPr>
            <w:rFonts w:ascii="arial" w:eastAsia="arial" w:hAnsi="arial" w:cs="arial"/>
            <w:i/>
            <w:color w:val="0077CC"/>
            <w:sz w:val="20"/>
            <w:u w:val="single"/>
            <w:shd w:val="clear" w:color="auto" w:fill="FFFFFF"/>
            <w:lang w:val="en-US" w:eastAsia="en-US" w:bidi="ar-SA"/>
          </w:rPr>
          <w:t>(1984), 51 B.C.L.R. 200</w:t>
        </w:r>
      </w:hyperlink>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4 C.C.E.L. 170</w:t>
        </w:r>
      </w:hyperlink>
      <w:r>
        <w:rPr>
          <w:rFonts w:ascii="arial" w:eastAsia="arial" w:hAnsi="arial" w:cs="arial"/>
          <w:color w:val="000000"/>
          <w:sz w:val="20"/>
          <w:lang w:val="en-US" w:eastAsia="en-US" w:bidi="ar-SA"/>
        </w:rPr>
        <w:t xml:space="preserve"> (S.C.). In that case, the employer had knowingly or recklessly made a false allegation of theft and purported to terminate the employee for cause. A third element of the tort is the requirement of a "visible and provable illness": McPhillips v. BC Ferry Corp. </w:t>
      </w:r>
      <w:hyperlink r:id="rId120" w:history="1">
        <w:r>
          <w:rPr>
            <w:rFonts w:ascii="arial" w:eastAsia="arial" w:hAnsi="arial" w:cs="arial"/>
            <w:i/>
            <w:color w:val="0077CC"/>
            <w:sz w:val="20"/>
            <w:u w:val="single"/>
            <w:shd w:val="clear" w:color="auto" w:fill="FFFFFF"/>
            <w:lang w:val="en-US" w:eastAsia="en-US" w:bidi="ar-SA"/>
          </w:rPr>
          <w:t>(1995), 15 C.C.E.L. (2d) 189</w:t>
        </w:r>
      </w:hyperlink>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[1995] B.C.J. No. 2261</w:t>
        </w:r>
      </w:hyperlink>
      <w:r>
        <w:rPr>
          <w:rFonts w:ascii="arial" w:eastAsia="arial" w:hAnsi="arial" w:cs="arial"/>
          <w:color w:val="000000"/>
          <w:sz w:val="20"/>
          <w:lang w:val="en-US" w:eastAsia="en-US" w:bidi="ar-SA"/>
        </w:rPr>
        <w:t xml:space="preserve"> (S.C.). None of these three elements have been proved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Unfortunately, Ms. Alibhai genuinely believes that Ms. Munsie and other employees discriminated against her on the basis of stereotypes or prejudice regarding her race and ethnicity. In a multicultural society such as Greater Vancouver today, virtually every institution, including schools, hospitals, banks, etc., hires a contingent of employees who represent a rich diversity of cultural, racial, and ethnic origins. There is little, if any, evidence to support the plaintiff's allegations that the Bank's employees discriminated against her based on her race or ethnic background. In the result, I can find no evidence that would support any of the tortious claims brought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"Wallace"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Wallace v. United Grain Growers, </w:t>
      </w:r>
      <w:hyperlink r:id="rId121" w:history="1">
        <w:r>
          <w:rPr>
            <w:rFonts w:ascii="arial" w:eastAsia="arial" w:hAnsi="arial" w:cs="arial"/>
            <w:i/>
            <w:color w:val="0077CC"/>
            <w:sz w:val="20"/>
            <w:u w:val="single"/>
            <w:shd w:val="clear" w:color="auto" w:fill="FFFFFF"/>
            <w:lang w:val="en-US" w:eastAsia="en-US" w:bidi="ar-SA"/>
          </w:rPr>
          <w:t>[1997] 3 S.C.R. 701</w:t>
        </w:r>
      </w:hyperlink>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152 D.L.R. (4th) 1</w:t>
        </w:r>
      </w:hyperlink>
      <w:r>
        <w:rPr>
          <w:rFonts w:ascii="arial" w:eastAsia="arial" w:hAnsi="arial" w:cs="arial"/>
          <w:color w:val="000000"/>
          <w:sz w:val="20"/>
          <w:lang w:val="en-US" w:eastAsia="en-US" w:bidi="ar-SA"/>
        </w:rPr>
        <w:t>, the Supreme Court of Canada held that bad faith conduct or unfair dealing by an employer in relation to a discharge of an employee could constitute grounds to extend an otherwise appropriate notice period in a wrongful dismissal case. Accordingly, it is no longer necessary for a plaintiff to prove an independently actionable tort in order to receive compensation for intangible injuries such as humiliation, embarrassment, and damage to the employee's self-worth and self-esteem.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Findlay says that Ms. Munsie's statements to prospective employers that she is not a good manager have prevented her from finding work at a similar level and salary. This fact aggravates the physical and emotional damages suffered by Ms. Alibhai.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Ms. Findlay suggests that, if no award is made for the tort claims, the appropriate notice period for the plaintiff should be extended by three months for Wallace damages. She cites Cassady v. Wyeth-Ayerst Canada Inc. </w:t>
      </w:r>
      <w:hyperlink r:id="rId122" w:history="1">
        <w:r>
          <w:rPr>
            <w:rFonts w:ascii="arial" w:eastAsia="arial" w:hAnsi="arial" w:cs="arial"/>
            <w:i/>
            <w:color w:val="0077CC"/>
            <w:sz w:val="20"/>
            <w:u w:val="single"/>
            <w:shd w:val="clear" w:color="auto" w:fill="FFFFFF"/>
            <w:lang w:val="en-US" w:eastAsia="en-US" w:bidi="ar-SA"/>
          </w:rPr>
          <w:t>(1998), 163 D.L.R. (4th) 1</w:t>
        </w:r>
      </w:hyperlink>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54 B.C.L.R. (3d) 68</w:t>
        </w:r>
      </w:hyperlink>
      <w:r>
        <w:rPr>
          <w:rFonts w:ascii="arial" w:eastAsia="arial" w:hAnsi="arial" w:cs="arial"/>
          <w:color w:val="000000"/>
          <w:sz w:val="20"/>
          <w:lang w:val="en-US" w:eastAsia="en-US" w:bidi="ar-SA"/>
        </w:rPr>
        <w:t xml:space="preserve"> (C.A.) and Deildal v. Tod Mountain Development Ltd. </w:t>
      </w:r>
      <w:hyperlink r:id="rId123" w:history="1">
        <w:r>
          <w:rPr>
            <w:rFonts w:ascii="arial" w:eastAsia="arial" w:hAnsi="arial" w:cs="arial"/>
            <w:i/>
            <w:color w:val="0077CC"/>
            <w:sz w:val="20"/>
            <w:u w:val="single"/>
            <w:shd w:val="clear" w:color="auto" w:fill="FFFFFF"/>
            <w:lang w:val="en-US" w:eastAsia="en-US" w:bidi="ar-SA"/>
          </w:rPr>
          <w:t>(1997), 33 B.C.L.R. (3d) 25</w:t>
        </w:r>
      </w:hyperlink>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28 C.C.E.L. (2d) 1</w:t>
        </w:r>
      </w:hyperlink>
      <w:r>
        <w:rPr>
          <w:rFonts w:ascii="arial" w:eastAsia="arial" w:hAnsi="arial" w:cs="arial"/>
          <w:color w:val="000000"/>
          <w:sz w:val="20"/>
          <w:lang w:val="en-US" w:eastAsia="en-US" w:bidi="ar-SA"/>
        </w:rPr>
        <w:t xml:space="preserve"> (C.A.) in support of the proposition that damages for wrongful dismissal may be increased despite the lack of an independent cause of action upon which to found separate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this case, I do not agree that the defendants engaged in any bad faith conduct or unfair dealing that would justify extending the length of notice to which Ms. Alibhai was entitled. To some degree, any employee whose job is terminated may feel humiliated, embarrassed, and bruised. While I do not doubt that Ms. Alibhai experienced those emotions, I cannot find that they were the result of any bad faith or unfair dealings by the Bank or Ms. Munsie, as is required under Wallace,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When the plaintiff was terminated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Findlay submits that the relevant notice period commenced on July 31, 2001. Paragraph 4 of the amended statement of claim alleges that the Bank terminated the plaintiff's employment without cause "on or about October 2001." However, paragraph 6 states that "the Defendant Bank terminated gave [sic] the plaintiff 90 days' notice of termination of her employment on or about February 23,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February 23, 2001, Ms. Munsie wrote to Ms. Alibhai, advising her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Due to the recent restructuring of the Customer Service Group, we will be eliminating your position effective June 29, 2001.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appreciate the dedication and contribution you have provided to us. Over the next three months we will assist you in your search to find a comparable position within the organization and we encourage you to take an active role in this process. If these efforts have not been successful by June 1st we will discuss further options which could result in termination of employment based on redundancy.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Ms. Findlay submits that the letter was not notice of her termination. It was notice of elimination of her position and gave notice that if she did not find another job with the Bank, she may be laid off for redundancy. I agree that the wording of the letter is ambiguous. However, I find that she was constructively dismissed as of March 1, 2001 when there was a fundamental alteration in the terms and conditions of her employment. Both her claim for damages and her duty to mitigate arose on that date. In Ager v. Motorola Canada Ltd., </w:t>
      </w:r>
      <w:hyperlink r:id="rId124" w:history="1">
        <w:r>
          <w:rPr>
            <w:rFonts w:ascii="arial" w:eastAsia="arial" w:hAnsi="arial" w:cs="arial"/>
            <w:i/>
            <w:color w:val="0077CC"/>
            <w:sz w:val="20"/>
            <w:u w:val="single"/>
            <w:shd w:val="clear" w:color="auto" w:fill="FFFFFF"/>
            <w:lang w:val="en-US" w:eastAsia="en-US" w:bidi="ar-SA"/>
          </w:rPr>
          <w:t>[1989] B.C.J. No. 641</w:t>
        </w:r>
      </w:hyperlink>
      <w:r>
        <w:rPr>
          <w:rFonts w:ascii="arial" w:eastAsia="arial" w:hAnsi="arial" w:cs="arial"/>
          <w:color w:val="000000"/>
          <w:sz w:val="20"/>
          <w:lang w:val="en-US" w:eastAsia="en-US" w:bidi="ar-SA"/>
        </w:rPr>
        <w:t xml:space="preserve"> (S.C.), the terms of the plaintiff's employment were altered on July 7, 1987 and he ceased working two months later. Madam Justice Prowse held at p. 13 that he was dismissed as of the earlier date when he had the right to accept the repudiation of his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Accordingly, the appropriate period of notice runs from March 1, 2001, when her position was eliminated and the plaintiff was constructively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appropriate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was not dismissed for cause. As a result of a business decision by the Bank, she was laid off in a downsizing of her department. She received her full salary for eight months and then accepted a severance package, representing a further eight months' pay. Ms. Findlay says the severance package was insufficient given Ms. Alibhai's' age, the character of her employment, her training and experience, her reasonable expectations based on the Bank's representations, and her difficulties in finding alternative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When she received the February 23, 2001 letter, Ms. Alibhai had been employed by the Bank for 17 years and 2 months. She had attained a CB22 level on a compensation scale that spanned CB02 to CB72 bands. She is presently 58 years old and has been able to find employment that she considers suitable.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Findlay submits that the appropriate notice is 20 months from July 31, 2001 and an extra three months - either one and a half months for tortious interference with contractual relations and one and a half months for willful infliction of mental suffering or, alternatively, three months' damages pursuant to the principles in Wallace,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Both counsel relied on numerous cases to support their submissions as to the appropriate length of notice. Clearly, each case must be determined on its own unique facts having regard to the employee's age, salary, length of service, the nature of her position, and any other factors peculiar to the particular situation. In all the circumstances, I find that the notice period, equivalent to 16 months, was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Accordingly, it is not necessary to deal with the defendants' assertions that the plaintiff failed to mitigate her damages or that her claim is barred by the doctrine of accord and satisfaction.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6"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Bell Pole Co. v. Commonwealth Insurance Co., [2000] B.C.J. No. 720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Pitfield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10 - February 9, March 6 - 9 and 13 - 16,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7,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C962334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720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601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 C.C.L.I. (3d) 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95 A.C.W.S. (3d) 1134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Bell Pole Co. Ltd., plaintiff, and Commonwealth Insurance Company, American Home Assurance Company, Gerling Global General Insurance Company, The Sovereign General Insurance Company, Royal Insurance Company of Canada and Aon Reed Stenhouse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(201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[Quicklaw note: First supplementary reasons for judgment were released October 5, 2000. See [2000] B.C.J. No. 1989. Second supplementary reasons on costs were released October 13, 2000. See </w:t>
      </w:r>
      <w:hyperlink r:id="rId132" w:history="1">
        <w:r>
          <w:rPr>
            <w:rFonts w:ascii="arial" w:eastAsia="arial" w:hAnsi="arial" w:cs="arial"/>
            <w:i/>
            <w:color w:val="0077CC"/>
            <w:sz w:val="18"/>
            <w:u w:val="single"/>
            <w:shd w:val="clear" w:color="auto" w:fill="FFFFFF"/>
            <w:lang w:val="en-US" w:eastAsia="en-US" w:bidi="ar-SA"/>
          </w:rPr>
          <w:t>[2000] B.C.J. No. 2047</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7"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 w:name="Keywords_3"/>
      <w:bookmarkEnd w:id="28"/>
      <w:r>
        <w:rPr>
          <w:rFonts w:ascii="arial" w:eastAsia="arial" w:hAnsi="arial" w:cs="arial"/>
          <w:b/>
          <w:color w:val="000000"/>
          <w:sz w:val="20"/>
          <w:lang w:val="en-US" w:eastAsia="en-US" w:bidi="ar-SA"/>
        </w:rPr>
        <w:t>Insurance — Liability policy — Business, comprehensive policy — Extent of coverage — Fire insurance — The risks or perils — The loss — Measure of, replacement cost.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 w:name="Case Summary_3"/>
            <w:bookmarkEnd w:id="2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Bell Pole Company for payment by its insurer, Commonwealth Insurance, and for damages against its insurance agent, Aon Reed Stenhouse, for negligent misrepresentation. Bell owned and operated a thermal treating tank used by it to treat wood poles. The tank was destroyed in a fire. The property had been insured under a policy with the insurer. The defendant insurance agent had obtained the coverage for Bell. The policy insured the replacement cost of the tank and provided additional bylaw coverage for the cost of replacing the property to minimum standards required by law. Bell had stated its bylaw exposure to be $250,000. The replacement cost of the tank was $464,000. Bell did not replace the tank, but built a completely new facility to comply with environmental regulations. It claimed to be entitled to payment of $4.8 million under the policy. Bell claimed that the fire was responsible for the required expenditure, as the government would not have permitted a new thermal treatment tank. The insurer argued that the tank would have had to have been replaced in any event.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 w:name="Holdings of Court_3"/>
            <w:bookmarkEnd w:id="30"/>
            <w:r>
              <w:rPr>
                <w:rFonts w:ascii="arial" w:eastAsia="arial" w:hAnsi="arial" w:cs="arial"/>
                <w:color w:val="000000"/>
                <w:sz w:val="20"/>
                <w:lang w:val="en-US" w:eastAsia="en-US" w:bidi="ar-SA"/>
              </w:rPr>
              <w:t>HELD: Action against the insurer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action against the insurance agent was dismissed. The insurer was ordered to compensate Bell for the replacement cost of the original thermal tank plus an additional amount of $250,000 for its bylaw coverage. It was also ordered to pay an additional amount of $190,000 for extra expenses incurred by Bell during the interruption of its business. Bell wanted bylaw coverage of $250,000 and paid a premium for that amount of coverage. Bell did not act with any fraudulent intent and was not guilty of any misrepresentation that would completely void the policy. It obtained precisely what it had intended to obtain. At the time of the fire, Bell knew that it was going to have to remediate the site and replace the facility in the future. However, Bell had not been formally required to do so at that time and the insurer was liable for the cost of replacing the existing facility.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 w:name="Legislation Cited_3"/>
      <w:bookmarkEnd w:id="3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8"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Alberta Clean Air Act.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Clean Water Act.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Environmental Protection and Enhancement Act, S.A. 1992, c. E-13.3, ss. 58, 64, 64(3), 65(1), 65(2).</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Insurance Act, R.S.B.C. 1996, c. 225, s. 12.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2" w:name="Counsel_3"/>
      <w:bookmarkEnd w:id="3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9" style="position:absolute;z-index:2517647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J.E. Gouge, Q.C., T.S. Woods and J. Christian, for the plaintiff. D.B. Kirkham, Q.C., and G. Tucker, for the defendants, Insurers. B.T. Gibson and Judy Jansen, for the defendants, Aon Reed Stenhouse Inc.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3" w:name="Judgment_3"/>
      <w:bookmarkEnd w:id="33"/>
      <w:r>
        <w:pict>
          <v:line id="_x0000_s1050" style="position:absolute;z-index:25181593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4" w:name="PITFIELD J."/>
            <w:bookmarkEnd w:id="34"/>
            <w:r>
              <w:rPr>
                <w:rFonts w:ascii="arial" w:eastAsia="arial" w:hAnsi="arial" w:cs="arial"/>
                <w:b/>
                <w:color w:val="000000"/>
                <w:sz w:val="30"/>
                <w:lang w:val="en-US" w:eastAsia="en-US" w:bidi="ar-SA"/>
              </w:rPr>
              <w:t>PITFIELD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Early in the morning of May 1, 1995 fire destroyed a full-length treating tank that was an integral part of an industrial plant owned and operated by Bell Pole Co. Ltd. at Carseland, Alberta, a community situated approximately 30 miles south east of downtown Calgary. The plant employed a thermal process to treat wood poles with a diesel-pentachlorophenol ("PCP") preservative 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Bell's head office is located at Lumby, British Columbia. In 1995, its property, situated at several locations, was insured against loss or damage under a subscription policy obtained from the defendant insurers for Bell by the Vancouver office of its insurance agent, Aon Reed Stenhouse Inc. The interest insured by each insurer was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437"/>
        <w:gridCol w:w="732"/>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Commonwealth Insurance Company</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45.0%</w:t>
            </w:r>
          </w:p>
        </w:tc>
        <w:tc>
          <w:tcPr>
            <w:tcW w:w="358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American Home Assurance Company</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36.0%</w:t>
            </w:r>
          </w:p>
        </w:tc>
        <w:tc>
          <w:tcPr>
            <w:tcW w:w="358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Gerling Global General Insurance Company</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7.5%</w:t>
            </w:r>
          </w:p>
        </w:tc>
        <w:tc>
          <w:tcPr>
            <w:tcW w:w="358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Sovereign General Insurance Company</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6.5%</w:t>
            </w:r>
          </w:p>
        </w:tc>
        <w:tc>
          <w:tcPr>
            <w:tcW w:w="358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Royal Insurance Company of Canada</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w:t>
            </w:r>
          </w:p>
        </w:tc>
        <w:tc>
          <w:tcPr>
            <w:tcW w:w="358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policy insured the undepreciated replacement cost of the full-length tank as well as the additional cost of replacing that property to the minimum standard required by any law, by-law, regulation or ordinance. The insurance industry refers to the additional entitlement as "by-law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issue in this action is whether Bell is entitled to indemnity under the by-law coverage provisions of the policy and if so, to what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parties agree that the replacement cost of the tank was $464,525.51. It was not replaced. Bell says replacement was not possible because of environmental regulations and provisions of the building and fire codes applicable in the Province of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Bell claims payment of the sum of $4,853,706.92 under the policy. That amount is the cost of the pressure treating facility constructed so that Bell could continue treating poles with the preservative solution in a manner acceptable to environmental regulators using a facility that satisfied provincial building and fire code requirements. Bell says there is no limit on the amount it can claim under the insurance policy in respect of the loss other than the stipulated single loss limit of $7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insurers claim their obligation to indemnify Bell is restricted to the replacement cost of the tank or $464,525.51. They say Bell made an intentional false description of property in the statement of values provided to the insurers for the 1995 year, by stating that its by-law exposure was $250,000 when it was, in fact, much more. The insurers say that the policy is void in relation to the property to which the intentional false description pertains and they are not obliged to pay any portion of the cost of complying with provincial environmental, building or fire regulations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alternative, the insurers say that if Bell did not make an intentional false description of property, it intended to obtain and pay a premium for by-law coverage to a limit of $250,000 and that is the extent of the coverage provided by the policy. The insurers say, as a result, that Bell is only entitled to recover a maximum of $250,000 in addition to the agreed replacement cost of $464,525.51.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insurers say further that the fire did not cause any loss attributable to the compliance portion of the claim. Bell says that provincial regulators were going to require replacement of the thermal facility upon the expiry of Bell's operating licences on November 1, 1996 by a more environmentally friendly facility whether or not there had been a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Finally, the insurers claim that if the fire was the cause of the additional cost and coverage is not restricted to $250,000, the amount they are obliged to pay under the policy is less than the amount disbursed by Bell. They say the replacement facility was more costly than the minimum required by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sum, this dispute centres around the question whether Bell has any by-law coverage, a $250,000 limit on by-law coverage, or coverage up to a maximum of $4,603,706.92. As between Bell and the insurers, three issues must be resolved. They are the amount of by-law coverage provided by the policy, whether the fire caused the by-law portion of the loss, and if so, to what portion of the cost, over and above the agreed replacement cost, the by-law coverage extends.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disposition of these issues will affect the outcome of Bell's claim for damages against its broker. Bell claims that if its by-law coverage is restricted to the sum of $250,000, it has suffered damage or loss because its broker was negligent, or in breach of its contract, when advising Bell with respect to its insurance needs and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Aon supports Bell's claim for recovery of the full cost of the new facility. Aon says, in the alternative, that if coverage is limited, it performed at the standard required of it and did not breach its contract with Bell. If that is not the case, Aon says in the further alternative that nothing it did caused Bell to obtain any different coverage from that which it wanted in 1995. As a result,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has caused or contributed to any portion of Bell's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Did the Policy provide By-law Coverage to a Maximum of $250,000 or $7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relation to this issue, I find as fact that Bell wanted by-law coverage of $250,000 and intended to obtain and pay a premium for that amount of coverage only. Whether the policy provided that coverage or more is a question of law to which I will turn in due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evidence on which the factual findings are based is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1985, Bell's underwriter was Lumbermen's Underwriting Alliance. The LUA policy specified limits of liability in respect of various classes of property at the various locations in British Columbia and Alberta where Bell carried on its business. No by-law coverage was provided at the commencement of the 1985 policy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mid 1985, Mr. Don Woode, the Aon account manager responsible for the Bell account, and Mr. Cyril Hopkins, who was then Bell's general manager, discussed the need for by-law coverage. Bell acted on Woode's recommendation and obtained by-law coverage to a limit of $50,000 reflected in an endorsement issued by LUA on July 23, 1985.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Ken Stewart commenced employment as Bell's controller in August 1985. He assumed Hopkins' responsibility for the management of Bell's insurance coverage. Stewart first learned of by-law coverage in discussions with Woode in October 1985 when Woode recommended an increase. Stewart's notes of his discussion with Woode record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Bylaw coverage is now in force - to a $50,000.00 limit. Treating and pollution concerns may necessitate our increasing this limit in the future depending on the mood of local regional districts, municipalities,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No one at Bell estimated the extent of its by-law exposure in October 1985. Although Stewart thought Woode was to obtain quotations for additional coverage as a result of their discussions, Woode arranged increased by-law coverage to a limit of $250,000. Woode advised Stewart that by-law coverage to a maximum of $250,000 was all that could be obtained from LUA. He sent Bell an invoice for the additional premium. Stewart consulted other Bell employees about the likely extent of by-law exposure. He concluded that coverage of $250,000 was adequate. The additional premium was paid. An endorsement dated October 22, 1985 reflected the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Coverage continued with LUA until 1988 when Aon recommended that Bell place its coverage with underwriters that were prepared to accept the terms of a policy drafted by Aon for the benefit of its clients. The policy was known as the "Master 10" policy. In his evidence, Woode described the Master 10 as a blanket policy. It differed from the LUA policy by stating that, subject to the policy terms and conditions, all of Bell's property of every kind and description was insured subject to a single loss limit of $7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Master 10 policy specified limits of coverage in respect of certain kinds of property. No limit was specified in relation to physical plant. The policy stipulated that for the purpose of settling losses in respect of that kind of property, its value was replacement cost. Clause 6((e) of Policy Section B1 entitled "Loss of Property" defined replacement cost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Replacement cost shall mean the cost of repairing, replacing or reconstructing (whichever is the least) the property on the same site using new materials of similar kind and quality without deduction for depreciation but is subject to the following:</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until the property is actually repaired, replaced or reconstructed, the maximum amount recoverable shall be the actual cash value of the lost or damaged property;</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Insured shall exercise due diligence and dispatch in effecting repair, replacement or reconstruction;</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replacement need not be effected on the same site, nor be of same or similar style, construction or occupancy PROVIDED that the Insurers shall not be liable under this clause for that portion of the increased replacement cost that is directly attributable to the inclusion of this provision.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there is in force any law, by-law, regulation or ordinance restricting or prohibiting repair, replacement or reinstatement of property, at the Insured's request this policy shall also pay for:</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loss of any undamaged portion of insured property due to the necessary demolition or removal thereof; plus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increased cost to repair, replace or reinstate the insured property. However, the Insurers' maximum additional liability for this item shall be based on the cost of repairing, replacing or reinstating the property on the same site, with property of like size, function and style to the minimum standards required by law, having due regard to changes required by any law, by-law, regulation or ordinance,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(provided that the liability of the Insurers shall be limited to the amount of insurance which would have existed in the absence of provisions (A) and (B) unless and until the damaged or destroyed property is actually repaired, replaced, constructed or reconstructed and unless this is executed with due diligence and dispatch).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Stewart and Woode knew that the insurers would not agree to be bound by the Master 10 policy unless and until a statement of values was supplied to the insurers. The statement of values had been a feature of the LUA policy. Stewart was familiar with its contents and purpose. He knew that the statement of values was to contain reasonable estimates of undepreciated replacement cost in the case of physical plant. He knew that the insurers used the descriptions of property and the estimates of value in the statement of values to assess the measure of the risk and determine the premium the insurers would require to provide the coverage stipulated in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importance of the statement of values was reflected in Clause 6 of Policy Section A entitled "General Conditions" which provided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Notice is hereby accepted that the Statement of Values filed with Insurers represents at least 90% of the value of the interests insured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From January 1, 1988 to December 31, 1995, the procedure followed to obtain insurance was similar. Bell obtained, from a qualified appraiser, an appraisal of all of its plant and equipment, other than equipment intended for highway use. Stewart circulated the appraisal to company personnel knowledgeable in relation to the items that had been appraised and asked for their comments with respect to the appraised replacement cost of the plant and the actual cash value of the mobile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From the input received from company personnel, Stewart compiled a response to the appraisers and ultimately reached agreement with them on the replacement cost of the property in question. That information was submitted to Aon as Bell's broker. The broker transcribed the information onto a form called a statement of values that reflected the replacement cost of the plant wherever situated and the actual cash value of mobile equipment. Iterations of the statement of values passed between the broker and Bell until such time as Stewart was satisfied that the statement was an accurate reflection of the value of the company's physical plant and mobile equipment. Once finalized, the statement was signed on behalf of Bell and sent to the insurers.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insurers used the statement of values to determine the premium that would be charged to Bell on an annual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Preparation of the statement of values as of the commencement of the insurance year was often delayed. Coverage was extended on the basis of the preceding year's statement of values until such time as the new statement could be prepared.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policy required a statement of values to be prepared at the end of the year as well. Additions to or deletions from property during the year were recorded in the closing statement. The policy provided that 50% of the premium increase or decrease resulting from net additions or deletions would be paid by or to the company. The underlying assumption was that acquisitions or dispositions occurred half way through the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Stewart was aware that, from Bell's point of view, coverage could be limited by excluding property owned by Bell from the statement of values or by stating values that were not estimates of replacement cost. In fact Bell did exclude property from coverage by omitting it from the statement of values. It also expressed its intent to limit coverage on its inventory of logs and poles by attributing values to inventory at various locations that were substantially less than replacement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Each statement of values prepared in relation to policies of insurance for 1988 through 1995 inclusive contained an entry variously entitled "By-laws $250,000" or "By-Law coverage $250,000". The amount was not associated with any item of property. Although often specified in relation to Bell's Lumby location, the by-law entry was acknowledged to apply to all locations.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Stewart knew that by-law coverage extended to code provisions and environmental regulations. He was aware of reports prepared for or by Bell in 1991 and 1995, before the fire, indicating that the cost of replacing the thermal facility with one that would meet code and environmental requirements would range from $1.4 million to $9 million depending upon the replacement design selected.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No one representing Bell discussed by-law exposure with anyone at Aon from the time the limit was increased under the LUA policy to $250,000 in 1985 until April 1995. Stewart testified that, notwithstanding the reports of which he was aware, his estimate of the measure of Bell's by-law exposure was $100,000 to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April 1995, Bell asked another broker, Mr. David Simpson, to review Bell's insurance needs and the advisability of changing to a different type of blanket coverage from that provided by the Master 10 policy. Bell did not ask Simpson to consider any aspect of its by-law coverage. With Simpson's recommendations on insurance needs in hand, Stewart wrote to Woode on April 25, 1995 outlining Bell's suggestions for change in coverage. Stewart indicated that Bell wanted blanket by-law coverage in the amount of $250,000. In his working paper for that meeting Stewart described the by-law coverage at $250,000 as a specified limit of 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Some considerable time after the fire, Bell relied on the premium adjustment clause in respect of property acquired or disposed of during the year in an attempt to compensate the insurers for the premium that might have been payable had Bell fairly and appropriately estimated its by-law exposure. It is unusual that it did so. The by-law exposure did not increase half way through, or at any other time in, 1995. It was there at the beginning of 1995 and in all years, at least since 1991. Bell took no steps in an attempt to compensate the insurers for the underpayment of premium in those years as one would have expected it to do if it had intended to have by-law coverage in respect of its estimate of by-law exposure rather than coverage of a limited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the face of the foregoing objective evidence, Stewart's testimony that he thought by-law coverage of $250,000 was all that was available to Bell, he believed by-law coverage was provided by a separate policy and not the Master 10, and he would have caused Bell to acquire greater by-law coverage had he known it was available is unreliable and I do not accept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Simply stated, Stewart was not a credible witness in material respects. His manner in cross-examination was disputatious. He was unwilling to agree with simple and correct observations made by counsel regarding his involvement in the management and administration of Bell's insurance program. In the face of extensive evidence regarding his ongoing detailed consideration of matters affecting the premiums Bell paid, including property values, he denied familiarity with the Master 10 policy and the kind of coverage provided by it saying that he had not read the policy. Stewart endeavoured to transfer responsibility for the overall management of Bell's insurance risks to Aon and to Woode in particular. Given Stewart's penchant for detail, it is difficult to believe he would not have asked for and obtained greater by-law coverage had he wanted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preparing a draft of the statement of values for the 1992 insurance year Aon increased all values by 4%. The amount specified in relation to by-laws increased to $260,000 as a result. Stewart responded to the draft by telling Aon that the increases were to be restricted to physical plant only. It is inconceivable that this suggested increase, emanating from the broker, would not have prompted Stewart to inquire about what was in fact available had he wanted more than $250,000 of by-law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examination for discovery Stewart testified that he continued to hold the view, even after the fire, that the estimate of by-law exposure in the statement of values was a fair reflection of the real exposure. In fact, his or the company's honest belief in that regard was pleaded in a reply to the insurers' statement of defence. The assertion of the belief is not credible. Bell, and Stewart in particular, had large amounts of information pointing to a much larger by-law exposure.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When Aon was joined as a defendant in the proceeding, Stewart's posture changed. Only then did Stewart begin to focus on available limits, separate policies and a professed willingness on Bell's part to pay for more coverage were it available. The earlier reply was amended to delete the claim with respect to Bell's honest belief.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addition to these difficulties with his evidence, Stewart was evasive when testifying in relation to the extent of his knowledge regarding the need to cease operation of the full-length tank in order to stop site contamination and the extent of his knowledge that Alberta Environment would likely insist that Bell comply with federal guidelines relating to PCP treatment facilities in the event replacement of the thermal facility were required for any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fact of the matter is that from 1985 through 1995 Stewart knew what Bell had by way of by-law coverage and he had what he and Bell wanted, namely coverage to the extent of $250,000. The evidence that I am prepared to accept supports no other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While direct responsibility for insurance matters had devolved upon Mr. John Fleming in 1995 following Stewart's promotion to general manager, the company's intention in that year was no different. Fleming acted on Stewart's advice that by-law coverage was to be limited to $250,000.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turn to consider the effect of these material findings of fact regarding Bell's intention on the misrepresentation and sub-limit defences.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Misrepresentation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insurers claim that Bell made an intentional false description of property when it attributed the amount of $250,000 to by-laws in the 1995 statement of values and has no by-law coverage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Standard condition 3 of the policy provided as follows: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MISREPRESENTATION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applying for insurance hereunder, if the Insured has intentionally given, to the prejudice of the Insurers, a false description of the property to be insured, or has fraudulently misrepresented or fraudulently omitted to communicate any circumstances that are material to be made known to the Insurers in order to enable them to judge the risk to be undertaken, this contract is void as to any property in relation to which the misrepresentation or omission is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will assume, without deciding, that the attribution of an amount to by-laws in the statement of values can be considered a "description of property" and that the effect of the statement of values as it pertained to by-law coverage was prejudicial to the insurers.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insurers do not allege that Bell was fraudulent in attributing the amount of $250,000 to by-laws in the statement of values. Nor do they allege that by stating that amount in respect of by-laws, Bell has fraudulently misrepresented or fraudulently omitted to communicate any material circumstance to the insurers.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insurers say that the standard condition does not require fraudulent intent where descriptions of property are involved. They say the phrase "intentionally given ... a false description of the property to be insured" should be construed to apply when an insured states a value in respect of property with knowledge of its inaccuracy regardless of the purpose for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insurers say that Bell knew the statement of values was to reflect the estimate of by-law exposure having regard for the term of the policy extending coverage to the additional cost of complying with the requirement of any law, by-law, regulation or ordinance. They say that by stating the amount of $250,000 in relation to by-laws at a time when Bell knew that any reasonable estimate was far in excess of that amount, Bell made an intentionally false description of property notwithstanding the absence of an intention to defraud the insurers.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attribution of the amount of $250,000 to by-laws was not inadvertent or unintentional. At the same time, my previous findings that Bell knew and believed it could limit coverage by deliberately stating an amount that did not represent value and that Bell intended the amount of $250,000 to be a limit on by-law coverage, mean that Bell did not act with fraudulent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It is my opinion that if standard condition 3 is to apply to a description of property, one who proffers the description must do so dishonestly or with fraudulent intent. In the context of this case, that would require Bell to intend the sum of $250,000 to be construed as an estimate of value knowing that the proper estimate was some other amount in order that the insurers would be deceived. Dishonesty, deception and deprivation are the hallmarks of intentional falsehood.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Standard condition 3 contemplates three classes of circumstances that will render the policy void: intentional false descriptions, fraudulent misrepresentations, and fraudulent omissions. There is nothing in the context of the condition suggesting that dishonesty or deception should apply to misrepresentations and omissions but not to intentionally false descriptions.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Counsel were unable to refer to any case in which the words "intentionally false" had been judicially considered. Numerous cases have considered the phrase "wilfully false". There does not appear to be any reason to differentiate between the phrases. In Peterson v. Bannon </w:t>
      </w:r>
      <w:hyperlink r:id="rId133" w:history="1">
        <w:r>
          <w:rPr>
            <w:rFonts w:ascii="arial" w:eastAsia="arial" w:hAnsi="arial" w:cs="arial"/>
            <w:i/>
            <w:color w:val="0077CC"/>
            <w:sz w:val="20"/>
            <w:u w:val="single"/>
            <w:shd w:val="clear" w:color="auto" w:fill="FFFFFF"/>
            <w:lang w:val="en-US" w:eastAsia="en-US" w:bidi="ar-SA"/>
          </w:rPr>
          <w:t>(1993), 107 D.L.R. (4th) 616</w:t>
        </w:r>
      </w:hyperlink>
      <w:r>
        <w:rPr>
          <w:rFonts w:ascii="arial" w:eastAsia="arial" w:hAnsi="arial" w:cs="arial"/>
          <w:color w:val="000000"/>
          <w:sz w:val="20"/>
          <w:lang w:val="en-US" w:eastAsia="en-US" w:bidi="ar-SA"/>
        </w:rPr>
        <w:t xml:space="preserve"> (B.C.C.A.), Finch J.A. equated a wilful act with an intentional 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wilful act is one done intentionally, knowingly and purposely, without justifiable excuse. A wilful act is to be distinguished from an act done carelessly, thoughtlessly, heedlessly or inadvertently (p. 626).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Finch J.A. went on to equate a wilfully false statement to a dishonest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onus is on the insurer to prove on a balance of probabilities that the statements in question were wilfully false. Because the allegations are serious, the judge is justified in scrutinizing the evidence carefully, and cogent evidence will be required to support an allegation of dishonesty (p. 626).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Brooks v. Insurance Corp. of British Columbia </w:t>
      </w:r>
      <w:hyperlink r:id="rId134" w:history="1">
        <w:r>
          <w:rPr>
            <w:rFonts w:ascii="arial" w:eastAsia="arial" w:hAnsi="arial" w:cs="arial"/>
            <w:i/>
            <w:color w:val="0077CC"/>
            <w:sz w:val="20"/>
            <w:u w:val="single"/>
            <w:shd w:val="clear" w:color="auto" w:fill="FFFFFF"/>
            <w:lang w:val="en-US" w:eastAsia="en-US" w:bidi="ar-SA"/>
          </w:rPr>
          <w:t>(1994), 89 B.C.L.R. (2d) 215</w:t>
        </w:r>
      </w:hyperlink>
      <w:r>
        <w:rPr>
          <w:rFonts w:ascii="arial" w:eastAsia="arial" w:hAnsi="arial" w:cs="arial"/>
          <w:color w:val="000000"/>
          <w:sz w:val="20"/>
          <w:lang w:val="en-US" w:eastAsia="en-US" w:bidi="ar-SA"/>
        </w:rPr>
        <w:t xml:space="preserve"> (S.C.), Bouck J. concluded that if a statement is to be found to be wilfully false, one must show that the statement was made for a fraudulent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support of their claim that knowledge of an inaccuracy in the absence of fraudulent intent is enough, the insurers rely on the decisions of Sleigh v. Stevenson, </w:t>
      </w:r>
      <w:hyperlink r:id="rId135" w:history="1">
        <w:r>
          <w:rPr>
            <w:rFonts w:ascii="arial" w:eastAsia="arial" w:hAnsi="arial" w:cs="arial"/>
            <w:i/>
            <w:color w:val="0077CC"/>
            <w:sz w:val="20"/>
            <w:u w:val="single"/>
            <w:shd w:val="clear" w:color="auto" w:fill="FFFFFF"/>
            <w:lang w:val="en-US" w:eastAsia="en-US" w:bidi="ar-SA"/>
          </w:rPr>
          <w:t>[1943] 4 D.L.R. 433</w:t>
        </w:r>
      </w:hyperlink>
      <w:r>
        <w:rPr>
          <w:rFonts w:ascii="arial" w:eastAsia="arial" w:hAnsi="arial" w:cs="arial"/>
          <w:color w:val="000000"/>
          <w:sz w:val="20"/>
          <w:lang w:val="en-US" w:eastAsia="en-US" w:bidi="ar-SA"/>
        </w:rPr>
        <w:t xml:space="preserve"> (Ont. C.A.) and Saskatchewan Pork Producers Marketing Board v. Saskatchewan Government Insurance </w:t>
      </w:r>
      <w:hyperlink r:id="rId136" w:history="1">
        <w:r>
          <w:rPr>
            <w:rFonts w:ascii="arial" w:eastAsia="arial" w:hAnsi="arial" w:cs="arial"/>
            <w:i/>
            <w:color w:val="0077CC"/>
            <w:sz w:val="20"/>
            <w:u w:val="single"/>
            <w:shd w:val="clear" w:color="auto" w:fill="FFFFFF"/>
            <w:lang w:val="en-US" w:eastAsia="en-US" w:bidi="ar-SA"/>
          </w:rPr>
          <w:t>(1993), 110 Sask. R. 116</w:t>
        </w:r>
      </w:hyperlink>
      <w:r>
        <w:rPr>
          <w:rFonts w:ascii="arial" w:eastAsia="arial" w:hAnsi="arial" w:cs="arial"/>
          <w:color w:val="000000"/>
          <w:sz w:val="20"/>
          <w:lang w:val="en-US" w:eastAsia="en-US" w:bidi="ar-SA"/>
        </w:rPr>
        <w:t xml:space="preserve">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Sleigh v. Stevenson, the court was required to construe the following statutory term: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an applicant for a contract falsely describes the automobile to be insured, to the prejudice of the insurer, or knowingly misrepresents or fails to disclose in the application any fact required to be stated therein ... the right of the insured to recover indemnity shall be forfeited.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Sleigh was not argued on the basis that the applicant had falsely described the automobile to be insured. Rather, the issue was whether an applicant who represented that she was the owner of a vehicle, knowing that she was not, should be denied indemnity. The Ontario Court of Appeal concluded that "knowingly" was used in the statutory term to mean that the applicant must be in possession of information permitting her to know that what was in fact stated in the application was untrue or did not disclose the truth. The statement made by the applicant in question supported the denial of indemnity because the applicant knew the representation was not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statutory term under consideration in Sleigh refers to misrepresentations or failures to disclose made knowingly. The wording is materially different from that in standard condition 3 which refers to fraudulent misrepresentations or omissions. In any event, I am here concerned with the meaning of the phrase "intentional false description of property" and not with misrepresentations or omissions.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Were the principle in Sleigh otherwise applicable having regard for the wording of the condition with which I am concerned, I would decline to apply it because of my finding of fact that Bell intended the $250,000 amount to be exactly what it was, namely a statement of the amount of by-law coverage it wanted. Nothing said by Bell was untrue having regard for its intention.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issue in Saskatchewan Pork Producers was not materially different from that in Sleigh. For similar reasons it does not provide support, in my judgment, for the proposition advanced by the insurers.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my opinion, an intentionally false description in the context of standard condition 3, is one made wilfully and dishonestly with intent to deceive. Bell did not provide such a statement to the insurers in this case. The misrepresentation defence fails.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Sub-Limit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insurers say that Bell expressed an intention to limit its by-law coverage by stipulating the amount of $250,000 in respect thereof on the statement of values for the 1995 policy year knowing that sum was not an estimate of Bell's by-law exposure. The insurers claim that the unilateral expression of intention is sufficient to restrict coverage to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Bell says the insurers did not know that Bell intended to limit its by-law coverage and the policy is unambiguous in its statement that the only limit applicable to the loss of, or damage to, the full-length tank was the $7 million single loss limit. Bell says, therefore, that the position urged by the insurers requires the addition of a term to the contract, that being that by-law coverage shall not exceed $250,000 for any one loss. Bell says such a term cannot be added by virtue of s. 12 of the Insurance Act, </w:t>
      </w:r>
      <w:hyperlink r:id="rId137" w:history="1">
        <w:r>
          <w:rPr>
            <w:rFonts w:ascii="arial" w:eastAsia="arial" w:hAnsi="arial" w:cs="arial"/>
            <w:i/>
            <w:color w:val="0077CC"/>
            <w:sz w:val="20"/>
            <w:u w:val="single"/>
            <w:shd w:val="clear" w:color="auto" w:fill="FFFFFF"/>
            <w:lang w:val="en-US" w:eastAsia="en-US" w:bidi="ar-SA"/>
          </w:rPr>
          <w:t>R.S.B.C. 1996, c. 225</w:t>
        </w:r>
      </w:hyperlink>
      <w:r>
        <w:rPr>
          <w:rFonts w:ascii="arial" w:eastAsia="arial" w:hAnsi="arial" w:cs="arial"/>
          <w:color w:val="000000"/>
          <w:sz w:val="20"/>
          <w:lang w:val="en-US" w:eastAsia="en-US" w:bidi="ar-SA"/>
        </w:rPr>
        <w:t xml:space="preserve"> providing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term or condition of a contract of insurance which is not set out in full in the policy or in a document in writing attached to it, when issued, is not valid or admissible in evidence to the prejudice of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have found that Bell intended to obtain and pay for by-law coverage of $250,000. The following additional facts, which I find on the evidence, are relevant to the consideration of the competing positions with respect to the sub-limit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Woode acted throughout the period from the inception of Master 10 coverage in 1988 to the date of the fire in 1995 on the basis that Bell had estimated its by-law exposure at $250,000. Until his cross-examination at this trial, Woode was not aware that in 1991 Bell had estimated the cost of replacing the full-length tank to conform to Alberta's requirements at the amount of $1.4 million. When asked if the information would have been of interest to him, his response was an emphatic "you bet". Woode was not aware that in the spring of 1995, Bell had estimated the cost of upgrading the entire thermal facility to conform to Alberta's requirements at $2.5 million to be disbursed over seven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Woode testified to his understanding that coverage under the Master 10 policy could be restricted by omitting property from the statement of values or by deliberately stating a value that was less than replacement cost with the intention that indemnity should be limited to the stated sum.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Woode had worked with Bell to effect both kinds of results. He had been involved in the preparation of statements of value from which specific property had been excluded. The exclusions included pilings under the full-length tank, backstops and skids.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Woode worked with Bell to restrict the entitlement to indemnity in respect of Bell's inventory of logs and poles at various locations. The history in this regard is important.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Bell maintained an inventory of logs and poles at various locations including Lumby, Haney, Revelstoke, Terrace and Pemberton in British Columbia and Carseland in Alberta. These inventories were destined for treatment and sale to Bell customers. The 1992 statement of values specified values in respect of the inventory as follows: Lumby, $1.5 million; Haney, $1.5 million; Revelstoke, $1.5 million; Terrace, $1.0 million; Pemberton, $400,000; and Carseland, $4.5 million. The premium charged to Bell was based, in part, on these values.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By 1993, Bell recognized that the likelihood of loss of the entire inventory by fire at any site was remote because of the manner in which inventory was stored on each site. Bell asked Woode to inquire of Commonwealth and American Home, who were then the insurers, whether the log and pole inventory could be insured on an agreed value basis of $250,000 for each location. Commonwealth responded affirmatively to the inquiry in February or March 1993 and quoted a flat premium for such coverage at both $250,000 and $500,000 levels. On March 16, 1993 American Home expressed its agreement to the flat premium in respect of an agreed value of inventory at $250,000 per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On April 19, 1993 Bell advised Woode that the values it wished to insure in respect of pole inventories were $1 million at Carseland and $500,000 at each of four other locations. These values were reflected in the final 1993 statement of values dated July 19,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There is no evidence that anything other than a statement of values reflecting this decision by Bell was conveyed to the insurers. There is no evidence of the premium calculation in relation to this portion of the coverage. No endorsement was issued to reflect the limitation on coverage. No mention was made in the policy itself to the effect that agreed values rather than replacement cost were being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statements of values for 1994 and 1995 attributed the same amounts as had been specified in 1993 to log and pole inventories at the various locations. In 1995, Commonwealth and American Home were insurers as were Royal, Sovereign General and Gerling Global. None of the three additional insurers knew of the discussions which had taken place among Woode, Commonwealth and American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At the April 1995 meeting between Stewart and Woode regarding Bell's desire to move to blanket coverage of the kind recommended by Simpson, the matter of log and pole inventory values was considered. Woode was concerned that, in the event of loss, the insurers not be in a position to allege that the statement of values did not provide estimates of log and pole inventory values.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Immediately following the meeting with Stewart on April 25, 1995 Woode instructed Mr. Ian Muirhead, the Aon official who dealt directly with the insurers, to advise Commonwealth and American Home of the situation. Muirhead wrote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sure I discussed this with your Co a number of years ago but the client reports less stock than he actually has. This was due to the nature of his stock treated telephone poles which are extremly difficult to burn. This came up in a conversation with the client today. [sic]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There is no evidence that Muirhead wrote to any of the other insurers who underwrote the Bell risk in 1995 nor is there any evidence of Commonwealth's reaction to the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American Home did respond. It wrote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don't have a problem with the Insured buying insurance for less than the 100% stock value as long as he understands that the value declared will act as a sub-limit with respect to stock coverage. We cannot make an allowance for "under insurance" in the event of loss if the insured is choosing to insure for less than 100%. We would like to issue an endorsement to the policy that clarifies our intent. Let's discuss a wording.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No endorsement was added to the policy although it continued in force to December 31, 1995. Woode and Stewart each testified to their understanding that in the event of loss or damage to the log and pole inventory at any site, Bell's claim for indemnity would be restricted to the value specified in the statement of values for any particular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evidence was that insurers most often guard against an insured's innocent, as opposed to fraudulent, under-valuations of property with a co-insurance provision. By way of example, a policy might specify that amounts specified by the insured in the statement of values shall be some percentage, say 90%, of the measure of value insured by the policy. To the extent the stated amount is less, the insured becomes a co-insurer in relation to the under-valuation. If a value of $100 were stated in respect of property with a properly determined value of $1,000, and the property were destroyed, the insurer would cover the first 10% of the loss. The insured and insurer would assume responsibility for eight-ninths and one-ninth, respectively, of the remainder.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co-insurance clause that Aon inserted in the Master 10 policy was clause 6 providing as follows: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CO-INSURANCE (STATED AMOUNT)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Notice is hereby accepted that the Statement of Values filed with Insurers represents at least 90% of the value of the interests insured herein. As this is the basis of the premium charged for this policy and on the understanding that these values shall not be reduced during the policy term without prior approval by the Insurers, it is agreed that the Insured shall maintain insurance by, or concurrent in form, range and wording with this policy on the interests hereby insured, so that the limit of liability on the said interests shall be not less than the limit of liability cited in clause 4 herein and that, failing to do so, the Insured shall be a co-insurer to the extent of an amount sufficient to make the limit equal to the aforestated limit and, in that capacity, shall bear its proportion of any loss that may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Counsel for all parties agreed in submissions before me that the co-insurance portion of the clause is incomprehensible and likely unenforceable as a result. However, as I have noted previously, the requirement that Bell ensure that amounts in the statement of values represent 90% of value as defined in the Master 10 in respect of various kinds of property is unequivocal.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legal point in relation to the sub-limit defence is whether Bell effected a limit on by-law coverage by deliberately departing from the requirement to state reasonable and accurate estimates of value in the statement of values and substituting, without knowledge on the part of the insurers, a specified amount to which Bell wished to limit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Bell's position is that the $7 million single loss limit cannot be altered except in writing because such an alteration would represent the addition of a term to the policy to the prejudice of Bell, contrary to s. 12 of the Insurance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Braidwood J., as he then was, considered a comparable point in Barnet Properties Ltd. v. Commonwealth Insurance Co. </w:t>
      </w:r>
      <w:hyperlink r:id="rId138" w:history="1">
        <w:r>
          <w:rPr>
            <w:rFonts w:ascii="arial" w:eastAsia="arial" w:hAnsi="arial" w:cs="arial"/>
            <w:i/>
            <w:color w:val="0077CC"/>
            <w:sz w:val="20"/>
            <w:u w:val="single"/>
            <w:shd w:val="clear" w:color="auto" w:fill="FFFFFF"/>
            <w:lang w:val="en-US" w:eastAsia="en-US" w:bidi="ar-SA"/>
          </w:rPr>
          <w:t>(1996), 32 B.C.L.R. (3d) 39</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facts in that case were that the insured intended to obtain coverage for a retaining wall that was under construction by being added as a named insured under the contractor's course of construction policy. By oversight, Barnet was added as a named insured to the contractor's general liability policy. In the statement of values provided to its insurers, Barnet excluded the retaining wall from the list of property to be insured. The retaining wall was destroyed.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Barnet was not an insured under the contractor's property or course of construction policy. Barnet claimed coverage from its own insurer on the basis that its policy extended coverage to all property of every kind and description. Coverage was denied by Barnet's property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Barnet the court considered the question whether the deliberate omission of the property from the statement of values deprived the insured of indemnity in respect of that property. The issue arose in the context of the same Master 10 policy wording as is before me in this case. In Barnet, counsel made substantially the same argument as was advanced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court rejected the argument that s. 12 of the Insurance Act applied saying that the question whether the retaining wall was excluded from coverage could be answered by construing the meaning of the words in the policy and did not require the addition of a term. At page 63, Braidwood J. wrote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then leads to an interpretation of the words "this section of this policy insures all property of every kind and description except as excluded below." The property in question is not excluded. I am of the opinion that the wall that is said to be completed by the end of September 1993 should not be included in these words.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consequence of a contrary interpretation would mean that the stock owned by one of the sub-companies of Vencorp Group that was earlier discussed and that was deliberately decided to be excluded from the policy of insurance would be covered even though the parties gave specific instructions to exclude it from the policy and not pay a premium thereon. Likewise it was the intention of the parties not to insure the project which included wall/1 and, accordingly, as discussed earlier wall/1 was omitted from the statement of values and, in effect, from the questionnaire. I agree with the submission made by the defendants that the meaning of the words "property of every description" must not be taken literally but must be interpreted to mean property of every description intended to be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In support of his conclusion that the court must strive to determine the intention of the parties, Braidwood J. cited Scott v. Wawanesa Mutual Insurance Co </w:t>
      </w:r>
      <w:hyperlink r:id="rId139" w:history="1">
        <w:r>
          <w:rPr>
            <w:rFonts w:ascii="arial" w:eastAsia="arial" w:hAnsi="arial" w:cs="arial"/>
            <w:i/>
            <w:color w:val="0077CC"/>
            <w:sz w:val="20"/>
            <w:u w:val="single"/>
            <w:shd w:val="clear" w:color="auto" w:fill="FFFFFF"/>
            <w:lang w:val="en-US" w:eastAsia="en-US" w:bidi="ar-SA"/>
          </w:rPr>
          <w:t>(1989), 59 D.L.R. (4th) 660</w:t>
        </w:r>
      </w:hyperlink>
      <w:r>
        <w:rPr>
          <w:rFonts w:ascii="arial" w:eastAsia="arial" w:hAnsi="arial" w:cs="arial"/>
          <w:color w:val="000000"/>
          <w:sz w:val="20"/>
          <w:lang w:val="en-US" w:eastAsia="en-US" w:bidi="ar-SA"/>
        </w:rPr>
        <w:t xml:space="preserve"> (S.C.C.) at page 676: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when the wording of a contract is unambiguous, as in my view it is in this case, courts should not give it a meaning different from that which is expressed by its clear terms, unless the contract is unreasonable or has an effect contrary to the intention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And Toronto (City) v. W.H. Hotel Ltd. </w:t>
      </w:r>
      <w:hyperlink r:id="rId140" w:history="1">
        <w:r>
          <w:rPr>
            <w:rFonts w:ascii="arial" w:eastAsia="arial" w:hAnsi="arial" w:cs="arial"/>
            <w:i/>
            <w:color w:val="0077CC"/>
            <w:sz w:val="20"/>
            <w:u w:val="single"/>
            <w:shd w:val="clear" w:color="auto" w:fill="FFFFFF"/>
            <w:lang w:val="en-US" w:eastAsia="en-US" w:bidi="ar-SA"/>
          </w:rPr>
          <w:t>(1996), 56 D.L.R. (2d) 539</w:t>
        </w:r>
      </w:hyperlink>
      <w:r>
        <w:rPr>
          <w:rFonts w:ascii="arial" w:eastAsia="arial" w:hAnsi="arial" w:cs="arial"/>
          <w:color w:val="000000"/>
          <w:sz w:val="20"/>
          <w:lang w:val="en-US" w:eastAsia="en-US" w:bidi="ar-SA"/>
        </w:rPr>
        <w:t xml:space="preserve"> (S.C.C.) at page 548: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agree that this transaction being an ordinary commercial transaction it is the duty of the Court in interpreting that document to avoid such an interpretation as would result in commercial absurdity. Duff, J., in Reddy v. Strople </w:t>
      </w:r>
      <w:hyperlink r:id="rId141" w:history="1">
        <w:r>
          <w:rPr>
            <w:rFonts w:ascii="arial" w:eastAsia="arial" w:hAnsi="arial" w:cs="arial"/>
            <w:i/>
            <w:color w:val="0077CC"/>
            <w:sz w:val="20"/>
            <w:u w:val="single"/>
            <w:shd w:val="clear" w:color="auto" w:fill="FFFFFF"/>
            <w:lang w:val="en-US" w:eastAsia="en-US" w:bidi="ar-SA"/>
          </w:rPr>
          <w:t>(1911), 44 S.C.R. 246</w:t>
        </w:r>
      </w:hyperlink>
      <w:r>
        <w:rPr>
          <w:rFonts w:ascii="arial" w:eastAsia="arial" w:hAnsi="arial" w:cs="arial"/>
          <w:color w:val="000000"/>
          <w:sz w:val="20"/>
          <w:lang w:val="en-US" w:eastAsia="en-US" w:bidi="ar-SA"/>
        </w:rPr>
        <w:t xml:space="preserve"> at p. 257, added to the canon that the primary meaning if unambiguous should be adopted, the proviso that it should be "sensible with reference to the extrinsic circumstances..." In such a course the learned late Chief Justice of this Court adopted in terms the "golden rule of interpretation" as stated by Lord Wensleydale in Grey v. Pearson [citation omitted]. I suggest it is also put with accuracy and relevancy to the question here at issue by Rigby, L.J. in Diederichsen v. Farquharson Bros., [1898] 1 Q.B. 150 at p. 159: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the literal construction leads to an absurdity, repugnancy, or inconsistency which reasonable people cannot be supposed to have contemplated under the circumstances, it ought if possible to be modified so as to avoid such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After citing these cases, Braidwood J. said the following at page 65: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alive to the argument advanced by the plaintiff concerning the parol evidence rule and the case of Prenn v. Simmonds, [1971] 1 W.L.R. 1381 (H.L.) and Elkiw v. Harris (1990), 39 C.P.C. (2d) 121 (B.C.C.A.) but here it is not the negotiations leading to the contract that are being considered in order to interpret the words "agreed upon" but rather to find out the true bargain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Braidwood J. found there was no intention to insure the retaining wall and it was not insured as a result. Although I am required in the present case to construe the policy term with respect to the extent of coverage rather than the identification of property to be covered, the reasoning in Barnet is compelling. In my opinion it should be adapted and extended to the circumstances of this case. The true bargain between the parties with respect to the amount of coverage must be determined by reference to their intention.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Clause 4 of the Master 10 policy provides as follows: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 OF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Insurers' liability for the cumulative total of adjusted net claims resulting from any one loss, casualty, disaster or occurrence (including all costs, fees, charges and expenses) shall not exceed $7,000,000.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Without increasing the policy limit(s) per occurrence, it is agreed that: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caused directly by the peril of Flood is subject to an Annual Aggregate Limit of Seven Million Dollars ($7,000,000.);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caused directly by the perils of earthquake shock, earth movement or land subsidence is subject to an Annual Aggregate Limit of Seven Million Dollars ($7,000,000.).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some respects the clause is ambiguous. It stipulates that the maximum amount the insurers are required to pay out in respect of any one loss, casualty, disaster or occurrence is $7 million. The clause does not specify the amount to be paid in respect of any specific item of property involved in "any one loss, casualty, disaster or occurrence". I construe the phrase, modified by the words "any one", to be a reference to the nature of the event rather than the property damaged or destroyed by the event. There is no reason why the clause should be interpreted to exclude consideration of the parties' intentions regarding the values to be insured in respect of specific items of property that have been damaged or destroyed.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Acceptance of Bell's position would amount to endorsement of the proposition that an insured is entitled to claim a maximum benefit of $7 million as a consequence of the single occurrence loss limit when it did not intend to obtain coverage greater than $250,000 in relation to by-law exposure, had no intention of paying for more coverage, did not tell the insurers of its intention, knew its by-law exposure was far in excess of $250,000, and provided information to the insurers from which they would assess their risk in relation to by-laws at $250,000.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my opinion the proposition is devoid of commercial reality. It is the very kind of result that should, if at all possible, be avoided (W.H. Hotel Ltd.,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What, then, was the intention of the parties with respect to coverage obtained by the insured and provided by the insurers?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Given Bell's knowledge of the use to which it could put the statement of values either to exclude property from coverage as in the case of pilings, backstops or skids, or limit coverage as in the case of logs and poles, its intention in relation to the policy is clear. It intended to be covered for property particularized in the statement of values to the extent of value where it made an attempt to fairly determine value, or to the limit specified in respect of property where it deliberately stated another amount not intended to be related to any fair and reasonable estimate of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From the insurers' point of view, given the importance of estimates of value as acknowledged in clause 6 of the policy, the intention must have been to insure property described in the statement of values on the basis that the estimates of value were reasonable, or only unreasonable by reason of inadvertence rather than deliberate, but not fraudulent, under-valuation. Most assuredly, it is unreasonable to suggest that the insurer would have regarded a premium fixed by reference to a deliberately stated amount of $250,000 as compensation for the assumption of a risk many times greater, perhaps as much as $7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need not be concerned with what the insurers might have done had they known of Bell's intentions. I must be concerned with what was done by the insurers having regard for the information provided to them by Bell.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intentions of the parties in relation to this contract can only be harmonized if the limit clause is construed to mean that Bell is covered in respect of property identified in the statement of values to the value thereof where estimates have been made, and to the limit of stipulated amounts in respect of aspects of coverage where a decision has been made that the stipulated amount would not be an estimate of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this case, interpretation of the Master 10 policy in a manner that is consistent with the intention of the parties limits indemnity in relation to any requirement to conform to a law, by-law, regulation or ordinance to a maximum of $250,000.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Did the Fire Cause the By-law Portion of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Bell claims the fire caused the expenditure of approximately $4.8 million on a replacement facility. The insurers say Alberta Environment was not going to permit the ongoing operation of the thermal treatment facility and would have required its replacement with a more environmentally friendly plant as a condition of renewing Bell's operating licences on November 1, 1996. As a result, the insurers say the fire did not cause the by-law portion of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relevant background in relation to this aspect of the dispute is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Pre-Fire Facility and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Prior to the fire, the Carseland processing facility was comprised of a butt tank, a full-length tank and a tank farm for the storage of diesel oil and treating 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butt tank was used to treat the bottom 9 or 10 feet of poles of varying length with preservative. Poles were placed upright in the open-air tank during the treatment process. The full-length tank was used to treat poles to the extent of their entire length to a maximum of 110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full-length tank was installed on the Carseland site in 1979. It was an open-air steel tank placed within a concrete, in-ground vault. A front-end loader was used to place poles horizontally on cradles or slings in the tank. The slings were lowered into the tank as additional poles were added. When the tank was fully loaded with poles, pieces of steel called "irons" were placed on top of the charge at intervals along the length of the tank. Chains held the irons in place. Thus secured, the poles were prevented from floating. Finally, lids were placed over top of the tank. The lids overlapped but were not airtight.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Once the poles were secured in place, the tank was filled with treating oil comprised of 95% diesel oil and 5% PCP. The solution was heated by means of a heat exchanger. The heated solution caused water in the cells of the wood poles to boil and evaporate. The treating solution filled the space so 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Following treatment, the treating solution was pumped from the tank. For a period of time, the logs were left in the tank to cool and to allow excess solution to drip from the poles and accumulate in the bottom of the tank. The treated poles were subsequently removed from the tank and transported to a storage area to await delivery to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full-length thermal treatment process caused three forms of pollution or contamination. The first was air pollution caused by the emission of vapours in the course of the heating process. The second was soil contamination resulting from the condensation of some of the vapours in the area surrounding the full-length tank. The third was additional soil contamination in the treated pole storage area resulting from the dripping of excess treating solution from checks and cracks in the poles themselves after treatment and removal of the poles from the tank.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Post-Fire Facility and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After the fire, the full-length, open-air, in-ground, thermal treating tank was replaced by a pressure facility comprised of a single door cylinder measuring 8 feet in diameter and 100 feet in length. The volume of the cylinder was approximately one-half the volume of the old full-length tank, but the pressure treating process required less time. As a result, the overall treating capacity of the two facilities was about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Unlike the full-length tank, the new pressure cylinder is housed in a building. The pressure process requires the assembly of a charge of poles outside the cylinder on a moveable tram. The loaded tram is moved into the cylinder on a track and the cylinder door is locked. The cylinder is then filled with the same treating solution as was used in the thermal process. The solution is heated to a lower temperature than was required in the thermal process. Pressure is used to force the treating solution into the porous wood poles.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Following completion of the pressure treatment cycle, the treating oil is removed from the cylinder, the pressure in the system is neutralized, the door is opened, and the poles are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Unlike the full-length tank, the pressure facility is substantially pollution free. Vapours generated in the treatment process are scrubbed to recover the vapourized solution. As a result there is little air pollution and no ground contamination resulting from the condensation of vapours in the area around the cylinder. Solution continues to drip from cracks and checks in the poles outside the cylinder but for the most part, that solution is contained by an impermeable concrete pad.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Modernization Proposals and Licencing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Operation of the thermal facility required licences or permits under Alberta's Clean Air Act and Clean Water Act. The facility was licensed under both Acts from 1979 forward, generally for terms of three or five years. The licences issued in 1986 were to expire on November 1, 1991. Both licences were renewed for a two-year term to expire in January 1993. In 1993, both licences were renewed for three-year terms to expire in November 1996. The 1991 and 1993 renewals reflected the course of discussions within Bell and between Bell and Alberta Environment officials with respect to the modernization of the Carseland plant with a view to minimizing or eliminating air, ground and water contamination or pollution resulting from plant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late 1990 or early 1991, anticipating expiry of its clean water and clean air licences on November 1, 1991, Bell retained Associated Engineering Limited to develop a proposal for the modernization of the plant. In February 1991, Associated submitted its report entitled "Project Outline and Area Impact Evaluation for Proposed Pole Treatment Plant Modernization and Expansion".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Associated proposed the construction of a new pressure facility at an estimated cost of $5,000,000. The report recited the fact that the principal purpose of the new facility was to ensure protection of the environment while permitting Bell to lead the industry in quality and service to customers. The proposal contemplated the phase out and removal of the full-length tank but the retention of the butt tank and the copper chromate arsenate or CCA treating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Bell considered the report and sent a copy to Alberta Environment officials. By June 1991, however, Bell was sufficiently concerned about the accuracy of the estimated cost, uncertainty surrounding the market demand for treated poles, and uncertainty surrounding its future ability to use PCP in the treatment process, that it invited Associated to revisit the February 1991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On June 28, 1993 Bell asked Associated to consider what would be required to modernize and upgrade the existing plant to meet the then current Alberta environment standards and to estimate the cost of that upgrade.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On July 3, 1991 Associated responded by estimating that the total cost would approximate $9 million. The cost of upgrading the existing full-length tank was estimated at $1.4 million of the $9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Bell applied for renewal of its air and water licences on September 10, 1991. In its letter of application, Bell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plant expansion is under active consideration by Bell Pole, and is the subject of a report submitted to the public and Alberta Environment earlier this year. Work is continuing on the expansion plan.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current licences to operate the existing plant, are, however, due to expire shortly (November 1, 1991). We are therefore applying for renewal of these existing licences so that we may continue to lawfully operate the existing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air licence was renewed for a term of two years from November 1, 1991 to November 1, 1993. The renewal of the water licence was delayed. The new licence was issued effective April 1, 1992 for a term expiring November 1, 1993. Sections 11.4 and 12.1 of the water licence contained the following material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11.4</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By November 30, 1992, the licensee shall submit a written report to the Director of Standards and Approvals documenting additional monitoring (section 11.3) and proposing a remedial action plan to the Director of Standards and Approvals, to address soil, groundwater, and surface water remediation.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Director of Standards and Approvals considers the plant to be a source of water pollution, therefore the licensee must maintain a Licence to Operate under the Clean Water Act until the plant and the plant site have been decommissioned to the satisfaction of the Director of Standards and Approvals.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the period from November 1991 through to November 1993, discussions and meetings continued between Bell and Alberta Environment officials regarding Bell's plans to decommission the thermal facility, replace it with a pressure facility, remediate the site, and contain and manage storm water in order to curtail air and water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As a consequence of not having proceeded with the modernization plan proposed by Associated in 1991, Bell submitted a detailed remedial plan to Alberta Environment officials in 1993. Work done on the site to that point suggested that contamination was not migrating. Officials agreed to delay site remediation until the existing plant was fully decommissioned on the understanding that a comprehensive groundwater monitoring program would be implemented.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licences under the Clean Air and Clean Water Acts were renewed on November 1, 1993 for a term of three years to expire November 1,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clean water licence contained the following material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836"/>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11.7</w:t>
            </w:r>
          </w:p>
        </w:tc>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Effective January 1, 1995 areas of the plant frequently or regularly in contact with wood treatment chemicals/wastes must have a hydraulic conductivity of less than or equal to 1 x 10[superscript -7] centimetres per second, (e.g., existing concrete drip pad must be sealed, coated, or covered with a surface material with a hydraulic conductivity of less than or equal to 1 x 10[superscript -7] centimetres per second) such that the entire surface where contact occurs or may occur is capable of containing such drippage and mixtures of drippage and precipitation, materials, or other wastes while being routed to an associated collection system.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11.11</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Effective January 1, 1995 the plant must be operated and maintained in a manner to prevent tracking of chemicals or chemical wastes off of the plant's drip pad or charge tracks as a result of activities by personnel or equipment.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11.12</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After being removed from the CCA treatment vessel, treated wood must be processed in the fixation chamber or be allowed to drip dry for at least 96 hours on the drip pad or in the treatment cylinder (and until drippage has ceased in either case). After being removed from the PCP treatment vessel, treated wood must be allowed to drip over the thermal treatment vessel until drippage has ceased.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Bell was in breach of these conditions at January 1, 1995 as they pertained to the full-length tank.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On January 26, 1995, Alberta Environment wrote to Bell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Groundwater Branch has completed a review of your November 1994 report and has concluded that contaminant migration is continuing. Considering this situation it is considered appropriate, at this time, that a remediation plan including a proposal for a source removal, a LNAPL [light non-aqueous phase liquid] recovery system and a treatment facility should be developed and submitted to Alberta Environmental Protection for review.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well aware of Bell Pole's proposal with respect to market conditions, new plant building and deferment of groundwater remediation. However, continued deferment of remediation, considering the possible vertical fracturing of the till, is considered to be inappropriate. We therefore would appreciate an update report on Bell's progress with respect to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On February 23, 1995, Alberta Environment wrote again to Bell to reiterate its view that the groundwater directly beneath the site was grossly contaminated with PCP, and there was vertical migration of contaminants: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some changes to the plant facilities to the east of the present site are projected, remedial action should be taken now. Since increases in PCP concentration in the monitoring wells appear to indicate both vertical and horizontal movement of contaminants any delays with the initiation of a remediation procedure would be considered inappropriate.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proposal for remedial action plan should be submitted for review. This plan should address the identification and removal of the contaminant sources and propose a clean up operation involving the recovery of LNAPL from the groundwater.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Bell disputed the Alberta Environment conclusion that contaminants were migrating from the site and expressed its disagreement with the regulator's opinion in a letter dated April 13,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January 1995, Bell constituted a committee comprised of senior personnel and advisors to address the manner in which the Carseland plant would be upgraded.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report of the upgrade committee was delivered to management on April 17, 1995. In the executive summary, the committee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existing Carseland PCP thermal treatment system is an outdated system that poses a significant liability to the company. The facility is an on-going source of environmental contamination that requires significant upgrading to mitigate the future costs of operation in Carseland. In addition, there is a significant risk of a catastrophic spill which could realistically result in final closure of the facility....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to eliminate the on-going source of contamination and potential for preservative spill, the most cost effective alternative is to upgrade the existing facility. This upgrade would consist of modifying the thermal treatment process to a retort [cylinder] treatment process and automating the associated equipment to complete the conversion. In addition, significant improvement will be made to the butt tank and tank farm, i.e. overflow containment and fume collection.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committee recommended an upgrade project at a cost of $2.5 million spread over seven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Bell's planning committee met to discuss the report on April 19, 20 and 21, 1995. A follow-up meeting was scheduled for May 9 and 10, 1995. The fire intervened and the subsequent meeting occurred on May 17 and 18, 1995. The Minutes of the April planning meeting record in part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 excellent report was submitted to the planning committee prior to the meeting. This report clearly laid out the issues surrounding the Carseland full-length PCP thermal treatment plant. Alberta Environment's priority is no further contamination or spreading of contamination. There is therefore an urgency to work out a plan with Alberta Environment. The 5 options suggested in the plant range from plant decommissioning to a new plant. However, with time becoming a critical factor for Alberta Environment it is imperative that we develop an Action Plan as soon as possible. A meeting was therefore set for May 9, 10 in Conway to develop alternatives. Subsequent events (the Carseland fire) now dictate that we formulate a plan immediately. This meeting is now set for May 17, 18 in Vernon.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Following the fire, Alberta Environment stipulated that if the concrete vault in which the full-length tank had been situated were to be used as the foundation for the new pressure facility, the ground in the vicinity of the vault would have to be remediated or Bell would be required to post a bond securing remediation. Bell neither remediated the soil nor posted the bond. The pressure facility was constructed out of range of any existing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Bell has not been required to remediate the area around the full-length tank to this date. It did install a drip gathering trench around the perimeter of the butt tank, the use of which continues.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evidence does not permit me to conclude whether contamination was never as much a problem as Alberta Environment officials thought, or whether contamination ceased to be a problem when the fire took the full-length tank out of commission. Lacking as well is evidence from which to divine where discussions with Alberta Environment officials would have led by November 1, 1996 had the fire not intervened.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Jay Nagendran, an employee of Alberta Environment, testified on behalf of Bell. He testified that it was the department's policy to work with industry to find a reasonable and cost-effective solution to pollution and contamination problems. His evidence was that the situation had reached the stage where remedial activity needed to be done and the fire created the opportunity to push Bell towards the upgrades that they had been talking about for years. In his words, the fire "was an opportunity to do it sooner rather than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 find that at the date of the fire, Bell knew it was going to be required to remediate the site of the full-length tank and remediation would require decommissioning of the tank and its replacement with a pressure treatment facility. At the same time, Bell had not made a decision regarding the manner and timing of replacement of the full-length thermal facility with a pressure facility at the time of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It follows from my findings that I do not accept the evidence of either Stewart or Hopkins that Bell thought it could, and intended to, operate the full-length thermal system indefinitely. The evidence to the contrary is overwhelming.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am satisfied on all of the evidence that, contrary to Bell's assertion, Alberta Environment would not permit the indefinite operation of the full-length treatment facility and, more likely than not, its operation would have been curtailed upon the expiry of licences on November 1, 1996. The regulators were likely to compel the full-length thermal treatment facility to be decommissioned but no decision requiring the plant to be decommissioned had been made at the time of the fire. Decommissioning at November 1, 1996 or at some fixed date as a condition of licence renewal was not a certainty.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question is whether the probability that use of the full-length tank would have ceased in November 1996 should compel me to conclude that the fire which occurred some 18 months earlier did not cause the portion of the claim that results from the requirement to comply with any law, by-law, regulation or ordinance.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governing legal principle is that notwithstanding the existence of an intention to demolish, property that is not legally condemned, or required to be demolished, removed or decommissioned, is subject to indemnity in the event of damage or destruction by an insured peril (Datatech Systems Limited v. Commonwealth Insurance Company </w:t>
      </w:r>
      <w:hyperlink r:id="rId142" w:history="1">
        <w:r>
          <w:rPr>
            <w:rFonts w:ascii="arial" w:eastAsia="arial" w:hAnsi="arial" w:cs="arial"/>
            <w:i/>
            <w:color w:val="0077CC"/>
            <w:sz w:val="20"/>
            <w:u w:val="single"/>
            <w:shd w:val="clear" w:color="auto" w:fill="FFFFFF"/>
            <w:lang w:val="en-US" w:eastAsia="en-US" w:bidi="ar-SA"/>
          </w:rPr>
          <w:t>(1983), 48 B.C.L.R. 116</w:t>
        </w:r>
      </w:hyperlink>
      <w:r>
        <w:rPr>
          <w:rFonts w:ascii="arial" w:eastAsia="arial" w:hAnsi="arial" w:cs="arial"/>
          <w:color w:val="000000"/>
          <w:sz w:val="20"/>
          <w:lang w:val="en-US" w:eastAsia="en-US" w:bidi="ar-SA"/>
        </w:rPr>
        <w:t xml:space="preserve"> (C.A.)). As no such legal cloud attached to the full-length tank at the date of the fire, the insurers are obliged to indemnify Bell at least to the extent of the replacement cost of the full-length tank.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insurers contend that a different principle should apply in relation to the portion of the cost associated with replacement resulting from the requirements of a law, by-law, regulation or ordinance. The point has not been the subject of prior judicial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 need not consider the result that would ensue if a regulatory authority had made a binding order to demolish or discontinue use before the fire. I need not consider the result that would ensue had Bell made a decision to proceed with demolition and replacement. I need only concern myself with Bell's entitlement to indemnity under the Master 10 policy where the spectre of an order for removal is apparent but not yet a reality and Bell has made no decision to demolish or decommission the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my opinion the insurers cannot avoid the obligation to indemnify by saying that at some point in the future, more likely than not, a regulatory authority was going to require removal of the full-length tank and the substitution of a pressure facility. Acceptance of that point of view would require the court to judge contractual rights and obligations on the basis of speculation rather than reality and that, in my opinion, is a course to be avoided. The insurers are obliged to indemnify Bell in respect of any by-law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To What Portion of the Cost of the Pressure Facility does By-law Coverage Extend?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 find, on all of the evidence, that the fire and building codes of Alberta would have required Bell to spend at least $250,000 more than the replacement cost of the full-length tank had it been able to obtain approval for the replacement of that tank. Changes to the codes since 1979 would have necessitated such expenditures. It is not necessary to review the evidence in support of the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Bell chose not to apply for approval of a new full-length tank but to proceed, instead, with the substitution of a state of the art pressure facility. As I have previously discussed in relation to causation, Alberta Environment would not have approved the reconstruction of a thermal facility. I am satisfied that the fire code and building code would have required Bell to incur additional costs in excess of $250,000 to ensure that the pressure facility complied with those codes no matter what design had been selected.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Having regard for my conclusion with respect to the by-law coverage limit, however, Bell is only entitled to recover the sum of $250,000 over and above the replacement cost of the full-length tank.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Strictly speaking it is unnecessary for me to consider the kinds of costs and expenses to which by-law coverage would extend under the Master 10 policy if the limit exceeded $250,000. I propose to do so, however, in order that findings of fact that could be relevant to the eventual disposition of this matter will be on the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A number of factors affect entitlement to indemnity under the by-law coverage provision of the Master 10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First, there must be in force a law, by-law, regulation or ordinance restricting or prohibiting repair, replacement or reinstatement of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Second, the insurer's maximum additional liability is based on the cost of repairing, replacing or reinstating the property on the same site, with property of like size, function and style to the minimum standards required by law, having due regard to changes required by any law, by-law, regulation or ordinance.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Third, the obligation to pay the additional amount only arises in the event of actual repair or replacement.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Fourth, repair or replacement must be executed with due diligence and dispatch.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At the outset I reiterate that the text of the Master 10 policy originated with Aon and not the insurers. The evidence of Woode and Muirhead satisfies me that the brokerage pressed the insurers to accept the terms of the policy. The contra proferentum rule of construction suggests that, in this case, ambiguities in the wording of the Master 10 policy should be construed against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fire and building codes were laws in force in the province of Alberta. An interested party could look at either code and determine what had to be done to ensure that either a thermal or pressure treating facility would comply with the applicable provisions of each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Each code authorized the responsible administrative official to exercise discretion to substitute equivalent requirements when strict conformity was not possible or was undesirable for some sufficient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In the case of the Environmental Protection and Enhancement Act, S.A. 1992, c. E-13.3, the situation is different. Section 58 of the Act prohibited a person from commencing or continuing any activity designated by the regulations to require an approval unless that person held the appropriate approval. The operation of a wood treatment plant was a designated activity. It follows that, to the extent Bell could only obtain approval to construct a pressure facility, it was required by law, namely s. 58, to create a replacement that was different from the property which was destroyed. The legal point is the extent to which the costs incurred, other than as a consequence of the application of the fire or building code, fall within the by-law coverage provision of the Master 10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Section 65(1) of the Act confers discretion upon the person designated by the minister as the Director for purposes of the Act to issue or refuse to issue an approval. Section 65(2) authorizes the Director to issue an approval subject to any terms and conditions the Director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One cannot look at the Act or the regulations promulgated under it to determine what must be done to obtain the discretionary approval. One does know that the full-length tank could not be replaced without the Director's approval, by virtue of s. 58 of the Act, unless that provision did not apply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insurers argued that the replacement of the full-length tank after the fire could be regarded as occurring in the normal course of operations within the meaning of s. 64 of the Act so that approval was not required. Section 64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64(1) No person shall in any manner change an activity that is the subject of an approval unless an approval or an amendment to an approval authorizing the change is issued by the Director.</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wishes to change an activity under subsection (1) shall apply to the Director in accordance with the regulations.</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section does not apply to adjustments, repairs, replacements or maintenance made in the normal course of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Contrary to the insurers' assertion, I do not see how replacement of a facility that had been destroyed in a fire could be regarded as a replacement in the normal course of operations so as to invoke the protection of s. 64(3) and I would not regard it as such.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Regardless, two difficulties remain in relation to the question whether by-law coverage applies in the context of a discretionary approval. The first is that a discretionary approval is not a law, by-law, regulation or ordinance that is in force within the meaning of the Master 10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evidence of Mr. Nagendran, an official employed by Alberta Environment, was that the department required conformity with federal "guidelines" that had been issued setting forth desired standards for the construction of PCP wood treating facilities and it did so in this case. The guidelines were not a law in force federally or in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word "law" connotes a statutory provision or common law principle that creates a legal right or liability. It is something that is known with reasonable certainty. In common parlance, a discretionary power of approval is not a law, a by-law, a regulation or an ordinance. In my opinion, the costs and expenses associated with implementation of the discretionary terms and conditions attached to an approval are not those to which by-law coverage extends on the wording of the Master 10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second difficulty is that even if a discretionary approval should be construed as a law in force for purposes of by-law coverage, one is unable to determine the "minimum standards" applicable in the exercise of that discretion so as to be able to quantify the insurer's liability. Under the Master 10 policy, the insurer's liability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cost of repairing, replacing or reinstating the property on the same site, with property of like size, function and style to the minimum standards required by law, having due regard to changes required by any law, bylaw, regulation or ordinance.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difficulty associated with an interpretation of the policy that affords discretionary approval the status of a law in force in relation to which minimum standards can be identified is readily apparent. Neither the insured nor the insurer can estimate, in any meaningful sense, the cost of complying with a discretionary approval until application is made and approval is given. Moreover, it will not be known whether the proposal approved contains minimum standards or something more. As a result Bell cannot properly estimate its by-law exposure. The insurers are not in a position to properly assess risk in order to determine a premium.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difficulty is evident in the present case. The upgrade committee recommended replacement of the thermal full-length facility with a pressure facility at an estimated cost of $2.5 million disbursed over a period of seven years. The cost of the new state of the art facility in the proposal approved by the Director contained all of the elements Bell wanted and resulted in expenditures in excess of $4.8 million. One cannot differentiate with any degree of certainty between those costs that resulted from the Director's minimum standards and those that resulted from choices made by Bell that were endorsed by the Director. At the same time, some differentiation is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Part of the additional cost associated with the new pressure facility resulted from the fact that Bell chose to construct at a location remote from that of the full-length tank in order to avoid the cost of remediating the soil or posting a bond. While the Director approved the relocation, there was no law in force requiring relocation. Bell chose relocation having regard for its own economic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relocation necessitated the construction of a new tank farm, a new boiler and associated piping. The Director exercised discretion to approve Bell's choices in relation to these matters but these aspects of the approval were not required by any law in force at the time. The cost associated with relocation of approximately $1.5 million as well as the costs of the tank farm, boiler and related facilities are not recoverable from the insurers as they were the result of the exercise of choice and not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Similarly, no law in force required the housing of the pressure cylinder in a building. There is no evidence that the Director required it to be so housed as a condition of approval. In fact, the upgrade committee had proposed that there be no building. The cost of the building derives from choice rather than the minimum standard of any law. Its cost is not recoverable from the insurers.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efficiency of the new facility was enhanced by the construction of a transfer deck. The deck was not a requirement of any law. There is no evidence that the Director required the deck as a condition of approval. The cost attributable to it derives from a choice made by Bell rather than a law and is not recoverable from the insurers.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Bell installed state of the art computer controls and in the new pressure facility. The kind of technology employed was not required by any law that was in force nor is there any evidence it was imposed as a condition of approval. The cost derives from choice rather than any law and is not recoverable from the insurers.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If I had not limited by-law coverage to $250,000, I would have assessed that amount that Bell could recover from the insurers at $1.3 million, inclusive of the agreed replacement cost of $464,525.51.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amount is determined by deducting from the sum of $4,853,706.92 the aggregate of costs therein related to the building, the relocation, the tank farm, boiler and related facilities, the transfer deck and the computer controls.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Pollution Exclusion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Master 10 policy limited liability in respect of damage caused by pollution or contamination. Standard Condition 28 provided as follows:</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POLLUTION AND CONTAMINATION EXCLUSIONS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policy does not insure any loss or damage resulting from the discharge, seepage or spill of any contaminant or pollutant; however, this exclusion shall not apply to:</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or damage to insured property caused by a peril not otherwise excluded occurring directly as a result of such discharge, seepage or spill:</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or damage to insured property caused by such discharge, seepage or spill if resulting directly from a peril not otherwise excluded occurring to insured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policy does not insure any costs, fines, penalties or expenses: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imposed on the Insured,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incurred by the Insured, or</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sustained by the Insured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order of any Government Agency, Government Authority or Court in connection with any kind or description of environmental impairment, including seepage or pollution or contamination from any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 interpret the first part of the pollution exclusion to apply to damage to insured property caused by pollution or contamination. No such damage occurred in this case. The damage resulted from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second part of the exclusion pertains to costs, fines, or penalties imposed upon or sustained by the insured, or expenses incurred by the insured at the order of an authority in connection with environmental impairment of any kind. In this case, there was no such order. Moreover, none of the costs incurred by Bell and claimed from the insurers under the policy pertained to contamination or impairment that had been caused by the operation of the full-length tank. The exclusion would have applied, as an example, to the cost of remediating the old location had reconstruction occurred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insurers cannot deny liability in the circumstances of this case by reference to the pollution exclusion.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Claim Against Aon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Bell's claim against Aon is based, in part, on the allegation that Aon negligently facilitated the supply of an intentionally false description of property to Commonwealth through a questionnaire to which Aon responded on behalf of Bell without having consulted with Bell about an answer given in relation to by-law exposure. I have rejected the so-called misrepresentation defence. Bell's claim against Aon, to the extent it is based on Aon's role in a misrepresentation, therefore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Bell also claims against Aon on the basis that Aon was negligent in not consulting with Bell about the adequacy of by-law coverage in the period from the fall of 1985 when the limit was increased to $250,000 to the fire in 1995. Bell says that if it had known that more by-law coverage was available, it would have obtained and paid for it so as not to be affected by a sub-limit of $250,000.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 have found as fact that Bell wanted to limit its by-law coverage to $250,000 and intended that result when it completed the statement of values in each year from 1985 through 1995. In so finding, I have rejected Stewart's evidence and, consequentially, Bell's alternative claim against Aon. No act of Aon, negligent or otherwise, caused any loss to the extent Bell was under-insured in relation to its by-law exposure.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Bell's action against Aon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Business Interruption Extra Expense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insurers have paid Bell the sum of $757,682.57 on account of this claim. The sum represents the agreed amount of extra expense for the period from the date of the fire to November 30, 1995. Bell claims indemnity to July 1996 when the pressure facility became operational.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insurers claim that the maximum term of extra expense recovery is 12 months as stipulated in clause 1 of Section B3 of the Master 10 policy. Bell says the term may be increased beyond 12 months where the increase results from the operation of any law regulating replacement or reconstruction.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Section B3 of the Master 10 policy provides for payment of extra expenses resulting from an interruption to the business caused by the loss, damage or destruction of property insured under the policy. Extra expense is a defined term but, in general, represents the increased operating costs occasioned by the damage to, or loss or destruction of, insured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A portion of clause 1 of Section B3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Insurers' liability for such incurred Extra Expense (as defined herein), shall be for the period of time as the business of the Insured is affected by the loss, destruction or damage (commencing with the date of the loss but not limited by the date of expiration of this policy and not exceeding twelve (12) consecutive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Clause 6 of Section B3 provides as follows:</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 Condition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event that loss recoverable under this policy section is increased due to the operation of any law(s) and/or ordinance(s) regulating the demolition, replacement, repair, reconstruction or use of the property, the Insurers shall be liable for such increase in loss, but only to the extent of conformity with the minimum standards of such laws or ordinances as are in force at the time of demolition, replacement, repair or reconstruction.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intended relationship between clauses 1 and 6 is not clear. The use of the words "additional condition" lends support to Bell's claim that clause 6 augments the extent of the claim that may be made under clause 1. At the same time, the intent of policy section B3 appears to be to provide extra expense compensation for a period of time that is quite clearly specified to be no more than 12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Clause 6 makes no reference to the extension of the period of compensation. It is directed, instead, to increasing the quantum of expenses during the compensation period. Clause 6 only imposes liability upon the insurer for the increase in extra expense loss resulting from the operation of law. It assumes that the base obligation to cover extra expense not attributable to the operation of law is satisfied elsewhere in policy section B3.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It would be anomalous if clause 6 should provide for the payment of the amount of an increase, that being all to which it refers, beyond a period of 12 consecutive months when no other clause in the policy section can be construed to impose an obligation to pay the base amount after the expiry of 12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In my opinion clause 6 of policy section B3 should be construed to affect only the calculation of the amount of extra expense and not to extend the period of compensation beyond a period of 12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It remains to be decided whether the insurers have fully compensated Bell by paying additional expense through November 1995 or whether additional extra expense is payable. The insurers focused on a period ending November 30, 1995 on the basis that a direct replacement of the full-length tank could have been completed by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insurers' argument is premised on the assumption that the replacement would be considered as one made in the normal course of operations so that approval would not be required. I have rejected that submission for the reasons discussed in relation to the costs to which by-law coverage extends.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insurers say as an alternative that the upgrade committee concluded that one possible form of replacement was an above ground pressure facility on the site of the old full-length tank with a completion date of December 1995. They say that should be the maximum term for extra expense coverage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alternative ignored the fact that replacement would have been delayed by the requirement to remediate the site of the old full-length tank before any new construction could proceed. There was no evidence of the time that would be required to remediate had that course been chosen.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policy section specified that Bell's obligation in relation to extra expense coverage was to proceed as soon as practicable to curtail such expenses. On all of the evidence I conclude that the reasonable period in which that could have been done, had Bell not chosen to build the sophisticated state of the art kind of facility it did, would have extended beyond November 30,1995 to February 29, 1996. Bell is entitled to additional extra expense compensation of $193,668.34. My award in that regard reflects the parties' agreement with respect to the monthly amount of extra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In summary, Bell shall have judgment for the sum of $250,000 in respect of by-law coverage and $193,668.34 in respect of extra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Bell's claim against Aon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In the absence of agreement, the parties may speak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PITFIELD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1"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49" w:history="1">
        <w:r>
          <w:rPr>
            <w:rFonts w:ascii="arial" w:eastAsia="arial" w:hAnsi="arial" w:cs="arial"/>
            <w:b/>
            <w:bCs/>
            <w:i/>
            <w:color w:val="0077CC"/>
            <w:kern w:val="32"/>
            <w:sz w:val="28"/>
            <w:szCs w:val="32"/>
            <w:u w:val="single"/>
            <w:shd w:val="clear" w:color="auto" w:fill="FFFFFF"/>
            <w:lang w:val="en-US" w:eastAsia="en-US" w:bidi="ar-SA"/>
          </w:rPr>
          <w:t>Braun v. Whistler Mountain Resort Limited Partnership, [2016] B.C.J. No. 2528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T.M. McEwan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Heard: October 26, 2016.</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October 26, 2016.</w:t>
      </w:r>
    </w:p>
    <w:p>
      <w:pPr>
        <w:spacing w:before="120" w:line="260" w:lineRule="atLeast"/>
        <w:jc w:val="center"/>
        <w:rPr>
          <w:lang w:val="en-US" w:eastAsia="en-US" w:bidi="ar-SA"/>
        </w:rPr>
      </w:pPr>
      <w:r>
        <w:rPr>
          <w:rFonts w:ascii="arial" w:eastAsia="arial" w:hAnsi="arial" w:cs="arial"/>
          <w:color w:val="000000"/>
          <w:sz w:val="20"/>
          <w:lang w:val="en-US" w:eastAsia="en-US" w:bidi="ar-SA"/>
        </w:rPr>
        <w:t>Docket: S122373</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[2016] B.C.J. No. 2528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2016 BCSC 2259</w:t>
      </w:r>
    </w:p>
    <w:p>
      <w:pPr>
        <w:spacing w:before="120" w:line="260" w:lineRule="atLeast"/>
        <w:rPr>
          <w:lang w:val="en-US" w:eastAsia="en-US" w:bidi="ar-SA"/>
        </w:rPr>
      </w:pPr>
      <w:r>
        <w:rPr>
          <w:rFonts w:ascii="arial" w:eastAsia="arial" w:hAnsi="arial" w:cs="arial"/>
          <w:color w:val="000000"/>
          <w:sz w:val="20"/>
          <w:lang w:val="en-US" w:eastAsia="en-US" w:bidi="ar-SA"/>
        </w:rPr>
        <w:t>Between Martin Braun, Plaintiff, and Whistler Mountain Resort Limited Partnership, Blackcomb Skiing Enterprises Limited Partnership and Bernie Yau,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(20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52" style="position:absolute;z-index:25166336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5" w:name="Keywords_4"/>
      <w:bookmarkEnd w:id="35"/>
      <w:r>
        <w:rPr>
          <w:rFonts w:ascii="arial" w:eastAsia="arial" w:hAnsi="arial" w:cs="arial"/>
          <w:b/>
          <w:color w:val="000000"/>
          <w:sz w:val="20"/>
          <w:lang w:val="en-US" w:eastAsia="en-US" w:bidi="ar-SA"/>
        </w:rPr>
        <w:t>Tort law — Defences — Release — Application by ski hill and instructor for order binding Braun to terms and conditions of release signed prior to skiing allowed, and Braun's action dismissed — Prior to taking ski lesson, Braun signed waiver releasing hill and employees from liability for losses associated with skiing — Braun assumed risk when he undertook to ski down hill instructor had negotiated safely which other students assessed as too difficult — Braun considered himself expert — Hitting icy patch was common hazard of skiing — Nothing before court set up defence to defendants' claim that waiver applied to exclude them from liability for Braun's injuries.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36" w:name="Case Summary_4"/>
            <w:bookmarkEnd w:id="36"/>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Whistler, Blackcomb and Yau for an order binding Braun to the terms and conditions of the exclusion of liability set forth in a release he signed prior to taking a ski lesson. They maintained it precluded Braun from recovering from the defendants for any loss sustained in a skiing accident at Whistler mountain on April 4, 2010. Yau was a Level 3 certified ski instructor. Braun was a 51-year-old who described himself as an expert skier. He was part of a group being led by Yau to a hill which was bordered by a cliff and involved the negotiation of a gully. Yau and another skier negotiated the hill safely prior to Braun, who turned left to avoid the cliff, hit an icy patch at the bottom of the gully, and fell. The hill was in an area of Whistler not attended to, but not clearly out of bound of the waiver Braun signed. Other skiers in the group, judging the hill to be too challenging, did not attempt to ski it. </w:t>
            </w:r>
            <w:r>
              <w:rPr>
                <w:lang w:val="en-US" w:eastAsia="en-US" w:bidi="ar-SA"/>
              </w:rPr>
              <w:cr/>
            </w:r>
          </w:p>
          <w:p>
            <w:pPr>
              <w:spacing w:before="120" w:line="260" w:lineRule="atLeast"/>
              <w:ind w:left="240"/>
              <w:jc w:val="both"/>
              <w:rPr>
                <w:lang w:val="en-US" w:eastAsia="en-US" w:bidi="ar-SA"/>
              </w:rPr>
            </w:pPr>
            <w:bookmarkStart w:id="37" w:name="Holdings of Court_4"/>
            <w:bookmarkEnd w:id="37"/>
            <w:r>
              <w:rPr>
                <w:rFonts w:ascii="arial" w:eastAsia="arial" w:hAnsi="arial" w:cs="arial"/>
                <w:color w:val="000000"/>
                <w:sz w:val="20"/>
                <w:lang w:val="en-US" w:eastAsia="en-US" w:bidi="ar-SA"/>
              </w:rPr>
              <w:t>HELD: Application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Braun's action was dismissed. On his own evidence, Braun assumed a risk on the basis of his assessment of his own abilities. Hitting an icy patch was a common hazard of skiing. Nothing before the court set up a defence to the defendants' claim that there was a written waiver, releasing the defendants from liability for losses resulting from the risks Braun voluntarily assumed. </w:t>
            </w:r>
            <w:r>
              <w:rPr>
                <w:lang w:val="en-US" w:eastAsia="en-US" w:bidi="ar-SA"/>
              </w:rPr>
              <w:cr/>
            </w:r>
          </w:p>
          <w:p>
            <w:pPr>
              <w:rPr>
                <w:lang w:val="en-US" w:eastAsia="en-US" w:bidi="ar-SA"/>
              </w:rPr>
            </w:pPr>
          </w:p>
        </w:tc>
      </w:tr>
    </w:tbl>
    <w:p>
      <w:pPr>
        <w:jc w:val="both"/>
        <w:rPr>
          <w:lang w:val="en-US" w:eastAsia="en-US" w:bidi="ar-SA"/>
        </w:rPr>
      </w:pPr>
      <w:bookmarkStart w:id="38" w:name="Counsel_4"/>
      <w:bookmarkEnd w:id="3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53" style="position:absolute;z-index:25171456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J.M. Cameron.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R.B.J. Kennedy Q.C.</w:t>
      </w:r>
      <w:r>
        <w:rPr>
          <w:lang w:val="en-US" w:eastAsia="en-US" w:bidi="ar-SA"/>
        </w:rPr>
        <w:cr/>
      </w:r>
    </w:p>
    <w:p>
      <w:pPr>
        <w:spacing w:after="240"/>
        <w:rPr>
          <w:lang w:val="en-US" w:eastAsia="en-US" w:bidi="ar-SA"/>
        </w:rPr>
      </w:pPr>
      <w:bookmarkStart w:id="39" w:name="Judgment_4"/>
      <w:bookmarkEnd w:id="39"/>
      <w:r>
        <w:pict>
          <v:line id="_x0000_s1054" style="position:absolute;z-index:251765760"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Oral 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40" w:name="T.M. McEWAN J. (orally)"/>
            <w:bookmarkEnd w:id="40"/>
            <w:r>
              <w:rPr>
                <w:rFonts w:ascii="arial" w:eastAsia="arial" w:hAnsi="arial" w:cs="arial"/>
                <w:b/>
                <w:color w:val="000000"/>
                <w:sz w:val="30"/>
                <w:lang w:val="en-US" w:eastAsia="en-US" w:bidi="ar-SA"/>
              </w:rPr>
              <w:t>T.M. McEWAN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apply, among other things, for an order that the plaintiff is bound by the terms and conditions of the exclusion of liability set forth in a "release of liability, waiver of claims and assumption of risks agreement" ("the release") signed by the plaintiff on April 3, 2010, prior to the plaintiff participating in a Ski School lesson on April 4, 2010. They maintain that it precludes the plaintiff from recovering from the defendants, Whistler Mountain Resort Limited Partnership, Blackcomb Skiing Enterprises Limited Partnership, and Bernie Yau (collectively "the defendants"), for any injury, loss, damage or expense which may have been sustained by the plaintiff as a result of a skiing accident on April 4, 2010, at Whistler Mountain, referred to in paragraph 7 and 9 of the amended notice of civil claim. On that basis, the defendants seek dismissal of the action against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a motion brought just before this one, I acceded to the plaintiff's request that an amendment be permitted to the pleadings to include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Having done so, I am satisfied that the broadest possible characterization of the issues between the parties has been made on the pleadings, and I am also satisfied on reading the release that it is drafted in such a way as to include nearly every conceivable form of neglect or want of duty that might be imposed on Whistler Blackcomb. That is not, however, the end of the analysis that is required.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facts are, in my view, straightforward. The defendant, Bernie Yau, was a dentist who was also a ski instructor, holding a Level 3 certification. He was dealing with a group of people who were generally middle aged, although there were one or two younger people. The plaintiff, himself, was 51 years of age at the time that the events that gave rise to his injuries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Essentially, what happened is that the plaintiff was at the top of a chute, where he and the group had been led by Mr. Yau. He says he is an expert skier and this area of the ski hill posed a challenge. Mr. Yau led the group down the chute and negotiated it safely, as did another person, before the plaintiff attempted it. What happened is best put in the plaintiff's own word, and I quote from the examination for discovery transcript which was entered in this proceeding </w:t>
      </w:r>
      <w:r>
        <w:rPr>
          <w:rFonts w:ascii="arial" w:eastAsia="arial" w:hAnsi="arial" w:cs="arial"/>
          <w:i/>
          <w:color w:val="000000"/>
          <w:sz w:val="20"/>
          <w:lang w:val="en-US" w:eastAsia="en-US" w:bidi="ar-SA"/>
        </w:rPr>
        <w:t>in toto</w:t>
      </w:r>
      <w:r>
        <w:rPr>
          <w:rFonts w:ascii="arial" w:eastAsia="arial" w:hAnsi="arial" w:cs="arial"/>
          <w:color w:val="000000"/>
          <w:sz w:val="20"/>
          <w:lang w:val="en-US" w:eastAsia="en-US" w:bidi="ar-SA"/>
        </w:rPr>
        <w:t>. Question 536, at page 86:</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536 Q Okay. And from my understanding of your description of the accident, you didn't actually go over a cliff, you simply had an accident near where there was a cliff; is that correct?</w:t>
      </w:r>
    </w:p>
    <w:p>
      <w:pPr>
        <w:spacing w:before="120" w:line="260" w:lineRule="atLeast"/>
        <w:ind w:left="720"/>
        <w:rPr>
          <w:lang w:val="en-US" w:eastAsia="en-US" w:bidi="ar-SA"/>
        </w:rPr>
      </w:pPr>
      <w:r>
        <w:rPr>
          <w:rFonts w:ascii="arial" w:eastAsia="arial" w:hAnsi="arial" w:cs="arial"/>
          <w:color w:val="000000"/>
          <w:sz w:val="20"/>
          <w:lang w:val="en-US" w:eastAsia="en-US" w:bidi="ar-SA"/>
        </w:rPr>
        <w:t>A Yes.</w:t>
      </w:r>
    </w:p>
    <w:p>
      <w:pPr>
        <w:spacing w:before="120" w:line="260" w:lineRule="atLeast"/>
        <w:ind w:left="720"/>
        <w:rPr>
          <w:lang w:val="en-US" w:eastAsia="en-US" w:bidi="ar-SA"/>
        </w:rPr>
      </w:pPr>
      <w:r>
        <w:rPr>
          <w:rFonts w:ascii="arial" w:eastAsia="arial" w:hAnsi="arial" w:cs="arial"/>
          <w:color w:val="000000"/>
          <w:sz w:val="20"/>
          <w:lang w:val="en-US" w:eastAsia="en-US" w:bidi="ar-SA"/>
        </w:rPr>
        <w:t>537 Q Okay. And I take it that when you were at the top of the gully that you described, you looked down the slope, and you felt that skiing that slope was within your ability as an expert skier; is that correct?</w:t>
      </w:r>
    </w:p>
    <w:p>
      <w:pPr>
        <w:spacing w:before="120" w:line="260" w:lineRule="atLeast"/>
        <w:ind w:left="720"/>
        <w:rPr>
          <w:lang w:val="en-US" w:eastAsia="en-US" w:bidi="ar-SA"/>
        </w:rPr>
      </w:pPr>
      <w:r>
        <w:rPr>
          <w:rFonts w:ascii="arial" w:eastAsia="arial" w:hAnsi="arial" w:cs="arial"/>
          <w:color w:val="000000"/>
          <w:sz w:val="20"/>
          <w:lang w:val="en-US" w:eastAsia="en-US" w:bidi="ar-SA"/>
        </w:rPr>
        <w:t>A Yeah, the -- probably at the marginal end of it, because there was a cliff at the end of the gully. You know, that's a little scary, so if you'd, you know, go too fast on that gully, you're going to go over the cliff.</w:t>
      </w:r>
    </w:p>
    <w:p>
      <w:pPr>
        <w:spacing w:before="120" w:line="260" w:lineRule="atLeast"/>
        <w:ind w:left="720"/>
        <w:rPr>
          <w:lang w:val="en-US" w:eastAsia="en-US" w:bidi="ar-SA"/>
        </w:rPr>
      </w:pPr>
      <w:r>
        <w:rPr>
          <w:rFonts w:ascii="arial" w:eastAsia="arial" w:hAnsi="arial" w:cs="arial"/>
          <w:color w:val="000000"/>
          <w:sz w:val="20"/>
          <w:lang w:val="en-US" w:eastAsia="en-US" w:bidi="ar-SA"/>
        </w:rPr>
        <w:t>538 Q Right.</w:t>
      </w:r>
    </w:p>
    <w:p>
      <w:pPr>
        <w:spacing w:before="120" w:line="260" w:lineRule="atLeast"/>
        <w:ind w:left="720"/>
        <w:rPr>
          <w:lang w:val="en-US" w:eastAsia="en-US" w:bidi="ar-SA"/>
        </w:rPr>
      </w:pPr>
      <w:r>
        <w:rPr>
          <w:rFonts w:ascii="arial" w:eastAsia="arial" w:hAnsi="arial" w:cs="arial"/>
          <w:color w:val="000000"/>
          <w:sz w:val="20"/>
          <w:lang w:val="en-US" w:eastAsia="en-US" w:bidi="ar-SA"/>
        </w:rPr>
        <w:t>A Yeah.</w:t>
      </w:r>
    </w:p>
    <w:p>
      <w:pPr>
        <w:spacing w:before="120" w:line="260" w:lineRule="atLeast"/>
        <w:ind w:left="720"/>
        <w:rPr>
          <w:lang w:val="en-US" w:eastAsia="en-US" w:bidi="ar-SA"/>
        </w:rPr>
      </w:pPr>
      <w:r>
        <w:rPr>
          <w:rFonts w:ascii="arial" w:eastAsia="arial" w:hAnsi="arial" w:cs="arial"/>
          <w:color w:val="000000"/>
          <w:sz w:val="20"/>
          <w:lang w:val="en-US" w:eastAsia="en-US" w:bidi="ar-SA"/>
        </w:rPr>
        <w:t>539 Q But I take it that skiing anywhere at Whistler Blackcomb you have to avoid cliffs on sides of runs and trees and rocks and --</w:t>
      </w:r>
    </w:p>
    <w:p>
      <w:pPr>
        <w:spacing w:before="120" w:line="260" w:lineRule="atLeast"/>
        <w:ind w:left="720"/>
        <w:rPr>
          <w:lang w:val="en-US" w:eastAsia="en-US" w:bidi="ar-SA"/>
        </w:rPr>
      </w:pPr>
      <w:r>
        <w:rPr>
          <w:rFonts w:ascii="arial" w:eastAsia="arial" w:hAnsi="arial" w:cs="arial"/>
          <w:color w:val="000000"/>
          <w:sz w:val="20"/>
          <w:lang w:val="en-US" w:eastAsia="en-US" w:bidi="ar-SA"/>
        </w:rPr>
        <w:t>A Yes.</w:t>
      </w:r>
    </w:p>
    <w:p>
      <w:pPr>
        <w:spacing w:before="120" w:line="260" w:lineRule="atLeast"/>
        <w:ind w:left="720"/>
        <w:rPr>
          <w:lang w:val="en-US" w:eastAsia="en-US" w:bidi="ar-SA"/>
        </w:rPr>
      </w:pPr>
      <w:r>
        <w:rPr>
          <w:rFonts w:ascii="arial" w:eastAsia="arial" w:hAnsi="arial" w:cs="arial"/>
          <w:color w:val="000000"/>
          <w:sz w:val="20"/>
          <w:lang w:val="en-US" w:eastAsia="en-US" w:bidi="ar-SA"/>
        </w:rPr>
        <w:t>540 Q -- other sorts of obstacles; is that correct?</w:t>
      </w:r>
    </w:p>
    <w:p>
      <w:pPr>
        <w:spacing w:before="120" w:line="260" w:lineRule="atLeast"/>
        <w:ind w:left="720"/>
        <w:rPr>
          <w:lang w:val="en-US" w:eastAsia="en-US" w:bidi="ar-SA"/>
        </w:rPr>
      </w:pPr>
      <w:r>
        <w:rPr>
          <w:rFonts w:ascii="arial" w:eastAsia="arial" w:hAnsi="arial" w:cs="arial"/>
          <w:color w:val="000000"/>
          <w:sz w:val="20"/>
          <w:lang w:val="en-US" w:eastAsia="en-US" w:bidi="ar-SA"/>
        </w:rPr>
        <w:t>A Yes.</w:t>
      </w:r>
    </w:p>
    <w:p>
      <w:pPr>
        <w:spacing w:before="120" w:line="260" w:lineRule="atLeast"/>
        <w:ind w:left="720"/>
        <w:rPr>
          <w:lang w:val="en-US" w:eastAsia="en-US" w:bidi="ar-SA"/>
        </w:rPr>
      </w:pPr>
      <w:r>
        <w:rPr>
          <w:rFonts w:ascii="arial" w:eastAsia="arial" w:hAnsi="arial" w:cs="arial"/>
          <w:color w:val="000000"/>
          <w:sz w:val="20"/>
          <w:lang w:val="en-US" w:eastAsia="en-US" w:bidi="ar-SA"/>
        </w:rPr>
        <w:t>541 Q And the better skier you are, the steeper a slope you can ski, and the faster you can ski and still avoid those obstacles; is that correct?</w:t>
      </w:r>
    </w:p>
    <w:p>
      <w:pPr>
        <w:spacing w:before="120" w:line="260" w:lineRule="atLeast"/>
        <w:ind w:left="720"/>
        <w:rPr>
          <w:lang w:val="en-US" w:eastAsia="en-US" w:bidi="ar-SA"/>
        </w:rPr>
      </w:pPr>
      <w:r>
        <w:rPr>
          <w:rFonts w:ascii="arial" w:eastAsia="arial" w:hAnsi="arial" w:cs="arial"/>
          <w:color w:val="000000"/>
          <w:sz w:val="20"/>
          <w:lang w:val="en-US" w:eastAsia="en-US" w:bidi="ar-SA"/>
        </w:rPr>
        <w:t>A Yeah, within the realms of human possibility. Yes.</w:t>
      </w:r>
    </w:p>
    <w:p>
      <w:pPr>
        <w:spacing w:before="120" w:line="260" w:lineRule="atLeast"/>
        <w:ind w:left="720"/>
        <w:rPr>
          <w:lang w:val="en-US" w:eastAsia="en-US" w:bidi="ar-SA"/>
        </w:rPr>
      </w:pPr>
      <w:r>
        <w:rPr>
          <w:rFonts w:ascii="arial" w:eastAsia="arial" w:hAnsi="arial" w:cs="arial"/>
          <w:color w:val="000000"/>
          <w:sz w:val="20"/>
          <w:lang w:val="en-US" w:eastAsia="en-US" w:bidi="ar-SA"/>
        </w:rPr>
        <w:t>542 Q Okay. And in fact you did avoid the cliff because you did make the turn to the left; is that correct?</w:t>
      </w:r>
    </w:p>
    <w:p>
      <w:pPr>
        <w:spacing w:before="120" w:line="260" w:lineRule="atLeast"/>
        <w:ind w:left="720"/>
        <w:rPr>
          <w:lang w:val="en-US" w:eastAsia="en-US" w:bidi="ar-SA"/>
        </w:rPr>
      </w:pPr>
      <w:r>
        <w:rPr>
          <w:rFonts w:ascii="arial" w:eastAsia="arial" w:hAnsi="arial" w:cs="arial"/>
          <w:color w:val="000000"/>
          <w:sz w:val="20"/>
          <w:lang w:val="en-US" w:eastAsia="en-US" w:bidi="ar-SA"/>
        </w:rPr>
        <w:t>A Yes.</w:t>
      </w:r>
    </w:p>
    <w:p>
      <w:pPr>
        <w:spacing w:before="120" w:line="260" w:lineRule="atLeast"/>
        <w:ind w:left="720"/>
        <w:rPr>
          <w:lang w:val="en-US" w:eastAsia="en-US" w:bidi="ar-SA"/>
        </w:rPr>
      </w:pPr>
      <w:r>
        <w:rPr>
          <w:rFonts w:ascii="arial" w:eastAsia="arial" w:hAnsi="arial" w:cs="arial"/>
          <w:color w:val="000000"/>
          <w:sz w:val="20"/>
          <w:lang w:val="en-US" w:eastAsia="en-US" w:bidi="ar-SA"/>
        </w:rPr>
        <w:t>543 Q Okay. And so would you agree with me that skiing the gully was in and of itself within your ability as an expert skier, in that you were able to make three to four short radius turns within the gully and control your speed and direction in that manner?</w:t>
      </w:r>
    </w:p>
    <w:p>
      <w:pPr>
        <w:spacing w:before="120" w:line="260" w:lineRule="atLeast"/>
        <w:ind w:left="720"/>
        <w:rPr>
          <w:lang w:val="en-US" w:eastAsia="en-US" w:bidi="ar-SA"/>
        </w:rPr>
      </w:pPr>
      <w:r>
        <w:rPr>
          <w:rFonts w:ascii="arial" w:eastAsia="arial" w:hAnsi="arial" w:cs="arial"/>
          <w:color w:val="000000"/>
          <w:sz w:val="20"/>
          <w:lang w:val="en-US" w:eastAsia="en-US" w:bidi="ar-SA"/>
        </w:rPr>
        <w:t>A That's the million-dollar question, because it was right at the end of the gully, then, by just turning, that I avoided falling right over it, which probably would have been worse than falling two feet to the skier's left of it.</w:t>
      </w:r>
    </w:p>
    <w:p>
      <w:pPr>
        <w:spacing w:before="120" w:line="260" w:lineRule="atLeast"/>
        <w:ind w:left="720"/>
        <w:rPr>
          <w:lang w:val="en-US" w:eastAsia="en-US" w:bidi="ar-SA"/>
        </w:rPr>
      </w:pPr>
      <w:r>
        <w:rPr>
          <w:rFonts w:ascii="arial" w:eastAsia="arial" w:hAnsi="arial" w:cs="arial"/>
          <w:color w:val="000000"/>
          <w:sz w:val="20"/>
          <w:lang w:val="en-US" w:eastAsia="en-US" w:bidi="ar-SA"/>
        </w:rPr>
        <w:t>544 Q But you did make the turn to the left?</w:t>
      </w:r>
    </w:p>
    <w:p>
      <w:pPr>
        <w:spacing w:before="120" w:line="260" w:lineRule="atLeast"/>
        <w:ind w:left="720"/>
        <w:rPr>
          <w:lang w:val="en-US" w:eastAsia="en-US" w:bidi="ar-SA"/>
        </w:rPr>
      </w:pPr>
      <w:r>
        <w:rPr>
          <w:rFonts w:ascii="arial" w:eastAsia="arial" w:hAnsi="arial" w:cs="arial"/>
          <w:color w:val="000000"/>
          <w:sz w:val="20"/>
          <w:lang w:val="en-US" w:eastAsia="en-US" w:bidi="ar-SA"/>
        </w:rPr>
        <w:t>A Yes.</w:t>
      </w:r>
    </w:p>
    <w:p>
      <w:pPr>
        <w:spacing w:before="120" w:line="260" w:lineRule="atLeast"/>
        <w:ind w:left="720"/>
        <w:rPr>
          <w:lang w:val="en-US" w:eastAsia="en-US" w:bidi="ar-SA"/>
        </w:rPr>
      </w:pPr>
      <w:r>
        <w:rPr>
          <w:rFonts w:ascii="arial" w:eastAsia="arial" w:hAnsi="arial" w:cs="arial"/>
          <w:color w:val="000000"/>
          <w:sz w:val="20"/>
          <w:lang w:val="en-US" w:eastAsia="en-US" w:bidi="ar-SA"/>
        </w:rPr>
        <w:t>545 Q And, and as I understand, your fall was precipitated by hitting a change in snow condition? You hit snow conditions that you felt were icy?</w:t>
      </w:r>
    </w:p>
    <w:p>
      <w:pPr>
        <w:spacing w:before="120" w:line="260" w:lineRule="atLeast"/>
        <w:ind w:left="720"/>
        <w:rPr>
          <w:lang w:val="en-US" w:eastAsia="en-US" w:bidi="ar-SA"/>
        </w:rPr>
      </w:pPr>
      <w:r>
        <w:rPr>
          <w:rFonts w:ascii="arial" w:eastAsia="arial" w:hAnsi="arial" w:cs="arial"/>
          <w:color w:val="000000"/>
          <w:sz w:val="20"/>
          <w:lang w:val="en-US" w:eastAsia="en-US" w:bidi="ar-SA"/>
        </w:rPr>
        <w:t>A Yeah. Right at the bottom of the gully, yes.</w:t>
      </w:r>
    </w:p>
    <w:p>
      <w:pPr>
        <w:spacing w:before="120" w:line="260" w:lineRule="atLeast"/>
        <w:ind w:left="720"/>
        <w:rPr>
          <w:lang w:val="en-US" w:eastAsia="en-US" w:bidi="ar-SA"/>
        </w:rPr>
      </w:pPr>
      <w:r>
        <w:rPr>
          <w:rFonts w:ascii="arial" w:eastAsia="arial" w:hAnsi="arial" w:cs="arial"/>
          <w:color w:val="000000"/>
          <w:sz w:val="20"/>
          <w:lang w:val="en-US" w:eastAsia="en-US" w:bidi="ar-SA"/>
        </w:rPr>
        <w:t>546 Q Which caused you to fall?</w:t>
      </w:r>
    </w:p>
    <w:p>
      <w:pPr>
        <w:spacing w:before="120" w:line="260" w:lineRule="atLeast"/>
        <w:ind w:left="720"/>
        <w:rPr>
          <w:lang w:val="en-US" w:eastAsia="en-US" w:bidi="ar-SA"/>
        </w:rPr>
      </w:pPr>
      <w:r>
        <w:rPr>
          <w:rFonts w:ascii="arial" w:eastAsia="arial" w:hAnsi="arial" w:cs="arial"/>
          <w:color w:val="000000"/>
          <w:sz w:val="20"/>
          <w:lang w:val="en-US" w:eastAsia="en-US" w:bidi="ar-SA"/>
        </w:rPr>
        <w:t>A Yeah.</w:t>
      </w:r>
    </w:p>
    <w:p>
      <w:pPr>
        <w:spacing w:before="120" w:line="260" w:lineRule="atLeast"/>
        <w:ind w:left="720"/>
        <w:rPr>
          <w:lang w:val="en-US" w:eastAsia="en-US" w:bidi="ar-SA"/>
        </w:rPr>
      </w:pPr>
      <w:r>
        <w:rPr>
          <w:rFonts w:ascii="arial" w:eastAsia="arial" w:hAnsi="arial" w:cs="arial"/>
          <w:color w:val="000000"/>
          <w:sz w:val="20"/>
          <w:lang w:val="en-US" w:eastAsia="en-US" w:bidi="ar-SA"/>
        </w:rPr>
        <w:t>547 Q Okay. So the gully itself is within your ability, but maybe hitting the ice patch was something that you weren't quite prepared for?</w:t>
      </w:r>
    </w:p>
    <w:p>
      <w:pPr>
        <w:spacing w:before="120" w:line="260" w:lineRule="atLeast"/>
        <w:ind w:left="720"/>
        <w:rPr>
          <w:lang w:val="en-US" w:eastAsia="en-US" w:bidi="ar-SA"/>
        </w:rPr>
      </w:pPr>
      <w:r>
        <w:rPr>
          <w:rFonts w:ascii="arial" w:eastAsia="arial" w:hAnsi="arial" w:cs="arial"/>
          <w:color w:val="000000"/>
          <w:sz w:val="20"/>
          <w:lang w:val="en-US" w:eastAsia="en-US" w:bidi="ar-SA"/>
        </w:rPr>
        <w:t>A Yes.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is a large volume of other evidence from skiers who were at the scene the same day, and material from Mr. Yau. There are some disputes in the material about where the event took place and what the conditions were at the time, and there is some dispute in the evidence as to the nature of the hazard that was posed on that 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For the sake of the application before me, I am prepared to accept that the event took place in an area that was not part of the groomed part of the Whistler Blackcomb ski area, that is, it was within the boundaries of the ski area, but was in an area that was not attended to. There is no evidence that it was out of bounds or in an area that might not be covered by the waiver. It was simply a challenging place to ski and a place that some of the group, including the defendant Yau, managed to negotiate, and that the plaintiff, Mr. Braun, failed to negotiate.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Now, there were other skiers there who decided it was too challenging: one in particular, who slid down the chute on his backside rather than risk trying to ski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the plaintiff stood at the top of the chute, it is clear from his evidence that he estimated his ability to do it and that he was sure he could. He certainly suggested it was at the top edge of his abilities, but in terms of the overall evidence before me, that was, in a sense, partly what the whole trip was about: finding challenging skiing and areas of undisturbed powder.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all of the evidence, while there is some basis on which a court, having heard the witnesses, might find that some were more truthful than others, there is nothing that stands up against the plaintiff's own description of what happened. More than anything else, he suggests that he assumed a risk on the basis of an assessment of his own abilities and that, in fact, he negotiated the chute relatively effectively, but struck a hazard at the bottom, that is, a patch of ice. This is a very common hazard of skiing, not only in areas of the sort that this group was skiing in, but generally.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test I have got to apply in an application of this kind is strict, and it requires the court to be very careful, at this juncture before trial, not to pre-judge or to in any way preclude cases that have a chance of success.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McNaughton v. Baker</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1988 CanLII 3036</w:t>
        </w:r>
      </w:hyperlink>
      <w:r>
        <w:rPr>
          <w:rFonts w:ascii="arial" w:eastAsia="arial" w:hAnsi="arial" w:cs="arial"/>
          <w:color w:val="000000"/>
          <w:sz w:val="20"/>
          <w:lang w:val="en-US" w:eastAsia="en-US" w:bidi="ar-SA"/>
        </w:rPr>
        <w:t xml:space="preserve"> (BCCA); </w:t>
      </w:r>
      <w:hyperlink r:id="rId150" w:history="1">
        <w:r>
          <w:rPr>
            <w:rFonts w:ascii="arial" w:eastAsia="arial" w:hAnsi="arial" w:cs="arial"/>
            <w:i/>
            <w:color w:val="0077CC"/>
            <w:sz w:val="20"/>
            <w:u w:val="single"/>
            <w:shd w:val="clear" w:color="auto" w:fill="FFFFFF"/>
            <w:lang w:val="en-US" w:eastAsia="en-US" w:bidi="ar-SA"/>
          </w:rPr>
          <w:t>25 B.C.L.R. (2d) 17</w:t>
        </w:r>
      </w:hyperlink>
      <w:r>
        <w:rPr>
          <w:rFonts w:ascii="arial" w:eastAsia="arial" w:hAnsi="arial" w:cs="arial"/>
          <w:color w:val="000000"/>
          <w:sz w:val="20"/>
          <w:lang w:val="en-US" w:eastAsia="en-US" w:bidi="ar-SA"/>
        </w:rPr>
        <w:t>, the Court of Appeal considered the issue of when a court should agree to accept a proposed amendment. McLachlin J.A. (as she then was) stated, at p. 25:</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Before the courts will strike out a pleading or refuse an amendment on the ground that it discloses no reasonable cause of action or defence the case must be perfectly clear.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Citing </w:t>
      </w:r>
      <w:r>
        <w:rPr>
          <w:rFonts w:ascii="arial" w:eastAsia="arial" w:hAnsi="arial" w:cs="arial"/>
          <w:i/>
          <w:color w:val="000000"/>
          <w:sz w:val="20"/>
          <w:lang w:val="en-US" w:eastAsia="en-US" w:bidi="ar-SA"/>
        </w:rPr>
        <w:t>Minnes v. Minnes</w:t>
      </w:r>
      <w:r>
        <w:rPr>
          <w:rFonts w:ascii="arial" w:eastAsia="arial" w:hAnsi="arial" w:cs="arial"/>
          <w:color w:val="000000"/>
          <w:sz w:val="20"/>
          <w:lang w:val="en-US" w:eastAsia="en-US" w:bidi="ar-SA"/>
        </w:rPr>
        <w:t xml:space="preserve"> (1962), 39 W.W.R 112 (B.C.C.A.), McLachlin J.A. also stated, at p. 25:</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 . the power to strike out a pleading on the ground that it discloses no reasonable cause of action "should be exercised only where the case is absolutely beyond doubt."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Pasco v. Canadian National Railway</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1990 CanLII 155</w:t>
        </w:r>
      </w:hyperlink>
      <w:r>
        <w:rPr>
          <w:rFonts w:ascii="arial" w:eastAsia="arial" w:hAnsi="arial" w:cs="arial"/>
          <w:color w:val="000000"/>
          <w:sz w:val="20"/>
          <w:lang w:val="en-US" w:eastAsia="en-US" w:bidi="ar-SA"/>
        </w:rPr>
        <w:t xml:space="preserve"> (SCC); </w:t>
      </w:r>
      <w:hyperlink r:id="rId151" w:history="1">
        <w:r>
          <w:rPr>
            <w:rFonts w:ascii="arial" w:eastAsia="arial" w:hAnsi="arial" w:cs="arial"/>
            <w:i/>
            <w:color w:val="0077CC"/>
            <w:sz w:val="20"/>
            <w:u w:val="single"/>
            <w:shd w:val="clear" w:color="auto" w:fill="FFFFFF"/>
            <w:lang w:val="en-US" w:eastAsia="en-US" w:bidi="ar-SA"/>
          </w:rPr>
          <w:t>68 D.L.R. (4th) 478</w:t>
        </w:r>
      </w:hyperlink>
      <w:r>
        <w:rPr>
          <w:rFonts w:ascii="arial" w:eastAsia="arial" w:hAnsi="arial" w:cs="arial"/>
          <w:color w:val="000000"/>
          <w:sz w:val="20"/>
          <w:lang w:val="en-US" w:eastAsia="en-US" w:bidi="ar-SA"/>
        </w:rPr>
        <w:t xml:space="preserve">, the court accepted McLachlin J.A.'s reasoning in </w:t>
      </w:r>
      <w:r>
        <w:rPr>
          <w:rFonts w:ascii="arial" w:eastAsia="arial" w:hAnsi="arial" w:cs="arial"/>
          <w:i/>
          <w:color w:val="000000"/>
          <w:sz w:val="20"/>
          <w:lang w:val="en-US" w:eastAsia="en-US" w:bidi="ar-SA"/>
        </w:rPr>
        <w:t>McNaughton</w:t>
      </w:r>
      <w:r>
        <w:rPr>
          <w:rFonts w:ascii="arial" w:eastAsia="arial" w:hAnsi="arial" w:cs="arial"/>
          <w:color w:val="000000"/>
          <w:sz w:val="20"/>
          <w:lang w:val="en-US" w:eastAsia="en-US" w:bidi="ar-SA"/>
        </w:rPr>
        <w:t xml:space="preserve"> and, at pp. 479 to 480, held: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 . that pleadings should not be rejected unless they are clearly and obviously invalid.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If there is any chance at all that the claims made out in the pleadings could possibly succeed, it is my obligation to allow the matter to proceed to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difficulty on this case is that, while I have had the benefit of a great deal of assistance from counsel, in my view, it comes down to a very simple proposition that turns on what the plaintiff has said in his examination for discovery.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Nothing that I have been told and nothing in the materials, in my view, sets up a defence to the claim that there was a written waiver that was executed under circumstances that do not give rise to any of the ordinary vitiating circumstances. In the circumstances in which the plaintiff was ultimately injured, there is a clear assumption on his own part of the risk of doing what he did.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have considered it from every angle I have been able to draw out of counsel, but there is nothing in the material before me that suggests that there is a way that, in a legal sense, the burden can be shifted to the defendants from the plaintiff's own assumption of risk.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saying that, I have considered carefully the defendant's suggestion that there are certain cases where, on a public policy basis, such things as the waiver ought not to be sustained because there are overriding public policy considerations. I accept that that is the law, and I have considered the plaintiff's argument on that ground, which essentially is that in the plaintiff's case, the ski instructor, Mr. Yau, led him and his group into an area where he should never have gone, and that his affidavit evidence is self-serving, and, to some extent, misleading or inaccurate. The plaintiff submits that the court may, if there is a full hearing, conclude that that behaviour is so egregious that it overwhelms the basic facts of a waiver and a voluntary assumption of risk.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understand that argument, but I do not think that its prospect of success overwhelms the other considerations that must go into the decision I have to make. That is to say, I do not think that there is a realistic or viable claim to send forward to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a consideration of all this material, and recognizing the seriousness and the strictness of the test I must apply, there is simply no possible way, in my view, that this case has a prospect of success and, accordingly, I allow the application and the pleadings.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case is dismissed.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T.M. McEWAN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8169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58" w:history="1">
        <w:r>
          <w:rPr>
            <w:rFonts w:ascii="arial" w:eastAsia="arial" w:hAnsi="arial" w:cs="arial"/>
            <w:b/>
            <w:bCs/>
            <w:i/>
            <w:color w:val="0077CC"/>
            <w:kern w:val="32"/>
            <w:sz w:val="28"/>
            <w:szCs w:val="32"/>
            <w:u w:val="single"/>
            <w:shd w:val="clear" w:color="auto" w:fill="FFFFFF"/>
            <w:lang w:val="en-US" w:eastAsia="en-US" w:bidi="ar-SA"/>
          </w:rPr>
          <w:t>Briman Management Ltd. v. Solehdin, [2019] B.C.J. No. 2186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Iyer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9,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18,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S055727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2186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1971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Briman Management Ltd., Plaintiff, and Nizar Solehdin,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6"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1" w:name="Keywords_5"/>
      <w:bookmarkEnd w:id="41"/>
      <w:r>
        <w:rPr>
          <w:rFonts w:ascii="arial" w:eastAsia="arial" w:hAnsi="arial" w:cs="arial"/>
          <w:b/>
          <w:color w:val="000000"/>
          <w:sz w:val="20"/>
          <w:lang w:val="en-US" w:eastAsia="en-US" w:bidi="ar-SA"/>
        </w:rPr>
        <w:t>Civil litigation — Civil procedure — Disposition without trial — Dismissal of action — Delay or failure t prosecute — Application by the defendant for dismissal of the action due to delay allowed — Plaintiff sold US hotel to defendant's US company in 2010 — Plaintiff also granted loan to company which defendant personally guaranteed — Company defaulted under loan and went bankrupt — No steps taken in action for 10 years — Defendant did not waive right to complain about delay — Delay was inordinate and inexcusable — Plaintiff's delay had created a situation where defence of fraudulent misrepresentation was bound to fail.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2" w:name="Case Summary_5"/>
            <w:bookmarkEnd w:id="4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for dismissal of the action due to delay. The plaintiff sold a US hotel to Fair Vista in 2001. The defendant, the principal of Fair Vista, provided a promissory note and personal guarantee for the loan provided by the plaintiff for the purchase. Fair Vista subsequently defaulted on its loan obligations and then filed for bankruptcy in the US. The plaintiff commenced the present action in 2005 for recovery of the outstanding loan. Some pre-trial steps were taken through October 2008. After that, nothing happened until October 2018, when the plaintiff filed a notice of intention to proceed. Neither party had produced a list of documents nor had any discoveries taken place. The plaintiff argued the defendant contractually waived any right to complain about delay when he signed the Guarantee.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3" w:name="Holdings of Court_5"/>
            <w:bookmarkEnd w:id="43"/>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Delay Waiver in the Guarantee did not bar the defendant from bringing this application. The parties could not contract out of the Rules without the court's authorization and no such approval was obtained. The delay incurred was inordinate. The reason for delay in prosecuting the claim was intentional and strategic as the plaintiff wanted to first pursue and attempt to collect from the defendants regarding the smaller US judgments which had already been obtained and to examine the defendant as a Judgment Debtor and then, depending on the outcome regarding the US Judgments, to pursue and settle the larger current matter against the defendant. This was not a case where a defendant's failure to take a necessary step in the litigation caused it to stall. The defendant's fraudulent misrepresentation defence was not res judicata. The US bankruptcy did not estop the defendant from raising a defence of fraudulent misrepresentation in this action, insofar as it expressly preserved his rights as a third party to the settlement in the bankruptcy proceedings. The defendant's ability to make out his fraudulent misrepresentation defence was impaired significantly by the death of both of the plaintiff's principals, the defendant's lack of access to the hotel's records, and by the obvious challenge of trying to track down witnesses after the lapse of 18 years. The plaintiff's delay had created a situation where the defendant's defence was bound to fail. The interests of justice required dismissal of the claim.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4" w:name="Legislation Cited_4"/>
      <w:bookmarkEnd w:id="4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7"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1-2, Rule 22-7(7)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5" w:name="Counsel_5"/>
      <w:bookmarkEnd w:id="4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8" style="position:absolute;z-index:2517667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R.A. Finlay.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C. Ferris, Q.C., T. Boyd.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6" w:name="Judgment_5"/>
      <w:bookmarkEnd w:id="46"/>
      <w:r>
        <w:pict>
          <v:line id="_x0000_s1059" style="position:absolute;z-index:2518179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7" w:name="N. IYER J."/>
            <w:bookmarkEnd w:id="47"/>
            <w:r>
              <w:rPr>
                <w:rFonts w:ascii="arial" w:eastAsia="arial" w:hAnsi="arial" w:cs="arial"/>
                <w:b/>
                <w:color w:val="000000"/>
                <w:sz w:val="30"/>
                <w:lang w:val="en-US" w:eastAsia="en-US" w:bidi="ar-SA"/>
              </w:rPr>
              <w:t>N. IYER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Nizar Solehdin, applies under Rule 22-7(7) of the Supreme Court Civil Rules to dismiss the claim of the plaintiff, Briman Management Ltd. ("Briman") under Rule 22-7(7) for want of prosecution in proceeding with its claim in debt against him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Claim relates to a Ramada brand hotel in Shreveport, Louisiana, that Briman sold to Fair Vista Ltd. ("Fair Vista") in 2001. Briman loaned Fair Vista USD $1,950,000 for that purpose and obtained a promissory note and personal guarantee ("Guarantee") from Mr. Solehdin, the principal of Fair Vista, in that amount. Fair Vista subsequently defaulted on its loan obligations and then filed for bankruptcy in Louisiana ("Louisiana Bankruptcy"). These events led to legal proceedings in Louisiana, New Jersey, Ontario, and British Columbia between various parties, including Briman and Mr. Solehdin.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Briman commenced the Claim in October 2005. Mr. Solehdin filed a statement of defence in which he advanced fraudulent misrepresentation as his only defence. Some pre-trial steps were taken through October 2008. After that, nothing happened until October 25, 2018, when Briman filed a notice of intention to proceed. Mr. Solehdin filed the present application two weeks after being served with that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its response to this application, Briman sought to rely on a transcript of an examination in aid of execution of Mr. Solehdin, which occurred in May 2015 in a different legal proceeding ("Transcript"). It tendered two affidavits made by its general counsel, Paul Kammerloch, which contain references to the Transcript. Mr. Solehdin objected to the admission of any references to the Transcript based on the implied undertaking of confidentiality. I admitted the Kammerloch affidavits into evidence, but said I would decide whether or not to consider those portions referencing the Transcripts. As counsel did not refer to them, I have not considered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Briman raises a preliminary argument that Mr. Solehdin is barred from bringing this application because he contractually waived any right to complain about delay when he signed the Guarantee. I will address this submission before turning to the central issue, which is whether I should exercise my discretion to dismiss the Claim for want of prosecution under Rule 22-7(7).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HAS MR. SOLEDHIN WAIVED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Guarantee contains a section entitled "Covenants Relating to the Obligations". It empowers Briman to take specified actions with respect to Fair Vista and its debt to Briman without notice to or consent from Mr. Solehdin and without affecting his obligations as guarantor. After setting out those actions, the section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no course of dealing between Lender [Briman] and Borrower [Fair Vista] (or any other guarantor, surety or endorser of Borrower's Obligations), nor any failure or delay on the part of Lender to exercise any of Lender's rights and remedies, or any other agreements or agreements by and between Lender and Borrower (or any other guarantor, surety or endorser) shall have the effect of impairing or releasing Guarantor's [Mr. Solehdin's] obligations or liabilities to Lender or of waiving any of Lender's rights and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promissory note signed by Mr. Solehdin contains similar language. Briman submits that these clauses constitute an express waiver by Mr. Solehdin of his right to apply to this court for dismissal of the Claim under Rule 22-7(7). I will refer to these clauses as the "Delay Waiver".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Guarantee states that it is governed by the law of Louisiana. The parties disagreed about whether I should consider expert opinion evidence of that law in interpreting this provision, and whether Briman's late tendering of evidence of Louisiana law unfairly surprised Mr. Solehdin.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do not need to deal with those issues, as it is not necessary for me to interpret the contractual language. I agree with Mr. Solehdin that parties cannot contract out of the Rules without the court's authorization. Rule 1-2 makes this clear: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application, and if all parties to a proceeding agree, the court may order that any provision of these Supreme Court Civil Rules does not apply to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reason for such a requirement is obvious: if parties could contract out of the Rules without court approval, the object of the Rules in ensuring the just, speedy and inexpensive determination of every proceeding on its merits could easily be frustrated.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Briman did not seek court approval, I find that the Delay Waiver does not bar Mr. Solehdin from bringing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SHOULD BRIMAN'S CLAIM BE DISMISSED FOR WANT OF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court's discretion to dismiss a proceeding for want of prosecution is found in Rule 22-7(7):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on application by a party, it appears to the court that there is want of prosecution in a proceeding, the court may order that the proceeding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Such orders should not be made lightly: </w:t>
      </w:r>
      <w:r>
        <w:rPr>
          <w:rFonts w:ascii="arial" w:eastAsia="arial" w:hAnsi="arial" w:cs="arial"/>
          <w:i/>
          <w:color w:val="000000"/>
          <w:sz w:val="20"/>
          <w:lang w:val="en-US" w:eastAsia="en-US" w:bidi="ar-SA"/>
        </w:rPr>
        <w:t>Tundra Helicopters Ltd. v. Allison Gas Turbine</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2002 BCCA 145</w:t>
        </w:r>
      </w:hyperlink>
      <w:r>
        <w:rPr>
          <w:rFonts w:ascii="arial" w:eastAsia="arial" w:hAnsi="arial" w:cs="arial"/>
          <w:color w:val="000000"/>
          <w:sz w:val="20"/>
          <w:lang w:val="en-US" w:eastAsia="en-US" w:bidi="ar-SA"/>
        </w:rPr>
        <w:t xml:space="preserve"> at para. 37. As set out in </w:t>
      </w:r>
      <w:r>
        <w:rPr>
          <w:rFonts w:ascii="arial" w:eastAsia="arial" w:hAnsi="arial" w:cs="arial"/>
          <w:i/>
          <w:color w:val="000000"/>
          <w:sz w:val="20"/>
          <w:lang w:val="en-US" w:eastAsia="en-US" w:bidi="ar-SA"/>
        </w:rPr>
        <w:t>0690860 Manitoba Ltd. v. Country West Construction Ltd.</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2009 BCCA 535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Country West</w:t>
      </w:r>
      <w:r>
        <w:rPr>
          <w:rFonts w:ascii="arial" w:eastAsia="arial" w:hAnsi="arial" w:cs="arial"/>
          <w:color w:val="000000"/>
          <w:sz w:val="20"/>
          <w:lang w:val="en-US" w:eastAsia="en-US" w:bidi="ar-SA"/>
        </w:rPr>
        <w:t>] at para. 27, the court must consider the following elements:</w:t>
      </w:r>
      <w:r>
        <w:rPr>
          <w:rFonts w:ascii="arial" w:eastAsia="arial" w:hAnsi="arial" w:cs="arial"/>
          <w:sz w:val="20"/>
          <w:lang w:val="en-US" w:eastAsia="en-US" w:bidi="ar-SA"/>
        </w:rPr>
        <w:cr/>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the delay and whether it was inordinate;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reasons for the delay either offered in evidence or inferred from the evidence, including whether the delay was intentional and tactical or whether it was the product of dilatoriness,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impecuniosity, illness or some other relevant cause, the ultimate consideration being whether the delay is excusable in the circumstances;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delay has caused serious prejudice to the defendant in presenting a defence and, if there is such prejudice, whether it creates a substantial risk that a fair trial is not possible at the earliest date by which the action could be readied for trial after its reactivation by the plaintiff;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on balance, justice requires dismissal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fourth factor is the most important as it reflects the Court's objective of ensuring that justice is done: </w:t>
      </w:r>
      <w:r>
        <w:rPr>
          <w:rFonts w:ascii="arial" w:eastAsia="arial" w:hAnsi="arial" w:cs="arial"/>
          <w:i/>
          <w:color w:val="000000"/>
          <w:sz w:val="20"/>
          <w:lang w:val="en-US" w:eastAsia="en-US" w:bidi="ar-SA"/>
        </w:rPr>
        <w:t>Country West</w:t>
      </w:r>
      <w:r>
        <w:rPr>
          <w:rFonts w:ascii="arial" w:eastAsia="arial" w:hAnsi="arial" w:cs="arial"/>
          <w:color w:val="000000"/>
          <w:sz w:val="20"/>
          <w:lang w:val="en-US" w:eastAsia="en-US" w:bidi="ar-SA"/>
        </w:rPr>
        <w:t xml:space="preserve">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the Delay Inordinate?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"Delay" refers to the plaintiff's delay in prosecuting the action after it has commenced. The question is whether the overall delay is inordinate. That occurs when the length of the delay exceeds a normal or tolerable amount of time: </w:t>
      </w:r>
      <w:r>
        <w:rPr>
          <w:rFonts w:ascii="arial" w:eastAsia="arial" w:hAnsi="arial" w:cs="arial"/>
          <w:i/>
          <w:color w:val="000000"/>
          <w:sz w:val="20"/>
          <w:lang w:val="en-US" w:eastAsia="en-US" w:bidi="ar-SA"/>
        </w:rPr>
        <w:t>Ed Bulley Ventures Ltd. v. The Pantry Hospitality Corporation</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2014 BCCA 52</w:t>
        </w:r>
      </w:hyperlink>
      <w:r>
        <w:rPr>
          <w:rFonts w:ascii="arial" w:eastAsia="arial" w:hAnsi="arial" w:cs="arial"/>
          <w:color w:val="000000"/>
          <w:sz w:val="20"/>
          <w:lang w:val="en-US" w:eastAsia="en-US" w:bidi="ar-SA"/>
        </w:rPr>
        <w:t xml:space="preserve"> at paras. 38-39. As Justice Ballance put it in </w:t>
      </w:r>
      <w:r>
        <w:rPr>
          <w:rFonts w:ascii="arial" w:eastAsia="arial" w:hAnsi="arial" w:cs="arial"/>
          <w:i/>
          <w:color w:val="000000"/>
          <w:sz w:val="20"/>
          <w:lang w:val="en-US" w:eastAsia="en-US" w:bidi="ar-SA"/>
        </w:rPr>
        <w:t>Cal Coast Spas Inc. v. Coast Spas Inc.</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2008 BCSC 846</w:t>
        </w:r>
      </w:hyperlink>
      <w:r>
        <w:rPr>
          <w:rFonts w:ascii="arial" w:eastAsia="arial" w:hAnsi="arial" w:cs="arial"/>
          <w:color w:val="000000"/>
          <w:sz w:val="20"/>
          <w:lang w:val="en-US" w:eastAsia="en-US" w:bidi="ar-SA"/>
        </w:rPr>
        <w:t xml:space="preserve"> at para. 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the plaintiff has taken the serious and public step of commencing litigation, thereby choosing to avail itself of the court process, it is expected to move the dispute ahead at a reasonable 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chronology of key steps in this case is as follows: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060" type="#_x0000_t75" style="width:375.75pt;height:327.75pt">
            <v:imagedata r:id="rId161"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To date neither party has produced a list of documents, nor have any discoveries taken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is a gap of about 13.5 years between commencement of the proceeding and Briman's filing of its second notice of intent to proceed. Briman's last active step in the proceeding was just over 10 years prior to that. A delay of this length is obviously inordinate.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the Delay Excusable?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This element requires consideration of the reasons for the delay and the surrounding circumstances: </w:t>
      </w:r>
      <w:r>
        <w:rPr>
          <w:rFonts w:ascii="arial" w:eastAsia="arial" w:hAnsi="arial" w:cs="arial"/>
          <w:i/>
          <w:color w:val="000000"/>
          <w:sz w:val="20"/>
          <w:lang w:val="en-US" w:eastAsia="en-US" w:bidi="ar-SA"/>
        </w:rPr>
        <w:t>Irving v. Irving</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(1982) 38 B.C.L.R. 318</w:t>
        </w:r>
      </w:hyperlink>
      <w:r>
        <w:rPr>
          <w:rFonts w:ascii="arial" w:eastAsia="arial" w:hAnsi="arial" w:cs="arial"/>
          <w:color w:val="000000"/>
          <w:sz w:val="20"/>
          <w:lang w:val="en-US" w:eastAsia="en-US" w:bidi="ar-SA"/>
        </w:rPr>
        <w:t xml:space="preserve"> (BCCA) at para. 11. In essence, this element requires the plaintiff to provide an explanation that renders an otherwise inordinate delay acceptable: </w:t>
      </w:r>
      <w:r>
        <w:rPr>
          <w:rFonts w:ascii="arial" w:eastAsia="arial" w:hAnsi="arial" w:cs="arial"/>
          <w:i/>
          <w:color w:val="000000"/>
          <w:sz w:val="20"/>
          <w:lang w:val="en-US" w:eastAsia="en-US" w:bidi="ar-SA"/>
        </w:rPr>
        <w:t>Frans Wynans Fine Art Inc. v The Andy Warhol Foundation for the Visual Arts, Inc.</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2019 BCSC 498</w:t>
        </w:r>
      </w:hyperlink>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Briman submits that the related proceedings in Louisiana, New Jersey and Ontario explain the delay. It also says that Mr. Solehdin acquiesced in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Louisiana proceedings arose from the Louisiana Bankruptcy. The trustee in bankruptcy settled the claims against Fair Vista and sold the hotel for less than the amount of the mortgage. As a result, the mortgagor, Capital One National Association ("Capital One") sued Mr. Solehdin, his wife, Yasmeen Solehdin, Mr. Gindin and Benjamin Stern (the other principal of Briman) on their personal guarantees. Mr. Gindin and Mr. Stern then filed cross-claims against the Solehdins. I will refer to this action as the Capital One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2007, Capital One obtained summary judgment against all of these defendants and, in November 2008, Mr. Gindin and Mr. Stern obtained summary judgment against the Solehdins ("Gindin/Stern Judgment"). In March 2010, the Gindin/Stern Judgment was registered in Ontario and the court pronounced awards against each of Mr. and Ms. Solehdin. The Solehdins' unsuccessful appeals of that registration concluded in October 2011 and costs awards were made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August 2012, Mr. Gindin and Mr. Stern's estate (Mr. Stern had passed away) registered the Gindin/Stern Judgment and the associated costs awards in British Columbia. Our Court of Appeal dismissed the Solehdins' appeal of the registration in December 2014. As mentioned above, Mr. Solehdin was examined in aid of execution in relation to the registration of the Gindin/Stern Judgment in BC in 2015. In 2018, Mr. Stern's estate settled its claim against Mr. Solehdin.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Another action commenced in 2005 in New Jersey, when Ramada sued Fair Vista. Fair Vista filed a counterclaim against Ramada and made a third party claim against Briman. Mr. Solehdin and Ms. Solehdin also made a third party claim against Briman. The New Jersey court dismissed the Solehdins' third party claim in February 2006. I will refer to this as the Ramada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Briman was fully aware of the Capital One Action and the Ramada Action when it chose to commence the Claim. Participation by Briman and/or its principals in those actions did not prevent Briman from actively prosecuting the Claim in 2005-06. Notably, Briman does not say that it was </w:t>
      </w:r>
      <w:r>
        <w:rPr>
          <w:rFonts w:ascii="arial" w:eastAsia="arial" w:hAnsi="arial" w:cs="arial"/>
          <w:color w:val="000000"/>
          <w:sz w:val="20"/>
          <w:u w:val="single"/>
          <w:lang w:val="en-US" w:eastAsia="en-US" w:bidi="ar-SA"/>
        </w:rPr>
        <w:t>unable</w:t>
      </w:r>
      <w:r>
        <w:rPr>
          <w:rFonts w:ascii="arial" w:eastAsia="arial" w:hAnsi="arial" w:cs="arial"/>
          <w:color w:val="000000"/>
          <w:sz w:val="20"/>
          <w:lang w:val="en-US" w:eastAsia="en-US" w:bidi="ar-SA"/>
        </w:rPr>
        <w:t xml:space="preserve"> to proceed with the Claim because of the other litigation. Rather, it says it had a good reason for choosing not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its application response, Briman explains that Mr. Gindin "was hesitant to incur two sets of legal costs litigating related matters in three different jurisdictions." Counsel for Briman deposes in his affidavit made June 17, 2019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Briman made a decision out of caution and prudence and the principle of proportionality to first pursue and attempt to collect from the Solehdins regarding the smaller Louisiana Judgments which had already been obtained and to examine Mr. Solehdin as a Judgment Debtor as to his assets and then, depending on the outcome regarding the Louisiana Judgments, to hopefully pursue and settle the larger instant matter against Mr. Solehdin. I am further informed and believe that Briman was under the impression that, as the Louisiana Judgments had been granted, it would be a simple matter to register the Louisiana Judgments in Ontario and collect as Judgment Creditor.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This amounts to an admission that the reason for delay in prosecuting the Claim was intentional and strategic. Such reasons may or may not be excusable depending on all of the circumstances: see </w:t>
      </w:r>
      <w:r>
        <w:rPr>
          <w:rFonts w:ascii="arial" w:eastAsia="arial" w:hAnsi="arial" w:cs="arial"/>
          <w:i/>
          <w:color w:val="000000"/>
          <w:sz w:val="20"/>
          <w:lang w:val="en-US" w:eastAsia="en-US" w:bidi="ar-SA"/>
        </w:rPr>
        <w:t>Northwest Organics, Limited Partnership v. Sam</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2017 BCSC 1088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Irving</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Tundra Helicopters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Frans Wynans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Frans Wynans</w:t>
      </w:r>
      <w:r>
        <w:rPr>
          <w:rFonts w:ascii="arial" w:eastAsia="arial" w:hAnsi="arial" w:cs="arial"/>
          <w:color w:val="000000"/>
          <w:sz w:val="20"/>
          <w:lang w:val="en-US" w:eastAsia="en-US" w:bidi="ar-SA"/>
        </w:rPr>
        <w:t>, Justice Gomery considered the reasons for a five-year delay after commencement of the action. The plaintiff said that it was pursuing settlement negotiations and pursuing further investigations. The court noted that the plaintiff could have engaged in those activities while proceeding with the litigation (at para. 43). Justice Gomery accepted that the plaintiff's explanation excused part of the delay, but not all of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 Soon after July 2017, it should have been apparent to Wynans that the action had bogged down again. Wynans could have taken the steps it took in August 2018 to put the action back on track much sooner than it did. In the context of the correspondence between counsel, I do not think that this delay can be blamed on the Foundation's continuing failure to deliver an application response.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 Taking everything into account, while some of the five years of inordinate delay in this case is excusable, the greater part of it is not and the overall delay is excessive. I conclude that there has been inexcusable delay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period of delay in this case is double that in </w:t>
      </w:r>
      <w:r>
        <w:rPr>
          <w:rFonts w:ascii="arial" w:eastAsia="arial" w:hAnsi="arial" w:cs="arial"/>
          <w:i/>
          <w:color w:val="000000"/>
          <w:sz w:val="20"/>
          <w:lang w:val="en-US" w:eastAsia="en-US" w:bidi="ar-SA"/>
        </w:rPr>
        <w:t>Frans Wynans</w:t>
      </w:r>
      <w:r>
        <w:rPr>
          <w:rFonts w:ascii="arial" w:eastAsia="arial" w:hAnsi="arial" w:cs="arial"/>
          <w:color w:val="000000"/>
          <w:sz w:val="20"/>
          <w:lang w:val="en-US" w:eastAsia="en-US" w:bidi="ar-SA"/>
        </w:rPr>
        <w:t>. The related litigation to which Briman points involve different claims. Even accepting that settlement negotiations could excuse some part of the delay, Briman has not provided evidence about when it was actively participating in settlement discussions. For example, there is no evidence about Briman's participation in the discussions that led to the 2018 settlement between Mr. Solehdin and Mr. Stern's estate. Further, Briman examined Mr. Solehdin as a judgment debtor in 2015 and provided no explanation of why it did not pursue the Claim then. In light of these circumstances, I find that Briman's decision to pursue its judgment in the Capital One Action does not excuse its delay in proceeding with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Briman also argues that Mr. Solehdin acquiesced in the delay, pointing to the Delay Waiver.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Briman's position that the Delay Waiver constitutes acquiescence sufficient to defeat a motion under Rule 22-7(7) is simply a recasting of its initial argument that the Delay Waiver bars Mr. Solehdin from bringing the application at all. I reject it for the same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Did Mr. Solehdin otherwise acquiesce in the delay after Briman commenced the Claim? The chronology set out in para. 14 shows that he responded in a timely way to each step taken by Briman, other than to its September 2008 demand for discovery and document production. However, he had reason not to do so. Immediately after Mr. Solehdin filed his October 2008 motion for security for costs, document production and discovery of Mr. Gindin, Briman wrote to Mr. Solehdin asking him not to proceed with his motion without allowing time to seek instructions. In other words, Briman sought to pause the litigation, not Mr. Solehdin.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Inaction by a defendant is not acquiescence: </w:t>
      </w:r>
      <w:r>
        <w:rPr>
          <w:rFonts w:ascii="arial" w:eastAsia="arial" w:hAnsi="arial" w:cs="arial"/>
          <w:i/>
          <w:color w:val="000000"/>
          <w:sz w:val="20"/>
          <w:lang w:val="en-US" w:eastAsia="en-US" w:bidi="ar-SA"/>
        </w:rPr>
        <w:t>Ed Bulley</w:t>
      </w:r>
      <w:r>
        <w:rPr>
          <w:rFonts w:ascii="arial" w:eastAsia="arial" w:hAnsi="arial" w:cs="arial"/>
          <w:color w:val="000000"/>
          <w:sz w:val="20"/>
          <w:lang w:val="en-US" w:eastAsia="en-US" w:bidi="ar-SA"/>
        </w:rPr>
        <w:t xml:space="preserve"> at para. 66. It is not reasonable to infer from the fact that Mr. Solehdin did not proceed with his motion after receiving Briman's letter that he was agreeing to put the litigation on hold indefinitely. This is not a case where a defendant's failure to take a necessary step in the litigation caused it to stall. Examples of that would include failing to file a statement of defence, as occurred in </w:t>
      </w:r>
      <w:r>
        <w:rPr>
          <w:rFonts w:ascii="arial" w:eastAsia="arial" w:hAnsi="arial" w:cs="arial"/>
          <w:i/>
          <w:color w:val="000000"/>
          <w:sz w:val="20"/>
          <w:lang w:val="en-US" w:eastAsia="en-US" w:bidi="ar-SA"/>
        </w:rPr>
        <w:t>Tundra Helicopters</w:t>
      </w:r>
      <w:r>
        <w:rPr>
          <w:rFonts w:ascii="arial" w:eastAsia="arial" w:hAnsi="arial" w:cs="arial"/>
          <w:color w:val="000000"/>
          <w:sz w:val="20"/>
          <w:lang w:val="en-US" w:eastAsia="en-US" w:bidi="ar-SA"/>
        </w:rPr>
        <w:t xml:space="preserve">, or to schedule discoveries, as occurred in </w:t>
      </w:r>
      <w:r>
        <w:rPr>
          <w:rFonts w:ascii="arial" w:eastAsia="arial" w:hAnsi="arial" w:cs="arial"/>
          <w:i/>
          <w:color w:val="000000"/>
          <w:sz w:val="20"/>
          <w:lang w:val="en-US" w:eastAsia="en-US" w:bidi="ar-SA"/>
        </w:rPr>
        <w:t>Kidder v. Coldswitch Technologies Inc.</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2009 BCSC 1274</w:t>
        </w:r>
      </w:hyperlink>
      <w:r>
        <w:rPr>
          <w:rFonts w:ascii="arial" w:eastAsia="arial" w:hAnsi="arial" w:cs="arial"/>
          <w:color w:val="000000"/>
          <w:sz w:val="20"/>
          <w:lang w:val="en-US" w:eastAsia="en-US" w:bidi="ar-SA"/>
        </w:rPr>
        <w:t>. While Briman relies on both of those cases, their facts are distinguishable.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conclude that there has been inexcusable delay.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there a Substantial Risk that a Fair Trial is not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Where inordinate and inexcusable delay is shown, a presumption of prejudice arises and Briman bears the burden of demonstrating that there is no prejudice: </w:t>
      </w:r>
      <w:r>
        <w:rPr>
          <w:rFonts w:ascii="arial" w:eastAsia="arial" w:hAnsi="arial" w:cs="arial"/>
          <w:i/>
          <w:color w:val="000000"/>
          <w:sz w:val="20"/>
          <w:lang w:val="en-US" w:eastAsia="en-US" w:bidi="ar-SA"/>
        </w:rPr>
        <w:t>Ed Bulley</w:t>
      </w:r>
      <w:r>
        <w:rPr>
          <w:rFonts w:ascii="arial" w:eastAsia="arial" w:hAnsi="arial" w:cs="arial"/>
          <w:color w:val="000000"/>
          <w:sz w:val="20"/>
          <w:lang w:val="en-US" w:eastAsia="en-US" w:bidi="ar-SA"/>
        </w:rPr>
        <w:t xml:space="preserve"> para. 51; </w:t>
      </w:r>
      <w:r>
        <w:rPr>
          <w:rFonts w:ascii="arial" w:eastAsia="arial" w:hAnsi="arial" w:cs="arial"/>
          <w:i/>
          <w:color w:val="000000"/>
          <w:sz w:val="20"/>
          <w:lang w:val="en-US" w:eastAsia="en-US" w:bidi="ar-SA"/>
        </w:rPr>
        <w:t>Coldswitch</w:t>
      </w:r>
      <w:r>
        <w:rPr>
          <w:rFonts w:ascii="arial" w:eastAsia="arial" w:hAnsi="arial" w:cs="arial"/>
          <w:color w:val="000000"/>
          <w:sz w:val="20"/>
          <w:lang w:val="en-US" w:eastAsia="en-US" w:bidi="ar-SA"/>
        </w:rPr>
        <w:t xml:space="preserve"> para.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Briman submits that Mr. Solehdin is not prejudiced because his defence of fraudulent misrepresentation is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It says this cause of action was finally adjudicated both in the Louisiana Bankruptcy/Capital One Action and in the Ramada Action, so Mr. Solehdin has no defence at all, let alone one that could be prejudiced by delay.</w:t>
      </w:r>
      <w:bookmarkStart w:id="48"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48"/>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Erschbamer v. Wallster</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2013 BCCA 76</w:t>
        </w:r>
      </w:hyperlink>
      <w:r>
        <w:rPr>
          <w:rFonts w:ascii="arial" w:eastAsia="arial" w:hAnsi="arial" w:cs="arial"/>
          <w:color w:val="000000"/>
          <w:sz w:val="20"/>
          <w:lang w:val="en-US" w:eastAsia="en-US" w:bidi="ar-SA"/>
        </w:rPr>
        <w:t xml:space="preserve"> sets out the four requirements for cause of action estoppel (at para. 15):</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final decision of a court of competent jurisdiction in the prior action;</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to the current litigation are the same as or privies of the parties to the prior action;</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action (or defence) in the prior action is not separate and distinct; and</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basis of the cause of action (or defence) in the present action was argued or could have been argued in the prior action if the parties had exercised reasonable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Solehdin is a "privy" of Fair Vista in that he is the individual behind the company. However, he and Fair Vista remain distinct legal entities. When acting as a guarantor, Mr. Solehdin is acting in a personal capacity. A guarantee "constitutes a separate and independent contract from the principal contract, under which the surety is at least potentially entitled to both contractual defences and defences arising in law and equity, which could have no application with respect to the liability of the principal": Kevin McGuinness, </w:t>
      </w:r>
      <w:r>
        <w:rPr>
          <w:rFonts w:ascii="arial" w:eastAsia="arial" w:hAnsi="arial" w:cs="arial"/>
          <w:i/>
          <w:color w:val="000000"/>
          <w:sz w:val="20"/>
          <w:lang w:val="en-US" w:eastAsia="en-US" w:bidi="ar-SA"/>
        </w:rPr>
        <w:t>The Law of Guarantee</w:t>
      </w:r>
      <w:r>
        <w:rPr>
          <w:rFonts w:ascii="arial" w:eastAsia="arial" w:hAnsi="arial" w:cs="arial"/>
          <w:color w:val="000000"/>
          <w:sz w:val="20"/>
          <w:lang w:val="en-US" w:eastAsia="en-US" w:bidi="ar-SA"/>
        </w:rPr>
        <w:t xml:space="preserve">, 3d ed. (Toronto: LexisNexis, 2013) at 1104. In other words, a final decision against Fair Vista is binding on Mr. Solehdin </w:t>
      </w:r>
      <w:r>
        <w:rPr>
          <w:rFonts w:ascii="arial" w:eastAsia="arial" w:hAnsi="arial" w:cs="arial"/>
          <w:i/>
          <w:color w:val="000000"/>
          <w:sz w:val="20"/>
          <w:lang w:val="en-US" w:eastAsia="en-US" w:bidi="ar-SA"/>
        </w:rPr>
        <w:t>qua</w:t>
      </w:r>
      <w:r>
        <w:rPr>
          <w:rFonts w:ascii="arial" w:eastAsia="arial" w:hAnsi="arial" w:cs="arial"/>
          <w:color w:val="000000"/>
          <w:sz w:val="20"/>
          <w:lang w:val="en-US" w:eastAsia="en-US" w:bidi="ar-SA"/>
        </w:rPr>
        <w:t xml:space="preserve"> the company, but does not necessarily affect any claims for or against him in his personal capacity as guarantor.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Louisiana Bankruptcy was a court-approved settlement of claims against Fair Vista. In other words, it was a consent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Whether a consent order gives rise to cause of action estoppel depends on whether the parties intend the order to finally dispose of the issues between them. In </w:t>
      </w:r>
      <w:r>
        <w:rPr>
          <w:rFonts w:ascii="arial" w:eastAsia="arial" w:hAnsi="arial" w:cs="arial"/>
          <w:i/>
          <w:color w:val="000000"/>
          <w:sz w:val="20"/>
          <w:lang w:val="en-US" w:eastAsia="en-US" w:bidi="ar-SA"/>
        </w:rPr>
        <w:t>Spender (Guardian ad litem of) v. Spender</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(1999), 87 A.C.W.S. (3d) 1025</w:t>
        </w:r>
      </w:hyperlink>
      <w:r>
        <w:rPr>
          <w:rFonts w:ascii="arial" w:eastAsia="arial" w:hAnsi="arial" w:cs="arial"/>
          <w:color w:val="000000"/>
          <w:sz w:val="20"/>
          <w:lang w:val="en-US" w:eastAsia="en-US" w:bidi="ar-SA"/>
        </w:rPr>
        <w:t xml:space="preserve"> (B.C.S.C.), Lander J. described how to assess a claim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in this context: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When faced with a plea of res judicata on grounds of a consent order in an earlier proceeding, the court must proceed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First, the cause of action in the earlier proceeding must be compared to the cause of action in the later proceeding. If they are different, then no "cause of action" estoppel can arise. If the causes of action are identical, the court must examine the consent order and any agreement, correspondence, or releases leading to its entry, in order to ascertain objectively whether the consent order was intended to finally dispose of all issues in the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Here, the bankruptcy court authorized the trustee-in-bankruptcy to settle all claims of Fair Vista against Ramada, Briman and Mr. Gindin, including those advanced in "Adversary Proceedings", subject to specified terms. The terms of the order are:</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Briman shall pay the Trustee USD $25,000;</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Trustee shall dismiss with prejudice any claims of Fair Vista against Briman and/or Gindin, specifically any claim for rescission of the contract for sale of the hotel;</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Trustee shall also dismiss with prejudice any claims of Fair Vista against Ramada;</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Ramada may pursue any claims against Fair Vista and has the right to assert a claim as an unsecured creditor against Fair Vista's bankruptcy estate;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Briman's claim against Fair Vista's bankruptcy estate is preserved as a finally allowed unsecured claim;</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Briman and Mr. Gindin will execute a mutual release, and the Trustee will execute a release of claims against Ramada;</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Trustee shall dismiss with prejudice any claims by Fair Vista against Briman and/or Mr. Gindin in the Adversary Proceedings;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Settlement of the Adversary terms under this order does not affect the rights of third parties or the rights of any party to the settlement against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None of the terms of the order addresses any claims by or against Mr. Solehdin in his capacity as guarantor. While the order dismisses with prejudice any claim or defence by </w:t>
      </w:r>
      <w:r>
        <w:rPr>
          <w:rFonts w:ascii="arial" w:eastAsia="arial" w:hAnsi="arial" w:cs="arial"/>
          <w:color w:val="000000"/>
          <w:sz w:val="20"/>
          <w:u w:val="single"/>
          <w:lang w:val="en-US" w:eastAsia="en-US" w:bidi="ar-SA"/>
        </w:rPr>
        <w:t>Fair Vista</w:t>
      </w:r>
      <w:r>
        <w:rPr>
          <w:rFonts w:ascii="arial" w:eastAsia="arial" w:hAnsi="arial" w:cs="arial"/>
          <w:color w:val="000000"/>
          <w:sz w:val="20"/>
          <w:lang w:val="en-US" w:eastAsia="en-US" w:bidi="ar-SA"/>
        </w:rPr>
        <w:t xml:space="preserve"> against Briman, Mr. Gindin and/or Mr. Stern based on misrepresentation, in my view, it does not affect any claim or defence Mr. Solehdin might raise in his capacity as guarantor.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other words, although the consent order clearly was intended to foreclose any further dispute between Fair Vista and Briman, I find that it was not intended to dispose of the issues between Mr. Solehdin and Briman. By "finally allowing" Briman's claim, Clause E of the order implicitly dismisses any defence Fair Vista could have raised against Briman. However, Clause H expressly preserves claims by and against third parties, which would include Mr. Solehdin as a guarantor.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When Ramada brought its claim against the Solehdins in the Ramada Action, it relied on the second half of clause H, preserving rights of parties to the settlement (Ramada) against third parties (the Solehdins). By the same token, the first half of Clause H preserves Mr. Solehdin's right as a third party guarantor to advance a defence that the bankruptcy settlement might otherwise have compromised. Preservation of third party rights makes sense in the context of a bankruptcy proceeding, where the court's focus is on allowing the distribution of the debtor's assets to its creditors to proceed without affecting subsequent proceedings that might be brought by or against others, including guarantors.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short, the Louisiana Bankruptcy does not estop Mr. Solehdin from raising a defence of fraudulent misrepresentation in this action, insofar as it expressly preserves his rights as a third party to the settlement. In these circumstances, it cannot be said the order was intended "to finally dispose" of the defence Mr. Solehdin seeks to raise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Turning to the Ramada Action, Ramada sued the Solehdins on their personal guarantees relating to the licensing agreement between Ramada and Fair Vista. The Solehdins made a third party claim against Briman for contribution and indemnity based on the same alleged fraudulent misrepresentations raised in Mr. Solehdin's defence to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While the New Jersey court dismissed the Solehdins' third party claim, it did so on purely procedural grounds: the court ruled that the Solehdins did not have standing to bring that claim because their right of action derived entirely from an alleged injury done to Fair Vista. The court did not rule on the merits of the claim. As such, its decision does not estop Mr. Solehdin from raising this claim as a defence in this action, where his standing to do so is not in dispute. Interestingly, counsel for Briman, whose comments are included in the court's reasons for judgment, appears to have had the same view: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Well, they can assert it as a defence... I mean, they may still assert this defence vis-à-vis my client in this case... But they can't bring an affirmative claim to recover money damages against my client when the claim is derivative.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 conclude that Mr. Solehdin's fraudulent misrepresentation defence to the Claim is not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Accordingly, Briman has failed to rebut the presumption on this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representations upon which Mr. Solehdin relies occurred in 2001, some 18 years ago. This is a substantial period of time. Even counting from the date the Claim was filed in 2005, the trial could easily have been completed years ago. In these circumstances I consider it appropriate to presume that witness memories will have faded and that prejudice arises: </w:t>
      </w:r>
      <w:r>
        <w:rPr>
          <w:rFonts w:ascii="arial" w:eastAsia="arial" w:hAnsi="arial" w:cs="arial"/>
          <w:i/>
          <w:color w:val="000000"/>
          <w:sz w:val="20"/>
          <w:lang w:val="en-US" w:eastAsia="en-US" w:bidi="ar-SA"/>
        </w:rPr>
        <w:t>Ed Bulley</w:t>
      </w:r>
      <w:r>
        <w:rPr>
          <w:rFonts w:ascii="arial" w:eastAsia="arial" w:hAnsi="arial" w:cs="arial"/>
          <w:color w:val="000000"/>
          <w:sz w:val="20"/>
          <w:lang w:val="en-US" w:eastAsia="en-US" w:bidi="ar-SA"/>
        </w:rPr>
        <w:t xml:space="preserve"> at para.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limitation period has long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Solehdin tendered evidence of actual prejudice. He deposes that he has difficulty remembering the oral representations made to him by Mr. Gindin about the hotel's financial state and his impressions from the guided tour he was given. He says that he no longer has access to any of the records of the hotel, which were left at the hotel when Fair Vista went into bankruptcy: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records would have contained evidence of the existence and extent of the defects with the property and the issues with Ramada, Briman and Mr. Gindin's knowledge of the defects and the issues with Ramada, and the effect of the defects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Solehdin submits that he is prejudiced by Mr. Gindin's death in 2015. While Mr. Gindin's death might superficially appear to benefit Mr. Solehdin in that Mr. Gindin was adverse in interest, the inability to discover Mr. Gindin deprives Mr. Solehdin of access to relevant information he may have had had. That information would include Mr. Gindin's testimony about the conversations he had with Mr. Solehdin and any written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Solehdin's ability to make out his fraudulent misrepresentation defence is impaired significantly by the unavailability of both of Briman's principals, Mr. Solehdin's lack of access to the hotel's records, and by the obvious challenge of trying to track down witnesses after the lapse of 18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Briman did not address these aspects of actual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Based on all of the evidence, I find that there is prejudice to Mr. Solehdin's ability to defend against the Claim and therefore there is a substantial risk that a fair trial is no longer possible.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Does Justice Require Dismissal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This factor encompasses the other factors and requires consideration of all of the circumstances. In </w:t>
      </w:r>
      <w:r>
        <w:rPr>
          <w:rFonts w:ascii="arial" w:eastAsia="arial" w:hAnsi="arial" w:cs="arial"/>
          <w:i/>
          <w:color w:val="000000"/>
          <w:sz w:val="20"/>
          <w:lang w:val="en-US" w:eastAsia="en-US" w:bidi="ar-SA"/>
        </w:rPr>
        <w:t>Ed Bulley</w:t>
      </w:r>
      <w:r>
        <w:rPr>
          <w:rFonts w:ascii="arial" w:eastAsia="arial" w:hAnsi="arial" w:cs="arial"/>
          <w:color w:val="000000"/>
          <w:sz w:val="20"/>
          <w:lang w:val="en-US" w:eastAsia="en-US" w:bidi="ar-SA"/>
        </w:rPr>
        <w:t>, the Court of Appeal described it this way at para. 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ultimate consideration in the analysis of delay in prosecuting an action is the interests of justice. If it can be established that the parties would have a fair trial in spite of the delay and prejudice, then the interests of justice require that the litigation go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court added that the merits of the case may be considered in that, if an action is bound to fail, that would weigh in favour of dismissing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Neither party squarely addressed this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am mindful of the seriousness of dismissing a claim where there has been no adjudication of its merits. The amount of money in dispute is substantial and it is clear that Briman has an arguable case based on the Guarantee. However, I am not in a position to assess in any detail the relative merits of each party's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elements of fraudulent misrepresentation require Mr. Solehdin to prove:</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Briman made a representation of fact to Mr. Solehdin;</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was false;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Briman either knew the representation was false or made it recklessly without knowing whether it was true or false; and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Solehdin was induced by the representations to enter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passage of 18 years, including the deaths of Mr. Gindin and Mr. Stern, the unavailability of all the hotel records, and the very significant difficulties in tracking down any other witnesses who worked at the hotel at the time, will significantly impair Mr. Solehdin's ability to prove the first three elements of his defence. Although I do not know how strong a defence it was when Mr. Solehdin filed his response to the Claim in early 2006, I am persuaded that it is virtually impossible for him to succeed in it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summary, the plaintiff's delay has created a situation where the defendant's defence is bound to fail. In these circumstances, the interests of justice require dismissal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application is granted. Briman's claim is dismissed. Mr. Solehdin shall have his costs of this application and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IYER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061" style="position:absolute;z-index:251868160"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49"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49"/>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As neither party suggested that the res judicata issue in this case is governed by foreign law, I will apply the doctrine of cause of action estoppel as it is understood in British Columbia: </w:t>
      </w:r>
      <w:r>
        <w:rPr>
          <w:rFonts w:ascii="arial" w:eastAsia="arial" w:hAnsi="arial" w:cs="arial"/>
          <w:i/>
          <w:color w:val="6D6E71"/>
          <w:sz w:val="18"/>
          <w:lang w:val="en-US" w:eastAsia="en-US" w:bidi="ar-SA"/>
        </w:rPr>
        <w:t>Old North State Brewing Co. v. Newlands Services Inc.</w:t>
      </w:r>
      <w:r>
        <w:rPr>
          <w:rFonts w:ascii="arial" w:eastAsia="arial" w:hAnsi="arial" w:cs="arial"/>
          <w:color w:val="6D6E71"/>
          <w:sz w:val="18"/>
          <w:lang w:val="en-US" w:eastAsia="en-US" w:bidi="ar-SA"/>
        </w:rPr>
        <w:t xml:space="preserve"> </w:t>
      </w:r>
      <w:hyperlink r:id="rId167" w:history="1">
        <w:r>
          <w:rPr>
            <w:rFonts w:ascii="arial" w:eastAsia="arial" w:hAnsi="arial" w:cs="arial"/>
            <w:i/>
            <w:color w:val="0077CC"/>
            <w:sz w:val="18"/>
            <w:u w:val="single"/>
            <w:shd w:val="clear" w:color="auto" w:fill="FFFFFF"/>
            <w:lang w:val="en-US" w:eastAsia="en-US" w:bidi="ar-SA"/>
          </w:rPr>
          <w:t>(1998), 58 B.C.L.R. (3d) 144</w:t>
        </w:r>
      </w:hyperlink>
      <w:r>
        <w:rPr>
          <w:rFonts w:ascii="arial" w:eastAsia="arial" w:hAnsi="arial" w:cs="arial"/>
          <w:color w:val="6D6E71"/>
          <w:sz w:val="18"/>
          <w:lang w:val="en-US" w:eastAsia="en-US" w:bidi="ar-SA"/>
        </w:rPr>
        <w:t xml:space="preserve"> at 154.</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2" style="position:absolute;z-index:2519019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British Columbia (Attorney General) v. Malik, [2009] B.C.J. No. 888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T.M. 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29 and 30,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S077088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888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595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Her Majesty the Queen in Right of the Province of British Columbia as represented by, The Attorney General for British Columbia, Plaintiff, and Ripudaman Singh Malik, Raminder Kaur Malik, Jaspreet Singh Malik, Gurdip Singh Malik, Hardeep Singh Malik, Darshan Singh Malik, Khalsa Developments Ltd., Papillon Eastern Imports Ltd., 0760887 B.C. Ltd., and 0772735 B.C.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3"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0" w:name="Keywords_6"/>
      <w:bookmarkEnd w:id="50"/>
      <w:r>
        <w:rPr>
          <w:rFonts w:ascii="arial" w:eastAsia="arial" w:hAnsi="arial" w:cs="arial"/>
          <w:b/>
          <w:color w:val="000000"/>
          <w:sz w:val="20"/>
          <w:lang w:val="en-US" w:eastAsia="en-US" w:bidi="ar-SA"/>
        </w:rPr>
        <w:t>Civil litigation — Civil procedure — Pleadings — Striking out pleadings or allegations — Application by plaintiff in action to recover sums paid to defendant for defence in criminal matter for an order striking out certain paragraphs in the defendant's Amended Statement of Defence allowed — Plaintiff argued the defendant failed to plead material facts both in respect of the malicious prosecution defence and the duress defence — Pleadings regarding malicious prosecution were struck as they were not the proper subject of a statement of defence — Pleadings regarding duress were struck on the grounds that no material facts were pleaded.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1" w:name="Case Summary_6"/>
            <w:bookmarkEnd w:id="5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province for an order striking out certain paragraphs in the defendant's Amended Statement of Defence. The action concerned the plaintiff's attempt to recover sums paid on behalf of the defendant for his defence in a criminal matter. The plaintiff alleged the defendant had not repaid the sums as he was obligated to do under the funding agreements between the parties. The defendant argued that the agreements were executed under duress and were voidable. The defendant also argued that he had been the subject of malicious prosecution. The plaintiff argued that the defendant failed to plead material facts both in respect of the malicious prosecution and the duress aspects of his pleadings.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2" w:name="Holdings of Court_6"/>
            <w:bookmarkEnd w:id="52"/>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pleadings regarding the malicious prosecution were struck as they wer not the proper subject matter of a statement of defence. They were the proper subject matter of a separate application by the defendant. The pleadings regarding duress were struck on the grounds that no material facts were pleaded.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3" w:name="Legislation Cited_5"/>
      <w:bookmarkEnd w:id="5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4"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B.C. Supreme Court Rules, B.C. Reg. 221/90, Rule 19(24)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4" w:name="Counsel_6"/>
      <w:bookmarkEnd w:id="5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5"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F.G. Potts, R.N. Hamilton.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Ripudaman Singh Malik: B.E. McLeod.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5" w:name="Judgment_6"/>
      <w:bookmarkEnd w:id="55"/>
      <w:r>
        <w:pict>
          <v:line id="_x0000_s1066" style="position:absolute;z-index:2518190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585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T.M. McEWAN J.:--</w:t>
            </w:r>
          </w:p>
        </w:tc>
        <w:tc>
          <w:tcPr>
            <w:tcW w:w="57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7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I</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applies for an order striking out certain paragraphs in the Amended Statement of Defence of Ripudaman Singh Malik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action concerns the recovery of sums paid by the plaintiff on behalf of the defendant for his defence in what is often called the "Air India" case. These advances were made pursuant to a series of funding agreements which required the defendant to repay the plaintiff, but allowed time for an orderly liquidation of assets to do so, while at the same time permitting the prosecution to proceed. The context of these advances includes an explicit finding by the court in 2003 that the defendant did not qualify for state funding because resources were available to fund his own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was acquitted of the charges against him in March 2005. In March of 2007 he initiated proceedings against the plaintiff for malicious prosecution and other relief in an action filed in New Westminster.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commenced these and related proceedings in October 2007, claiming that sums advanced pursuant to the funding agreements had not been paid, and alleging that the defendant and others had made arrangements to avoid or to assist the defendant in avoiding his responsibilities under the agreements, and to frustrate recovery of the advances.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answer in this proceeding is to claim that the agreements were executed under duress and are voidable, and to claim entitlement to a stay or an equitable set-off of the sums advanced upon a determination of the damages, if any, owing to him in the New Westminster action.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starting point in such an application is Rule 19(24). It provides:</w:t>
      </w:r>
      <w:r>
        <w:rPr>
          <w:rFonts w:ascii="arial" w:eastAsia="arial" w:hAnsi="arial" w:cs="arial"/>
          <w:sz w:val="20"/>
          <w:lang w:val="en-US" w:eastAsia="en-US" w:bidi="ar-SA"/>
        </w:rPr>
        <w:cr/>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or the proceeding, or</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Our courts have repeatedly expressed a strong reluctance to deprive a party of the right to pursue a claim unless it is "plain and obvious" that the pleading discloses no reasonable cause of action (see </w:t>
      </w:r>
      <w:r>
        <w:rPr>
          <w:rFonts w:ascii="arial" w:eastAsia="arial" w:hAnsi="arial" w:cs="arial"/>
          <w:b/>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It is often said that the court should not look behind the pleadings to see if there is evidence in support of the claims made. There are some limitations to this general proposition. In </w:t>
      </w:r>
      <w:r>
        <w:rPr>
          <w:rFonts w:ascii="arial" w:eastAsia="arial" w:hAnsi="arial" w:cs="arial"/>
          <w:b/>
          <w:i/>
          <w:color w:val="000000"/>
          <w:sz w:val="20"/>
          <w:lang w:val="en-US" w:eastAsia="en-US" w:bidi="ar-SA"/>
        </w:rPr>
        <w:t>Operation Dismantle Inc. v. Canada</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xml:space="preserve"> at 455, para. 27, Dickson J.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rule that the material facts in a statement of claim must be taken as true for the purpose of determining whether it discloses a reasonable cause of action does not require that allegations based on assumptions and speculations be taken as true. The very nature of such an allegation is that it cannot be proven to be true by the adduction of evidence. It would, therefore, be improper to accept that such an allegation is true. No violence is done to the rule where allegations, incapable of proof, are not taken as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Respecting Rules 19(24)(b), (c), and (d), </w:t>
      </w:r>
      <w:r>
        <w:rPr>
          <w:rFonts w:ascii="arial" w:eastAsia="arial" w:hAnsi="arial" w:cs="arial"/>
          <w:b/>
          <w:i/>
          <w:color w:val="000000"/>
          <w:sz w:val="20"/>
          <w:lang w:val="en-US" w:eastAsia="en-US" w:bidi="ar-SA"/>
        </w:rPr>
        <w:t>McNutt v. A.G. Canada</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2004 BCSC 1113</w:t>
        </w:r>
      </w:hyperlink>
      <w:r>
        <w:rPr>
          <w:rFonts w:ascii="arial" w:eastAsia="arial" w:hAnsi="arial" w:cs="arial"/>
          <w:color w:val="000000"/>
          <w:sz w:val="20"/>
          <w:lang w:val="en-US" w:eastAsia="en-US" w:bidi="ar-SA"/>
        </w:rPr>
        <w:t>, is a useful summary of the law. There, at paras. 40-42, Allan J.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contrast to the bar prohibiting evidence on the first branch of Rule 19(24), evidence is admissible on an application brought pursuant to Rule 19(24) (b) through (d). Ms. Dickson submits that the statement of claim, which erroneously alleges serious wrongdoing against Ms. Maley, is frivolous, vexatious and embarrassing. A pleading is frivolous if it is without substance, is groundless, fanciful, "trifles with the court" or wastes time: </w:t>
      </w:r>
      <w:r>
        <w:rPr>
          <w:rFonts w:ascii="arial" w:eastAsia="arial" w:hAnsi="arial" w:cs="arial"/>
          <w:i/>
          <w:color w:val="000000"/>
          <w:sz w:val="20"/>
          <w:lang w:val="en-US" w:eastAsia="en-US" w:bidi="ar-SA"/>
        </w:rPr>
        <w:t>Borsato v. Basra</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(2000), 43 C.P.C. (4th) 96</w:t>
        </w:r>
      </w:hyperlink>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2000 BCSC 28</w:t>
        </w:r>
      </w:hyperlink>
      <w:r>
        <w:rPr>
          <w:rFonts w:ascii="arial" w:eastAsia="arial" w:hAnsi="arial" w:cs="arial"/>
          <w:color w:val="000000"/>
          <w:sz w:val="20"/>
          <w:lang w:val="en-US" w:eastAsia="en-US" w:bidi="ar-SA"/>
        </w:rPr>
        <w:t>. In that case, the defendant's solicitor had filed a statement of defence that Master Baker described as "a triumph in minimalism that would gladden the heart of John Cage." It read as follows: "Except where expressly admitted, the defendants deny the allegations of fact in the Statement of Claim." No admissions were made. Master Baker dismissed the defence as frivolous. He also found the pleading vexatious and embarrassing.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 pleading is embarrassing if it does not state the real issue in an intelligible form. It is also embarrassing if it is prolix, includes irrelevant facts, argument or evidence. It is prejudicial if it is constructed in a manner calculated to confuse the defendants and make it difficult, if not impossible, to answer: </w:t>
      </w:r>
      <w:r>
        <w:rPr>
          <w:rFonts w:ascii="arial" w:eastAsia="arial" w:hAnsi="arial" w:cs="arial"/>
          <w:i/>
          <w:color w:val="000000"/>
          <w:sz w:val="20"/>
          <w:lang w:val="en-US" w:eastAsia="en-US" w:bidi="ar-SA"/>
        </w:rPr>
        <w:t>Kuhn v. American Credit Indemnity Co.</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[1992] B.C.J. No. 953</w:t>
        </w:r>
      </w:hyperlink>
      <w:r>
        <w:rPr>
          <w:rFonts w:ascii="arial" w:eastAsia="arial" w:hAnsi="arial" w:cs="arial"/>
          <w:color w:val="000000"/>
          <w:sz w:val="20"/>
          <w:lang w:val="en-US" w:eastAsia="en-US" w:bidi="ar-SA"/>
        </w:rPr>
        <w:t xml:space="preserve"> (S.C.). In </w:t>
      </w:r>
      <w:r>
        <w:rPr>
          <w:rFonts w:ascii="arial" w:eastAsia="arial" w:hAnsi="arial" w:cs="arial"/>
          <w:i/>
          <w:color w:val="000000"/>
          <w:sz w:val="20"/>
          <w:lang w:val="en-US" w:eastAsia="en-US" w:bidi="ar-SA"/>
        </w:rPr>
        <w:t>Kuhn</w:t>
      </w:r>
      <w:r>
        <w:rPr>
          <w:rFonts w:ascii="arial" w:eastAsia="arial" w:hAnsi="arial" w:cs="arial"/>
          <w:color w:val="000000"/>
          <w:sz w:val="20"/>
          <w:lang w:val="en-US" w:eastAsia="en-US" w:bidi="ar-SA"/>
        </w:rPr>
        <w:t>, the statement of claim, which was 456 numbered paragraphs in length, consisted of irrelevant facts, argument or evidence. It was almost impossible for the defendant to reply to the document and the facts, even if proven, would not make out the cause of action that the plaintiff sought to advance.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 pleading is an abuse of process if the litigation process is used for an improper purpose; e.g. where the proceedings constitute a sham, where the process of the court is not being fairly or honestly used, or is employed for some ulterior or improper purpose: </w:t>
      </w:r>
      <w:r>
        <w:rPr>
          <w:rFonts w:ascii="arial" w:eastAsia="arial" w:hAnsi="arial" w:cs="arial"/>
          <w:i/>
          <w:color w:val="000000"/>
          <w:sz w:val="20"/>
          <w:lang w:val="en-US" w:eastAsia="en-US" w:bidi="ar-SA"/>
        </w:rPr>
        <w:t>Babavic v. Babowech</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[1993] B.C.J. No. 1802</w:t>
        </w:r>
      </w:hyperlink>
      <w:r>
        <w:rPr>
          <w:rFonts w:ascii="arial" w:eastAsia="arial" w:hAnsi="arial" w:cs="arial"/>
          <w:color w:val="000000"/>
          <w:sz w:val="20"/>
          <w:lang w:val="en-US" w:eastAsia="en-US" w:bidi="ar-SA"/>
        </w:rPr>
        <w:t xml:space="preserve"> (S.C.);</w:t>
      </w:r>
      <w:r>
        <w:rPr>
          <w:rFonts w:ascii="arial" w:eastAsia="arial" w:hAnsi="arial" w:cs="arial"/>
          <w:i/>
          <w:color w:val="000000"/>
          <w:sz w:val="20"/>
          <w:lang w:val="en-US" w:eastAsia="en-US" w:bidi="ar-SA"/>
        </w:rPr>
        <w:t xml:space="preserve"> Drinking Driving Awareness Corp. v. British Columbia</w:t>
      </w:r>
      <w:r>
        <w:rPr>
          <w:rFonts w:ascii="arial" w:eastAsia="arial" w:hAnsi="arial" w:cs="arial"/>
          <w:color w:val="000000"/>
          <w:sz w:val="20"/>
          <w:lang w:val="en-US" w:eastAsia="en-US" w:bidi="ar-SA"/>
        </w:rPr>
        <w:t xml:space="preserve"> (5 December 2003), New Westminster Registry S78513. In </w:t>
      </w:r>
      <w:r>
        <w:rPr>
          <w:rFonts w:ascii="arial" w:eastAsia="arial" w:hAnsi="arial" w:cs="arial"/>
          <w:i/>
          <w:color w:val="000000"/>
          <w:sz w:val="20"/>
          <w:lang w:val="en-US" w:eastAsia="en-US" w:bidi="ar-SA"/>
        </w:rPr>
        <w:t>Babavic</w:t>
      </w:r>
      <w:r>
        <w:rPr>
          <w:rFonts w:ascii="arial" w:eastAsia="arial" w:hAnsi="arial" w:cs="arial"/>
          <w:color w:val="000000"/>
          <w:sz w:val="20"/>
          <w:lang w:val="en-US" w:eastAsia="en-US" w:bidi="ar-SA"/>
        </w:rPr>
        <w:t xml:space="preserve">, the Court found that the plaintiffs' action was an abuse of the court's process because it was a vexatious suit without merit brought with the sole motive and intent to harass one of the defendants and interfere with her ability to enforce a judgment. In </w:t>
      </w:r>
      <w:r>
        <w:rPr>
          <w:rFonts w:ascii="arial" w:eastAsia="arial" w:hAnsi="arial" w:cs="arial"/>
          <w:i/>
          <w:color w:val="000000"/>
          <w:sz w:val="20"/>
          <w:lang w:val="en-US" w:eastAsia="en-US" w:bidi="ar-SA"/>
        </w:rPr>
        <w:t>Drinking Driving Awareness Corp.</w:t>
      </w:r>
      <w:r>
        <w:rPr>
          <w:rFonts w:ascii="arial" w:eastAsia="arial" w:hAnsi="arial" w:cs="arial"/>
          <w:color w:val="000000"/>
          <w:sz w:val="20"/>
          <w:lang w:val="en-US" w:eastAsia="en-US" w:bidi="ar-SA"/>
        </w:rPr>
        <w:t>, the Court struck out the plaintiffs' claims against a number of defendants including Her Majesty the Queen, the Premier, the Provincial and Federal Attorney Generals and a Crown counsel. The plaintiffs did not attend the application, which was brought by some, but not all, of the defendants. Madam Justice Koenigsberg found the statement of claim and particulars incomprehensible and incapable of amendment. Invoking her inherent jurisdiction, she dismissed the action in its entirety, even against the defendants who had not brought an application to strike.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Evidence may be addressed with respect to applications under subrules (b) and (d) (see </w:t>
      </w:r>
      <w:r>
        <w:rPr>
          <w:rFonts w:ascii="arial" w:eastAsia="arial" w:hAnsi="arial" w:cs="arial"/>
          <w:b/>
          <w:i/>
          <w:color w:val="000000"/>
          <w:sz w:val="20"/>
          <w:lang w:val="en-US" w:eastAsia="en-US" w:bidi="ar-SA"/>
        </w:rPr>
        <w:t>347202 B.C. Ltd. v. Canadian Imperial Bank of Commerce</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[1995] B.C.J. No. 449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Young v. Borzoni</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[2007] B.C.J. No. 105</w:t>
        </w:r>
      </w:hyperlink>
      <w:r>
        <w:rPr>
          <w:rFonts w:ascii="arial" w:eastAsia="arial" w:hAnsi="arial" w:cs="arial"/>
          <w:color w:val="000000"/>
          <w:sz w:val="20"/>
          <w:lang w:val="en-US" w:eastAsia="en-US" w:bidi="ar-SA"/>
        </w:rPr>
        <w:t>, the Court of Appeal discussed material facts, per Thackray J.A., at para.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Rules of the Supreme Court of British Columbia provide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19(1) A pleading should be as brief as the nature of the case will permit and must contain a statement in summary form of the material facts on which the party relies, but not the evidence by which the facts are to be proved.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19(9.1) Conclusions of law may be pleaded only if the material facts supporting them are pleaded.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"Material fact" is defined in </w:t>
      </w:r>
      <w:r>
        <w:rPr>
          <w:rFonts w:ascii="arial" w:eastAsia="arial" w:hAnsi="arial" w:cs="arial"/>
          <w:i/>
          <w:color w:val="000000"/>
          <w:sz w:val="20"/>
          <w:lang w:val="en-US" w:eastAsia="en-US" w:bidi="ar-SA"/>
        </w:rPr>
        <w:t>Delaney &amp; Friends Cartoon Productions Ltd. v. Radical Entertainment Inc.</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[2005] B.C.J. No. 573</w:t>
        </w:r>
      </w:hyperlink>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2005 BCSC 371</w:t>
        </w:r>
      </w:hyperlink>
      <w:r>
        <w:rPr>
          <w:rFonts w:ascii="arial" w:eastAsia="arial" w:hAnsi="arial" w:cs="arial"/>
          <w:color w:val="000000"/>
          <w:sz w:val="20"/>
          <w:lang w:val="en-US" w:eastAsia="en-US" w:bidi="ar-SA"/>
        </w:rPr>
        <w:t xml:space="preserve"> at paragraph 9 as, "one that is essential in order to formulate a complete cause of action. If a material fact is omitted, a cause of action is not effectively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Babavic v. Babowech</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[1993] B.C.J. No. 1802</w:t>
        </w:r>
      </w:hyperlink>
      <w:r>
        <w:rPr>
          <w:rFonts w:ascii="arial" w:eastAsia="arial" w:hAnsi="arial" w:cs="arial"/>
          <w:color w:val="000000"/>
          <w:sz w:val="20"/>
          <w:lang w:val="en-US" w:eastAsia="en-US" w:bidi="ar-SA"/>
        </w:rPr>
        <w:t>, this Court, per Baker J., made the following observations respecting abuse of process: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categories of abuse of process are open. Abuse of process may be found where proceedings involve a deception on the court or constitute a mere sham; where the process of the court is not being fairly or honestly used, or is employed for some ulterior or improper purpose; proceedings which are without foundation or serve no useful purpose and multiple or successive proceedings which cause or are likely to cause vexation or oppression.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summarizes the law applicable to his motion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Defendant] must plead the material facts to support its cause of action. the Court in certain situations can analyze the pleadings to see if they are incapable of proof, and the Court can look at evidence in determining whether the case is an abuse of process to determine whether the claim is brought with the motive of delaying or hindering legitimate claims, or when it is aimed at a collateral attack of another judgment.</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[from the submissions of the plaintiff]</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With that background in the law, the plaintiff makes specific submissions that the defendant has failed to plead material facts both in respect of the malicious prosecution and the duress aspects of his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pleadings that advert to malicious prosecution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In further answer to paragraph 13, Ripudaman says that he commenced action against the Plaintiff by Writ of Summons issued 13 March 2007 in Supreme Court of British Columbia Action No. S104578 (New Westminster Registry) ("Action No. S104578") wherein he claims damages against the Plaintiff for </w:t>
            </w:r>
            <w:r>
              <w:rPr>
                <w:rFonts w:ascii="arial" w:eastAsia="arial" w:hAnsi="arial" w:cs="arial"/>
                <w:i/>
                <w:color w:val="000000"/>
                <w:sz w:val="18"/>
                <w:lang w:val="en-US" w:eastAsia="en-US" w:bidi="ar-SA"/>
              </w:rPr>
              <w:t>inter alia</w:t>
            </w:r>
            <w:r>
              <w:rPr>
                <w:rFonts w:ascii="arial" w:eastAsia="arial" w:hAnsi="arial" w:cs="arial"/>
                <w:color w:val="000000"/>
                <w:sz w:val="18"/>
                <w:lang w:val="en-US" w:eastAsia="en-US" w:bidi="ar-SA"/>
              </w:rPr>
              <w:t xml:space="preserve"> malicious prosecution.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1046"/>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w:t>
            </w:r>
          </w:p>
        </w:tc>
        <w:tc>
          <w:tcPr>
            <w:tcW w:w="102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As to paragraph 30 of the </w:t>
            </w:r>
            <w:r>
              <w:rPr>
                <w:rFonts w:ascii="arial" w:eastAsia="arial" w:hAnsi="arial" w:cs="arial"/>
                <w:color w:val="000000"/>
                <w:sz w:val="18"/>
                <w:u w:val="single"/>
                <w:lang w:val="en-US" w:eastAsia="en-US" w:bidi="ar-SA"/>
              </w:rPr>
              <w:t>Amended</w:t>
            </w:r>
            <w:r>
              <w:rPr>
                <w:rFonts w:ascii="arial" w:eastAsia="arial" w:hAnsi="arial" w:cs="arial"/>
                <w:color w:val="000000"/>
                <w:sz w:val="18"/>
                <w:lang w:val="en-US" w:eastAsia="en-US" w:bidi="ar-SA"/>
              </w:rPr>
              <w:t xml:space="preserve"> Statement of Claim, Ripudaman says that but for the  Plaintiff's </w:t>
            </w:r>
            <w:r>
              <w:rPr>
                <w:rFonts w:ascii="arial" w:eastAsia="arial" w:hAnsi="arial" w:cs="arial"/>
                <w:color w:val="000000"/>
                <w:sz w:val="18"/>
                <w:u w:val="single"/>
                <w:lang w:val="en-US" w:eastAsia="en-US" w:bidi="ar-SA"/>
              </w:rPr>
              <w:t>malicious prosecution of Ripudaman</w:t>
            </w:r>
            <w:r>
              <w:rPr>
                <w:rFonts w:ascii="arial" w:eastAsia="arial" w:hAnsi="arial" w:cs="arial"/>
                <w:color w:val="000000"/>
                <w:sz w:val="18"/>
                <w:lang w:val="en-US" w:eastAsia="en-US" w:bidi="ar-SA"/>
              </w:rPr>
              <w:t>, he would not have needed the benefit, the Indemnity Agreement or the DCA, or been forced by duress  to grant or enter into any covenant or other agreement including the Payment Agreement.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w:t>
            </w:r>
          </w:p>
        </w:tc>
        <w:tc>
          <w:tcPr>
            <w:tcW w:w="102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With reference to paragraph 34 of the </w:t>
            </w:r>
            <w:r>
              <w:rPr>
                <w:rFonts w:ascii="arial" w:eastAsia="arial" w:hAnsi="arial" w:cs="arial"/>
                <w:color w:val="000000"/>
                <w:sz w:val="18"/>
                <w:u w:val="single"/>
                <w:lang w:val="en-US" w:eastAsia="en-US" w:bidi="ar-SA"/>
              </w:rPr>
              <w:t>Amended</w:t>
            </w:r>
            <w:r>
              <w:rPr>
                <w:rFonts w:ascii="arial" w:eastAsia="arial" w:hAnsi="arial" w:cs="arial"/>
                <w:color w:val="000000"/>
                <w:sz w:val="18"/>
                <w:lang w:val="en-US" w:eastAsia="en-US" w:bidi="ar-SA"/>
              </w:rPr>
              <w:t xml:space="preserve"> Statement of Claim, Ripudaman  denies acknowledging his indebtedness as alleged. Ripudaman further denies that there is any debt due and owing by him to the Plaintiff after set-offs for damages  for malicious prosecution </w:t>
            </w:r>
            <w:r>
              <w:rPr>
                <w:rFonts w:ascii="arial" w:eastAsia="arial" w:hAnsi="arial" w:cs="arial"/>
                <w:color w:val="000000"/>
                <w:sz w:val="18"/>
                <w:u w:val="single"/>
                <w:lang w:val="en-US" w:eastAsia="en-US" w:bidi="ar-SA"/>
              </w:rPr>
              <w:t>as claimed in Action No. S104578.</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w:t>
            </w:r>
          </w:p>
        </w:tc>
        <w:tc>
          <w:tcPr>
            <w:tcW w:w="102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As to paragraph 36 of the </w:t>
            </w:r>
            <w:r>
              <w:rPr>
                <w:rFonts w:ascii="arial" w:eastAsia="arial" w:hAnsi="arial" w:cs="arial"/>
                <w:color w:val="000000"/>
                <w:sz w:val="18"/>
                <w:u w:val="single"/>
                <w:lang w:val="en-US" w:eastAsia="en-US" w:bidi="ar-SA"/>
              </w:rPr>
              <w:t>Amended</w:t>
            </w:r>
            <w:r>
              <w:rPr>
                <w:rFonts w:ascii="arial" w:eastAsia="arial" w:hAnsi="arial" w:cs="arial"/>
                <w:color w:val="000000"/>
                <w:sz w:val="18"/>
                <w:lang w:val="en-US" w:eastAsia="en-US" w:bidi="ar-SA"/>
              </w:rPr>
              <w:t xml:space="preserve"> Statement of Claim, Ripudaman  denies any fraud whatsoever, and states that any damages suffered by the Plaintiff </w:t>
            </w:r>
            <w:r>
              <w:rPr>
                <w:rFonts w:ascii="arial" w:eastAsia="arial" w:hAnsi="arial" w:cs="arial"/>
                <w:color w:val="000000"/>
                <w:sz w:val="18"/>
                <w:u w:val="single"/>
                <w:lang w:val="en-US" w:eastAsia="en-US" w:bidi="ar-SA"/>
              </w:rPr>
              <w:t xml:space="preserve">which are not admitted but expressly denied </w:t>
            </w:r>
            <w:r>
              <w:rPr>
                <w:rFonts w:ascii="arial" w:eastAsia="arial" w:hAnsi="arial" w:cs="arial"/>
                <w:color w:val="000000"/>
                <w:sz w:val="18"/>
                <w:lang w:val="en-US" w:eastAsia="en-US" w:bidi="ar-SA"/>
              </w:rPr>
              <w:t xml:space="preserve"> should be offset against the damages </w:t>
            </w:r>
            <w:r>
              <w:rPr>
                <w:rFonts w:ascii="arial" w:eastAsia="arial" w:hAnsi="arial" w:cs="arial"/>
                <w:color w:val="000000"/>
                <w:sz w:val="18"/>
                <w:u w:val="single"/>
                <w:lang w:val="en-US" w:eastAsia="en-US" w:bidi="ar-SA"/>
              </w:rPr>
              <w:t>claimed in Action No. S104578.</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w:t>
            </w:r>
          </w:p>
        </w:tc>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As to paragraph </w:t>
            </w:r>
            <w:r>
              <w:rPr>
                <w:rFonts w:ascii="arial" w:eastAsia="arial" w:hAnsi="arial" w:cs="arial"/>
                <w:color w:val="000000"/>
                <w:sz w:val="18"/>
                <w:u w:val="single"/>
                <w:lang w:val="en-US" w:eastAsia="en-US" w:bidi="ar-SA"/>
              </w:rPr>
              <w:t xml:space="preserve">47 </w:t>
            </w:r>
            <w:r>
              <w:rPr>
                <w:rFonts w:ascii="arial" w:eastAsia="arial" w:hAnsi="arial" w:cs="arial"/>
                <w:color w:val="000000"/>
                <w:sz w:val="18"/>
                <w:lang w:val="en-US" w:eastAsia="en-US" w:bidi="ar-SA"/>
              </w:rPr>
              <w:t xml:space="preserve"> Ripudaman claims an offset of any damages or costs incurred by the Plaintiff against damages </w:t>
            </w:r>
            <w:r>
              <w:rPr>
                <w:rFonts w:ascii="arial" w:eastAsia="arial" w:hAnsi="arial" w:cs="arial"/>
                <w:color w:val="000000"/>
                <w:sz w:val="18"/>
                <w:u w:val="single"/>
                <w:lang w:val="en-US" w:eastAsia="en-US" w:bidi="ar-SA"/>
              </w:rPr>
              <w:t>awarded to Ripudaman in Action No. S104578.</w:t>
            </w:r>
            <w:r>
              <w:rPr>
                <w:rFonts w:ascii="arial" w:eastAsia="arial" w:hAnsi="arial" w:cs="arial"/>
                <w:color w:val="000000"/>
                <w:sz w:val="18"/>
                <w:lang w:val="en-US" w:eastAsia="en-US" w:bidi="ar-SA"/>
              </w:rPr>
              <w:t xml:space="preserve"> Ripudaman denies any fraud or conspiracy.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627"/>
        <w:gridCol w:w="679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Prayer</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Set-off for any amounts awarded to</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for</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 </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Ripudaman against the Plaintiff in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relief</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 </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in Action No. S104578.</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for stay of all execution proceedings by the Plaintiff pending final deposition of Action No. S104578.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is clear from the nature of the defendant's averments that malicious prosecution, does not, on these pleadings, give rise to anything like a defence to the contractual arrangements alleged by the plaintiff. No material facts are pleaded beyond the existence of the other action, the anticipated consequences of success in that action, or, in the "but for" in paragraph 20, an allegation of a nexus possibly relevant to set-off. The relief sought is either a stay or a set-off.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plaintiff submits that a stay is an application, not a defence that can be the subject of pleadings. In </w:t>
      </w:r>
      <w:r>
        <w:rPr>
          <w:rFonts w:ascii="arial" w:eastAsia="arial" w:hAnsi="arial" w:cs="arial"/>
          <w:b/>
          <w:i/>
          <w:color w:val="000000"/>
          <w:sz w:val="20"/>
          <w:lang w:val="en-US" w:eastAsia="en-US" w:bidi="ar-SA"/>
        </w:rPr>
        <w:t>Stanley v. KCL West Holdings Inc.</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[2004] B.C.J. No. 2681</w:t>
        </w:r>
      </w:hyperlink>
      <w:r>
        <w:rPr>
          <w:rFonts w:ascii="arial" w:eastAsia="arial" w:hAnsi="arial" w:cs="arial"/>
          <w:color w:val="000000"/>
          <w:sz w:val="20"/>
          <w:lang w:val="en-US" w:eastAsia="en-US" w:bidi="ar-SA"/>
        </w:rPr>
        <w:t>, Master Keighley addressed an analogous situation where an allegation of abuse of process advanced as a defence: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 the plaintiff says that the allegations contained in paragraph 16 do not amount to a substantive defence to the plaintiff's claim. He says that the appropriate remedy for a plea of abuse of process is an application for a judicial stay of proceedings and refers to the decision of Macaulay J. in the case of </w:t>
      </w:r>
      <w:r>
        <w:rPr>
          <w:rFonts w:ascii="arial" w:eastAsia="arial" w:hAnsi="arial" w:cs="arial"/>
          <w:i/>
          <w:color w:val="000000"/>
          <w:sz w:val="20"/>
          <w:lang w:val="en-US" w:eastAsia="en-US" w:bidi="ar-SA"/>
        </w:rPr>
        <w:t>Lasik Vision Canada Inc. v. TLC Vancouver Optometric Group Inc.</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[2000] B.C.J. No. 1639</w:t>
        </w:r>
      </w:hyperlink>
      <w:r>
        <w:rPr>
          <w:rFonts w:ascii="arial" w:eastAsia="arial" w:hAnsi="arial" w:cs="arial"/>
          <w:color w:val="000000"/>
          <w:sz w:val="20"/>
          <w:lang w:val="en-US" w:eastAsia="en-US" w:bidi="ar-SA"/>
        </w:rPr>
        <w:t>, in which the learned judge, at paragraph 4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is no question that the court has the jurisdiction to stay proceedings that are an abuse of process. However, an abuse of process rarely constitutes an independent cause of action on which a party may sue and does not, on any authority brought to my attention, give rise to a substantive defence to be raised in response to a claim. Instead, where the commencement of an action is an abuse of process, the remedy available to a defendant is a judicial stay of proceedings.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defendants have referred me to the decisions of this Court and our Court of Appeal, respectively, in </w:t>
      </w:r>
      <w:r>
        <w:rPr>
          <w:rFonts w:ascii="arial" w:eastAsia="arial" w:hAnsi="arial" w:cs="arial"/>
          <w:i/>
          <w:color w:val="000000"/>
          <w:sz w:val="20"/>
          <w:lang w:val="en-US" w:eastAsia="en-US" w:bidi="ar-SA"/>
        </w:rPr>
        <w:t>Starbucks. Corp v. Second Cup Ltd et al</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(1993), 46 C.P.R. (3d) 492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Border Enterprises Ltd. v. Beazer East, Inc.</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[2002] B.C.J. No. 1829</w:t>
        </w:r>
      </w:hyperlink>
      <w:r>
        <w:rPr>
          <w:rFonts w:ascii="arial" w:eastAsia="arial" w:hAnsi="arial" w:cs="arial"/>
          <w:color w:val="000000"/>
          <w:sz w:val="20"/>
          <w:lang w:val="en-US" w:eastAsia="en-US" w:bidi="ar-SA"/>
        </w:rPr>
        <w:t>. These authorities establish the proposition that there exists a separate tort of abuse of process. In both cases, claims were made, rather than defences raised, on the basis on abuse of process allegations. Neither case suggests that abuse of process allegations may form the basis of a defence, as such. The Starbucks case considered whether the facts supporting an abuse of process claim, raised by way of counterclaim, could arise out of the lawsuit itself (as is alleged by this pleading), and left that issue for determination by the trial judge. An amendment may be necessary to bring this issue before the court but, at present, the issue is improperly raised by way of defence. Accordingly, paragraph 16 of the Statement of Defence and Counterclaim will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did not specifically address this aspect of the plaintiff's application. I am satisfied that to the extent the malicious prosecution action is imported into this action in aid of a stay, the pleading should be struck as a matter not of defence, but for a proper application on a proper set of materials. There is no prejudice to the defendant in doing so.</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overall submission that he ought to be relieved of the obligations under the payment agreements until the malicious prosecution action is concluded turns largely on a theory that the two actions are essentially inextricable. This contention takes two forms and involves consideration of distinct factors. The first I will turn to is the issue of "duress" raised in the pleadings. The other is the matter of set-off.</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"Duress" is pleaded in the statement of defence in the following manner: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1150"/>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w:t>
            </w:r>
          </w:p>
        </w:tc>
        <w:tc>
          <w:tcPr>
            <w:tcW w:w="112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Further the Plaintiff was fully aware of the duress in which they had placed Ripudaman, particulars of which include the following: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Commencing 27 October 2000 the Plaintiff imprisoned Ripudaman without bail;</w:t>
      </w:r>
    </w:p>
    <w:p>
      <w:pPr>
        <w:numPr>
          <w:numId w:val="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Ripudaman was unable to properly attend to his businesses which directly caused financial loss;</w:t>
      </w:r>
    </w:p>
    <w:p>
      <w:pPr>
        <w:numPr>
          <w:numId w:val="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Ripudaman was subjected to extensive negative publicity for his alleged involvement in the Air India disaster, resulting in damage to his reputation, business, and credit, causing further financial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1046"/>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w:t>
            </w:r>
          </w:p>
        </w:tc>
        <w:tc>
          <w:tcPr>
            <w:tcW w:w="102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 xml:space="preserve">The interim Funding Agreement further was obtained by duress and is therefore without force or effect.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w:t>
            </w:r>
          </w:p>
        </w:tc>
        <w:tc>
          <w:tcPr>
            <w:tcW w:w="102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Ripudaman repeats that he was under severe duress at all material times.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w:t>
            </w:r>
          </w:p>
        </w:tc>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As to paragraph 20, Ripudaman says that while the Plaintiff may have purported to rely upon misrepresentations made by Ripudaman, it was fully aware that he did not enter into any covenants to pay, was in a state of desperation and under severe duress, </w:t>
            </w:r>
            <w:r>
              <w:rPr>
                <w:rFonts w:ascii="arial" w:eastAsia="arial" w:hAnsi="arial" w:cs="arial"/>
                <w:color w:val="000000"/>
                <w:sz w:val="18"/>
                <w:u w:val="single"/>
                <w:lang w:val="en-US" w:eastAsia="en-US" w:bidi="ar-SA"/>
              </w:rPr>
              <w:t xml:space="preserve">as particularized in paragraph 9 above. The Defence Counsel Agreement was obtained by duress and is therefore without force or effect.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Alternatively, Ripudaman further says that the Defence Counsel Agreement was not relied upon by the Plaintiff in funding his defence costs, and as well, that the Plaintiff is in breach thereof and cannot rely thereon. Further, in relation to sub-paragraph c) therein, he says that he only agreed to transfer his estate net of all creditors and not the gross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1046"/>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w:t>
            </w:r>
          </w:p>
        </w:tc>
        <w:tc>
          <w:tcPr>
            <w:tcW w:w="102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As to paragraph 26 of the </w:t>
            </w:r>
            <w:r>
              <w:rPr>
                <w:rFonts w:ascii="arial" w:eastAsia="arial" w:hAnsi="arial" w:cs="arial"/>
                <w:color w:val="000000"/>
                <w:sz w:val="18"/>
                <w:u w:val="single"/>
                <w:lang w:val="en-US" w:eastAsia="en-US" w:bidi="ar-SA"/>
              </w:rPr>
              <w:t>Amended</w:t>
            </w:r>
            <w:r>
              <w:rPr>
                <w:rFonts w:ascii="arial" w:eastAsia="arial" w:hAnsi="arial" w:cs="arial"/>
                <w:color w:val="000000"/>
                <w:sz w:val="18"/>
                <w:lang w:val="en-US" w:eastAsia="en-US" w:bidi="ar-SA"/>
              </w:rPr>
              <w:t xml:space="preserve"> Statement of Claim, Ripudaman denies breaching the Restraining Order, and pleads duress. He says he only cashed his savings in order to pay legal counsel. Further, he delivered his entire tax refund cheque of $72,498.81 to the Plaintiff on request.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w:t>
            </w:r>
          </w:p>
        </w:tc>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Ripudaman admits paragraph 31 of the </w:t>
            </w:r>
            <w:r>
              <w:rPr>
                <w:rFonts w:ascii="arial" w:eastAsia="arial" w:hAnsi="arial" w:cs="arial"/>
                <w:color w:val="000000"/>
                <w:sz w:val="18"/>
                <w:u w:val="single"/>
                <w:lang w:val="en-US" w:eastAsia="en-US" w:bidi="ar-SA"/>
              </w:rPr>
              <w:t>Amended</w:t>
            </w:r>
            <w:r>
              <w:rPr>
                <w:rFonts w:ascii="arial" w:eastAsia="arial" w:hAnsi="arial" w:cs="arial"/>
                <w:color w:val="000000"/>
                <w:sz w:val="18"/>
                <w:lang w:val="en-US" w:eastAsia="en-US" w:bidi="ar-SA"/>
              </w:rPr>
              <w:t xml:space="preserve"> Statement of Claim but says he gave the mortgage under duress.  He denies that his wife Raminder gave any mortgage security.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Paragraph 9 is clearly intended to suggest that there is a straight line from the situation in which the defendant found himself to avoidance of the consequences of the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plaintiff submits that the law requires more than an allegation of difficult circumstances. It submits that for there to be duress there must be some coercion of the will so as to vitiate consent. It relies on </w:t>
      </w:r>
      <w:r>
        <w:rPr>
          <w:rFonts w:ascii="arial" w:eastAsia="arial" w:hAnsi="arial" w:cs="arial"/>
          <w:b/>
          <w:i/>
          <w:color w:val="000000"/>
          <w:sz w:val="20"/>
          <w:lang w:val="en-US" w:eastAsia="en-US" w:bidi="ar-SA"/>
        </w:rPr>
        <w:t>Ellis v. Friedland</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2000 ABQB 657</w:t>
        </w:r>
      </w:hyperlink>
      <w:r>
        <w:rPr>
          <w:rFonts w:ascii="arial" w:eastAsia="arial" w:hAnsi="arial" w:cs="arial"/>
          <w:color w:val="000000"/>
          <w:sz w:val="20"/>
          <w:lang w:val="en-US" w:eastAsia="en-US" w:bidi="ar-SA"/>
        </w:rPr>
        <w:t xml:space="preserve"> (relying on </w:t>
      </w:r>
      <w:r>
        <w:rPr>
          <w:rFonts w:ascii="arial" w:eastAsia="arial" w:hAnsi="arial" w:cs="arial"/>
          <w:b/>
          <w:i/>
          <w:color w:val="000000"/>
          <w:sz w:val="20"/>
          <w:lang w:val="en-US" w:eastAsia="en-US" w:bidi="ar-SA"/>
        </w:rPr>
        <w:t>Byle v. Byle</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(1990), 65 D.L.R. (4th) 641</w:t>
        </w:r>
      </w:hyperlink>
      <w:r>
        <w:rPr>
          <w:rFonts w:ascii="arial" w:eastAsia="arial" w:hAnsi="arial" w:cs="arial"/>
          <w:color w:val="000000"/>
          <w:sz w:val="20"/>
          <w:lang w:val="en-US" w:eastAsia="en-US" w:bidi="ar-SA"/>
        </w:rPr>
        <w:t>, B.C.C.A.) at para. 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All categories of duress have the same fundamental requirement - there must be "coercion of the will so as to vitiate consent" (</w:t>
      </w:r>
      <w:r>
        <w:rPr>
          <w:rFonts w:ascii="arial" w:eastAsia="arial" w:hAnsi="arial" w:cs="arial"/>
          <w:i/>
          <w:color w:val="000000"/>
          <w:sz w:val="20"/>
          <w:lang w:val="en-US" w:eastAsia="en-US" w:bidi="ar-SA"/>
        </w:rPr>
        <w:t>Byle</w:t>
      </w:r>
      <w:r>
        <w:rPr>
          <w:rFonts w:ascii="arial" w:eastAsia="arial" w:hAnsi="arial" w:cs="arial"/>
          <w:color w:val="000000"/>
          <w:sz w:val="20"/>
          <w:lang w:val="en-US" w:eastAsia="en-US" w:bidi="ar-SA"/>
        </w:rPr>
        <w:t xml:space="preserve">, supra at 648, citing the trial decision, </w:t>
      </w:r>
      <w:hyperlink r:id="rId189" w:history="1">
        <w:r>
          <w:rPr>
            <w:rFonts w:ascii="arial" w:eastAsia="arial" w:hAnsi="arial" w:cs="arial"/>
            <w:i/>
            <w:color w:val="0077CC"/>
            <w:sz w:val="20"/>
            <w:u w:val="single"/>
            <w:shd w:val="clear" w:color="auto" w:fill="FFFFFF"/>
            <w:lang w:val="en-US" w:eastAsia="en-US" w:bidi="ar-SA"/>
          </w:rPr>
          <w:t>[1988] B.C.J. No. 1528</w:t>
        </w:r>
      </w:hyperlink>
      <w:r>
        <w:rPr>
          <w:rFonts w:ascii="arial" w:eastAsia="arial" w:hAnsi="arial" w:cs="arial"/>
          <w:color w:val="000000"/>
          <w:sz w:val="20"/>
          <w:lang w:val="en-US" w:eastAsia="en-US" w:bidi="ar-SA"/>
        </w:rPr>
        <w:t>). In this case, the plaintiff alleges several different forms of coercion.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plaintiff submits that the particulars identified in para. 9 of the statement of claim are insufficient because there are </w:t>
      </w:r>
      <w:r>
        <w:rPr>
          <w:rFonts w:ascii="arial" w:eastAsia="arial" w:hAnsi="arial" w:cs="arial"/>
          <w:color w:val="000000"/>
          <w:sz w:val="20"/>
          <w:u w:val="single"/>
          <w:lang w:val="en-US" w:eastAsia="en-US" w:bidi="ar-SA"/>
        </w:rPr>
        <w:t>no</w:t>
      </w:r>
      <w:r>
        <w:rPr>
          <w:rFonts w:ascii="arial" w:eastAsia="arial" w:hAnsi="arial" w:cs="arial"/>
          <w:color w:val="000000"/>
          <w:sz w:val="20"/>
          <w:lang w:val="en-US" w:eastAsia="en-US" w:bidi="ar-SA"/>
        </w:rPr>
        <w:t xml:space="preserve"> facts pled that there was a coercion of the defendant's will. The plaintiff suggests that the court is left to infer from a series of bare assertions in the pleadings that the conditions necessary to establish duress existed, and that this is insufficient.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Courts have specifically found that it is not enough to simply plead circumstances that were distressing (see </w:t>
      </w:r>
      <w:r>
        <w:rPr>
          <w:rFonts w:ascii="arial" w:eastAsia="arial" w:hAnsi="arial" w:cs="arial"/>
          <w:b/>
          <w:i/>
          <w:color w:val="000000"/>
          <w:sz w:val="20"/>
          <w:lang w:val="en-US" w:eastAsia="en-US" w:bidi="ar-SA"/>
        </w:rPr>
        <w:t>Bossenberry v. Bossenberry</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[1994] O.J. No. 1942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Ferguson v. Ferguson</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[2008] B.C.J. No. 199</w:t>
        </w:r>
      </w:hyperlink>
      <w:r>
        <w:rPr>
          <w:rFonts w:ascii="arial" w:eastAsia="arial" w:hAnsi="arial" w:cs="arial"/>
          <w:color w:val="000000"/>
          <w:sz w:val="20"/>
          <w:lang w:val="en-US" w:eastAsia="en-US" w:bidi="ar-SA"/>
        </w:rPr>
        <w:t>. In the latter case, Hinkson J. made the following observations: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Although the plaintiff says that she felt pressured by the defendant and his lawyer, she left his lawyer's office and voluntarily returned later the same day to sign the agreement.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onus is on the plaintiff to prove duress if she wishes to raise it as a defence based on unfairness. Emotional distress on her part is insufficient to prove duress: see </w:t>
      </w:r>
      <w:r>
        <w:rPr>
          <w:rFonts w:ascii="arial" w:eastAsia="arial" w:hAnsi="arial" w:cs="arial"/>
          <w:i/>
          <w:color w:val="000000"/>
          <w:sz w:val="20"/>
          <w:lang w:val="en-US" w:eastAsia="en-US" w:bidi="ar-SA"/>
        </w:rPr>
        <w:t>Bossenberry v. Bossenberry</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(1994), 6 R.F.L. (4th) 47</w:t>
        </w:r>
      </w:hyperlink>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50 A.C.W.S. (3d) 269</w:t>
        </w:r>
      </w:hyperlink>
      <w:r>
        <w:rPr>
          <w:rFonts w:ascii="arial" w:eastAsia="arial" w:hAnsi="arial" w:cs="arial"/>
          <w:color w:val="000000"/>
          <w:sz w:val="20"/>
          <w:lang w:val="en-US" w:eastAsia="en-US" w:bidi="ar-SA"/>
        </w:rPr>
        <w:t xml:space="preserve"> (Ont. Ct. Gen. Div.).</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elements necessary to prove duress were described in </w:t>
      </w:r>
      <w:r>
        <w:rPr>
          <w:rFonts w:ascii="arial" w:eastAsia="arial" w:hAnsi="arial" w:cs="arial"/>
          <w:i/>
          <w:color w:val="000000"/>
          <w:sz w:val="20"/>
          <w:lang w:val="en-US" w:eastAsia="en-US" w:bidi="ar-SA"/>
        </w:rPr>
        <w:t>Saxon v. Saxon</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[1976] 4 W.W.R. 300</w:t>
        </w:r>
      </w:hyperlink>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24 R.F.L. 47</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Saxon</w:t>
      </w:r>
      <w:r>
        <w:rPr>
          <w:rFonts w:ascii="arial" w:eastAsia="arial" w:hAnsi="arial" w:cs="arial"/>
          <w:color w:val="000000"/>
          <w:sz w:val="20"/>
          <w:lang w:val="en-US" w:eastAsia="en-US" w:bidi="ar-SA"/>
        </w:rPr>
        <w:t xml:space="preserve"> cited to W.W.R.], aff'd </w:t>
      </w:r>
      <w:hyperlink r:id="rId193" w:history="1">
        <w:r>
          <w:rPr>
            <w:rFonts w:ascii="arial" w:eastAsia="arial" w:hAnsi="arial" w:cs="arial"/>
            <w:i/>
            <w:color w:val="0077CC"/>
            <w:sz w:val="20"/>
            <w:u w:val="single"/>
            <w:shd w:val="clear" w:color="auto" w:fill="FFFFFF"/>
            <w:lang w:val="en-US" w:eastAsia="en-US" w:bidi="ar-SA"/>
          </w:rPr>
          <w:t>[1978] 4 W.W.R. 327</w:t>
        </w:r>
      </w:hyperlink>
      <w:r>
        <w:rPr>
          <w:rFonts w:ascii="arial" w:eastAsia="arial" w:hAnsi="arial" w:cs="arial"/>
          <w:color w:val="000000"/>
          <w:sz w:val="20"/>
          <w:lang w:val="en-US" w:eastAsia="en-US" w:bidi="ar-SA"/>
        </w:rPr>
        <w:t>, 8 C.P.C. 240 (C.A.) as a physical compulsion of the person, a threat to the person's life or limb, or that of a close relative, the threat of a physical beating, or the threat of imprisonment. None of those elements have been proven in this case.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plaintiff did argue economic distress after a fashion, but I do not find that her economic circumstances were sufficiently compelling to vitiate consent: see </w:t>
      </w:r>
      <w:r>
        <w:rPr>
          <w:rFonts w:ascii="arial" w:eastAsia="arial" w:hAnsi="arial" w:cs="arial"/>
          <w:i/>
          <w:color w:val="000000"/>
          <w:sz w:val="20"/>
          <w:lang w:val="en-US" w:eastAsia="en-US" w:bidi="ar-SA"/>
        </w:rPr>
        <w:t>Jonasson v. Jonasson</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(1997), 95 B.C.A.C. 94</w:t>
        </w:r>
      </w:hyperlink>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30 R.F.L. (4th) 20</w:t>
        </w:r>
      </w:hyperlink>
      <w:r>
        <w:rPr>
          <w:rFonts w:ascii="arial" w:eastAsia="arial" w:hAnsi="arial" w:cs="arial"/>
          <w:color w:val="000000"/>
          <w:sz w:val="20"/>
          <w:lang w:val="en-US" w:eastAsia="en-US" w:bidi="ar-SA"/>
        </w:rPr>
        <w:t xml:space="preserve"> (C.A.), leave to appeal to S.C.C. refused (1998), 226 N.R. 400, </w:t>
      </w:r>
      <w:hyperlink r:id="rId195" w:history="1">
        <w:r>
          <w:rPr>
            <w:rFonts w:ascii="arial" w:eastAsia="arial" w:hAnsi="arial" w:cs="arial"/>
            <w:i/>
            <w:color w:val="0077CC"/>
            <w:sz w:val="20"/>
            <w:u w:val="single"/>
            <w:shd w:val="clear" w:color="auto" w:fill="FFFFFF"/>
            <w:lang w:val="en-US" w:eastAsia="en-US" w:bidi="ar-SA"/>
          </w:rPr>
          <w:t>[1997] S.C.C.A. No. 519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pleadings suggest economic pressure. Although the plaintiff addressed the circumstances in which economic duress may be a viable pleading at some length with reference to the leading case law, the defendant submits that he does not suggest economic duress, despite the wording of the pleadings. Accordingly, I do not propose to review the submissions made to me concerning economic duress.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plaintiff submits that the defendant has not pleaded any pressure resulting in coercion as described in </w:t>
      </w:r>
      <w:r>
        <w:rPr>
          <w:rFonts w:ascii="arial" w:eastAsia="arial" w:hAnsi="arial" w:cs="arial"/>
          <w:b/>
          <w:i/>
          <w:color w:val="000000"/>
          <w:sz w:val="20"/>
          <w:lang w:val="en-US" w:eastAsia="en-US" w:bidi="ar-SA"/>
        </w:rPr>
        <w:t>Permaform Plastics Ltd. v. London &amp; Midland General Insurance Co.</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[1996] M.J. No. 322</w:t>
        </w:r>
      </w:hyperlink>
      <w:r>
        <w:rPr>
          <w:rFonts w:ascii="arial" w:eastAsia="arial" w:hAnsi="arial" w:cs="arial"/>
          <w:color w:val="000000"/>
          <w:sz w:val="20"/>
          <w:lang w:val="en-US" w:eastAsia="en-US" w:bidi="ar-SA"/>
        </w:rPr>
        <w:t xml:space="preserve"> at para. 88: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Coercion of the will implies a threat of serious consequences should the contract not be executed. Coercion, at least in its legal sense, does not arise simply out of an existing state of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addressing duress in the context of a contractual relationship, </w:t>
      </w:r>
      <w:r>
        <w:rPr>
          <w:rFonts w:ascii="arial" w:eastAsia="arial" w:hAnsi="arial" w:cs="arial"/>
          <w:b/>
          <w:i/>
          <w:color w:val="000000"/>
          <w:sz w:val="20"/>
          <w:lang w:val="en-US" w:eastAsia="en-US" w:bidi="ar-SA"/>
        </w:rPr>
        <w:t>Ellis</w:t>
      </w:r>
      <w:r>
        <w:rPr>
          <w:rFonts w:ascii="arial" w:eastAsia="arial" w:hAnsi="arial" w:cs="arial"/>
          <w:color w:val="000000"/>
          <w:sz w:val="20"/>
          <w:lang w:val="en-US" w:eastAsia="en-US" w:bidi="ar-SA"/>
        </w:rPr>
        <w:t xml:space="preserve"> applied a series of </w:t>
      </w:r>
      <w:r>
        <w:rPr>
          <w:rFonts w:ascii="arial" w:eastAsia="arial" w:hAnsi="arial" w:cs="arial"/>
          <w:i/>
          <w:color w:val="000000"/>
          <w:sz w:val="20"/>
          <w:lang w:val="en-US" w:eastAsia="en-US" w:bidi="ar-SA"/>
        </w:rPr>
        <w:t>indicia</w:t>
      </w:r>
      <w:r>
        <w:rPr>
          <w:rFonts w:ascii="arial" w:eastAsia="arial" w:hAnsi="arial" w:cs="arial"/>
          <w:color w:val="000000"/>
          <w:sz w:val="20"/>
          <w:lang w:val="en-US" w:eastAsia="en-US" w:bidi="ar-SA"/>
        </w:rPr>
        <w:t xml:space="preserve"> set out in </w:t>
      </w:r>
      <w:r>
        <w:rPr>
          <w:rFonts w:ascii="arial" w:eastAsia="arial" w:hAnsi="arial" w:cs="arial"/>
          <w:b/>
          <w:i/>
          <w:color w:val="000000"/>
          <w:sz w:val="20"/>
          <w:lang w:val="en-US" w:eastAsia="en-US" w:bidi="ar-SA"/>
        </w:rPr>
        <w:t>Pao On v. Lau Yiu</w:t>
      </w:r>
      <w:r>
        <w:rPr>
          <w:rFonts w:ascii="arial" w:eastAsia="arial" w:hAnsi="arial" w:cs="arial"/>
          <w:color w:val="000000"/>
          <w:sz w:val="20"/>
          <w:lang w:val="en-US" w:eastAsia="en-US" w:bidi="ar-SA"/>
        </w:rPr>
        <w:t>, [1979] 2 All. E.R. 65 (P.C.):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assessing the existence of coercion such that there was no true consent, the court stated (at 78):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it is material to enquire whether the person alleged to have been coerced did or did not protest; whether, at the time he was allegedly coerced into making the contract, he did or did not have an alternative course open to him such as an adequate legal remedy; whether he was independently advised; and whether after entering the contract he took steps to avoid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Hill v. Forbes</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2007 ONCA 443</w:t>
        </w:r>
      </w:hyperlink>
      <w:r>
        <w:rPr>
          <w:rFonts w:ascii="arial" w:eastAsia="arial" w:hAnsi="arial" w:cs="arial"/>
          <w:color w:val="000000"/>
          <w:sz w:val="20"/>
          <w:lang w:val="en-US" w:eastAsia="en-US" w:bidi="ar-SA"/>
        </w:rPr>
        <w:t>, delay in raising the issue of duress was considered significant: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Finally, the appellant did not raise any concerns about the agreement for over a year following its signature. He simply ignored it and made none of the payments contemplated.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plaintiff submits that the pleading as constituted fail on all the factors set out in </w:t>
      </w:r>
      <w:r>
        <w:rPr>
          <w:rFonts w:ascii="arial" w:eastAsia="arial" w:hAnsi="arial" w:cs="arial"/>
          <w:b/>
          <w:i/>
          <w:color w:val="000000"/>
          <w:sz w:val="20"/>
          <w:lang w:val="en-US" w:eastAsia="en-US" w:bidi="ar-SA"/>
        </w:rPr>
        <w:t>Pao</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says that it was Mr. Malik's idea to approach the Government for legal funding so there is no protest, that he had independent legal advice from his counsel negotiating with the Plaintiff on his behalf, and that he has not taken any steps to set aside the contract subsequently with the exception of advancing this issue in his Amended Statement of Defence. More importantly, the Plaintiff says that Mr. Malik affirmed his obligations under the Agreements following the Plaintiff's demand for payment because of Mr. Malik's counsel responded to the demand by seeking a credit of $72,000 against the amounts owing by Mr. Malik to the Plaintiff. In this regard the Plaintiff relies upon </w:t>
      </w:r>
      <w:r>
        <w:rPr>
          <w:rFonts w:ascii="arial" w:eastAsia="arial" w:hAnsi="arial" w:cs="arial"/>
          <w:i/>
          <w:color w:val="000000"/>
          <w:sz w:val="20"/>
          <w:lang w:val="en-US" w:eastAsia="en-US" w:bidi="ar-SA"/>
        </w:rPr>
        <w:t>Engle v. Carswell</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[1995] N.W.T.J. No. 12</w:t>
        </w:r>
      </w:hyperlink>
      <w:r>
        <w:rPr>
          <w:rFonts w:ascii="arial" w:eastAsia="arial" w:hAnsi="arial" w:cs="arial"/>
          <w:color w:val="000000"/>
          <w:sz w:val="20"/>
          <w:lang w:val="en-US" w:eastAsia="en-US" w:bidi="ar-SA"/>
        </w:rPr>
        <w:t xml:space="preserve"> (CB Tab 21), and </w:t>
      </w:r>
      <w:r>
        <w:rPr>
          <w:rFonts w:ascii="arial" w:eastAsia="arial" w:hAnsi="arial" w:cs="arial"/>
          <w:i/>
          <w:color w:val="000000"/>
          <w:sz w:val="20"/>
          <w:lang w:val="en-US" w:eastAsia="en-US" w:bidi="ar-SA"/>
        </w:rPr>
        <w:t>P. (M.L.) v. P. (G.W.)</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(2000), 12 R.F.L. (5th) 434</w:t>
        </w:r>
      </w:hyperlink>
      <w:r>
        <w:rPr>
          <w:rFonts w:ascii="arial" w:eastAsia="arial" w:hAnsi="arial" w:cs="arial"/>
          <w:color w:val="000000"/>
          <w:sz w:val="20"/>
          <w:lang w:val="en-US" w:eastAsia="en-US" w:bidi="ar-SA"/>
        </w:rPr>
        <w:t xml:space="preserve"> (CB Tab 22). None of these material facts have been plead to support his defence of duress.</w:t>
      </w:r>
    </w:p>
    <w:p>
      <w:pPr>
        <w:spacing w:before="120"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[from the plaintiff's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On the question of there being no other course of action besides taking the plaintiff's money, the plaintiff submits that this has not, and could not have been established in light of the finding of Madam Justice Stromberg-Stein in the </w:t>
      </w:r>
      <w:r>
        <w:rPr>
          <w:rFonts w:ascii="arial" w:eastAsia="arial" w:hAnsi="arial" w:cs="arial"/>
          <w:i/>
          <w:color w:val="000000"/>
          <w:sz w:val="20"/>
          <w:lang w:val="en-US" w:eastAsia="en-US" w:bidi="ar-SA"/>
        </w:rPr>
        <w:t>Rowbotham</w:t>
      </w:r>
      <w:r>
        <w:rPr>
          <w:rFonts w:ascii="arial" w:eastAsia="arial" w:hAnsi="arial" w:cs="arial"/>
          <w:color w:val="000000"/>
          <w:sz w:val="20"/>
          <w:lang w:val="en-US" w:eastAsia="en-US" w:bidi="ar-SA"/>
        </w:rPr>
        <w:t xml:space="preserve"> application, </w:t>
      </w:r>
      <w:hyperlink r:id="rId200" w:history="1">
        <w:r>
          <w:rPr>
            <w:rFonts w:ascii="arial" w:eastAsia="arial" w:hAnsi="arial" w:cs="arial"/>
            <w:i/>
            <w:color w:val="0077CC"/>
            <w:sz w:val="20"/>
            <w:u w:val="single"/>
            <w:shd w:val="clear" w:color="auto" w:fill="FFFFFF"/>
            <w:lang w:val="en-US" w:eastAsia="en-US" w:bidi="ar-SA"/>
          </w:rPr>
          <w:t>[1988] O.J. No. 271</w:t>
        </w:r>
      </w:hyperlink>
      <w:r>
        <w:rPr>
          <w:rFonts w:ascii="arial" w:eastAsia="arial" w:hAnsi="arial" w:cs="arial"/>
          <w:color w:val="000000"/>
          <w:sz w:val="20"/>
          <w:lang w:val="en-US" w:eastAsia="en-US" w:bidi="ar-SA"/>
        </w:rPr>
        <w:t>, that the defendant was in a position to pay the fees himself. The plaintiff submits that it is not possible to maintain this without impermissibly and collaterally attacking that ruling. For that reason as well the plaintiff maintains that the plea of duress is "bound to fail."</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defendant submits that the court may grant relief from a contract entered into where there are such circumstances of pressure as to prevent a party from being a free agent. He cites </w:t>
      </w:r>
      <w:r>
        <w:rPr>
          <w:rFonts w:ascii="arial" w:eastAsia="arial" w:hAnsi="arial" w:cs="arial"/>
          <w:i/>
          <w:color w:val="000000"/>
          <w:sz w:val="20"/>
          <w:lang w:val="en-US" w:eastAsia="en-US" w:bidi="ar-SA"/>
        </w:rPr>
        <w:t>Halsbury's Laws of England</w:t>
      </w:r>
      <w:r>
        <w:rPr>
          <w:rFonts w:ascii="arial" w:eastAsia="arial" w:hAnsi="arial" w:cs="arial"/>
          <w:color w:val="000000"/>
          <w:sz w:val="20"/>
          <w:lang w:val="en-US" w:eastAsia="en-US" w:bidi="ar-SA"/>
        </w:rPr>
        <w:t xml:space="preserve"> (3rd Ed.), v. 8, pp. 84-85, para. 146: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146. Meaning of duress.</w:t>
      </w:r>
      <w:r>
        <w:rPr>
          <w:rFonts w:ascii="arial" w:eastAsia="arial" w:hAnsi="arial" w:cs="arial"/>
          <w:color w:val="000000"/>
          <w:sz w:val="20"/>
          <w:lang w:val="en-US" w:eastAsia="en-US" w:bidi="ar-SA"/>
        </w:rPr>
        <w:t xml:space="preserve"> By duress is meant the compulsion under which a person acts through fear of personal suffering, as from injury to the body or from confinement, actual or threatened (e). A threat of a criminal prosecution for which there is sufficient ground is not such duress as will vitiate a contract made in consequence thereof, provided that there is adequate valuable consideration for the contract, and that there is no agreement to stifle the prosecution (f). As a general rule, a threat of civil proceedings or bankruptcy proceedings does not amount to duress, whether there is good foundation for the proceedings or not, though it may do so if it is intended and calculated, having regard to the circumstance to cause terror in the particular case (g). The question whether imprisonment or threatened imprisonment does or does not constitute duress depends upon whether the imprisonment is lawful or unlawful (h).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He also cites </w:t>
      </w:r>
      <w:r>
        <w:rPr>
          <w:rFonts w:ascii="arial" w:eastAsia="arial" w:hAnsi="arial" w:cs="arial"/>
          <w:i/>
          <w:color w:val="000000"/>
          <w:sz w:val="20"/>
          <w:lang w:val="en-US" w:eastAsia="en-US" w:bidi="ar-SA"/>
        </w:rPr>
        <w:t>Halsbury's</w:t>
      </w:r>
      <w:r>
        <w:rPr>
          <w:rFonts w:ascii="arial" w:eastAsia="arial" w:hAnsi="arial" w:cs="arial"/>
          <w:color w:val="000000"/>
          <w:sz w:val="20"/>
          <w:lang w:val="en-US" w:eastAsia="en-US" w:bidi="ar-SA"/>
        </w:rPr>
        <w:t xml:space="preserve"> (3rd Ed.), v. 14, at 479, para. 913,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913. Duress.</w:t>
      </w:r>
      <w:r>
        <w:rPr>
          <w:rFonts w:ascii="arial" w:eastAsia="arial" w:hAnsi="arial" w:cs="arial"/>
          <w:color w:val="000000"/>
          <w:sz w:val="20"/>
          <w:lang w:val="en-US" w:eastAsia="en-US" w:bidi="ar-SA"/>
        </w:rPr>
        <w:t xml:space="preserve"> Where a party to a transaction enters into it under duress in the strict sense, that is, where he is compelled to it by bodily restraint or fear of bodily harm, the transaction is voidable at law(s), and in that case it will be set aside in equity (t). Relief is also granted in equity where the compulsion is not of this extreme nature, however, and to avoid the transaction it is sufficient that there were such circumstances of pressure as to prevent the party being a free agent (u). Similarly, where a transaction is voidable, a confirmation of it procured by terror is of no effect.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This is qualified in footnote </w:t>
      </w:r>
      <w:r>
        <w:rPr>
          <w:rFonts w:ascii="arial" w:eastAsia="arial" w:hAnsi="arial" w:cs="arial"/>
          <w:i/>
          <w:color w:val="000000"/>
          <w:sz w:val="20"/>
          <w:lang w:val="en-US" w:eastAsia="en-US" w:bidi="ar-SA"/>
        </w:rPr>
        <w:t>(t)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Hawes v. Wyatt</w:t>
      </w:r>
      <w:r>
        <w:rPr>
          <w:rFonts w:ascii="arial" w:eastAsia="arial" w:hAnsi="arial" w:cs="arial"/>
          <w:color w:val="000000"/>
          <w:sz w:val="20"/>
          <w:lang w:val="en-US" w:eastAsia="en-US" w:bidi="ar-SA"/>
        </w:rPr>
        <w:t xml:space="preserve"> (1790), 3 Bro. C.C. 156, at p. 158; </w:t>
      </w:r>
      <w:r>
        <w:rPr>
          <w:rFonts w:ascii="arial" w:eastAsia="arial" w:hAnsi="arial" w:cs="arial"/>
          <w:i/>
          <w:color w:val="000000"/>
          <w:sz w:val="20"/>
          <w:lang w:val="en-US" w:eastAsia="en-US" w:bidi="ar-SA"/>
        </w:rPr>
        <w:t>Scott v. Scott</w:t>
      </w:r>
      <w:r>
        <w:rPr>
          <w:rFonts w:ascii="arial" w:eastAsia="arial" w:hAnsi="arial" w:cs="arial"/>
          <w:color w:val="000000"/>
          <w:sz w:val="20"/>
          <w:lang w:val="en-US" w:eastAsia="en-US" w:bidi="ar-SA"/>
        </w:rPr>
        <w:t xml:space="preserve"> (1847), 11 I. Eq. R. 74,487. The fact that a conveyance or contract was made in prison with a view to procuring release is not a ground for avoiding it, if it is fair and is made on proper advice (</w:t>
      </w:r>
      <w:r>
        <w:rPr>
          <w:rFonts w:ascii="arial" w:eastAsia="arial" w:hAnsi="arial" w:cs="arial"/>
          <w:i/>
          <w:color w:val="000000"/>
          <w:sz w:val="20"/>
          <w:lang w:val="en-US" w:eastAsia="en-US" w:bidi="ar-SA"/>
        </w:rPr>
        <w:t>Hinton v. Hinton</w:t>
      </w:r>
      <w:r>
        <w:rPr>
          <w:rFonts w:ascii="arial" w:eastAsia="arial" w:hAnsi="arial" w:cs="arial"/>
          <w:color w:val="000000"/>
          <w:sz w:val="20"/>
          <w:lang w:val="en-US" w:eastAsia="en-US" w:bidi="ar-SA"/>
        </w:rPr>
        <w:t xml:space="preserve"> (1755), 2 Ves. Sen. 631; </w:t>
      </w:r>
      <w:r>
        <w:rPr>
          <w:rFonts w:ascii="arial" w:eastAsia="arial" w:hAnsi="arial" w:cs="arial"/>
          <w:i/>
          <w:color w:val="000000"/>
          <w:sz w:val="20"/>
          <w:lang w:val="en-US" w:eastAsia="en-US" w:bidi="ar-SA"/>
        </w:rPr>
        <w:t>Brinkley v. Hann</w:t>
      </w:r>
      <w:r>
        <w:rPr>
          <w:rFonts w:ascii="arial" w:eastAsia="arial" w:hAnsi="arial" w:cs="arial"/>
          <w:color w:val="000000"/>
          <w:sz w:val="20"/>
          <w:lang w:val="en-US" w:eastAsia="en-US" w:bidi="ar-SA"/>
        </w:rPr>
        <w:t xml:space="preserve"> (1843), Drury temp. Sug. 175); and so as to bail given while under arrest by process of law (</w:t>
      </w:r>
      <w:r>
        <w:rPr>
          <w:rFonts w:ascii="arial" w:eastAsia="arial" w:hAnsi="arial" w:cs="arial"/>
          <w:i/>
          <w:color w:val="000000"/>
          <w:sz w:val="20"/>
          <w:lang w:val="en-US" w:eastAsia="en-US" w:bidi="ar-SA"/>
        </w:rPr>
        <w:t>Roy v. Duke of Beaufort</w:t>
      </w:r>
      <w:r>
        <w:rPr>
          <w:rFonts w:ascii="arial" w:eastAsia="arial" w:hAnsi="arial" w:cs="arial"/>
          <w:color w:val="000000"/>
          <w:sz w:val="20"/>
          <w:lang w:val="en-US" w:eastAsia="en-US" w:bidi="ar-SA"/>
        </w:rPr>
        <w:t xml:space="preserve">) (1741), 2 Atk.190, at p. 193; </w:t>
      </w:r>
      <w:r>
        <w:rPr>
          <w:rFonts w:ascii="arial" w:eastAsia="arial" w:hAnsi="arial" w:cs="arial"/>
          <w:i/>
          <w:color w:val="000000"/>
          <w:sz w:val="20"/>
          <w:lang w:val="en-US" w:eastAsia="en-US" w:bidi="ar-SA"/>
        </w:rPr>
        <w:t>Liverpool Marine Credit Co. v. Hunter</w:t>
      </w:r>
      <w:r>
        <w:rPr>
          <w:rFonts w:ascii="arial" w:eastAsia="arial" w:hAnsi="arial" w:cs="arial"/>
          <w:color w:val="000000"/>
          <w:sz w:val="20"/>
          <w:lang w:val="en-US" w:eastAsia="en-US" w:bidi="ar-SA"/>
        </w:rPr>
        <w:t xml:space="preserve"> (1868), 3 Ch. App. 479, disapproving </w:t>
      </w:r>
      <w:r>
        <w:rPr>
          <w:rFonts w:ascii="arial" w:eastAsia="arial" w:hAnsi="arial" w:cs="arial"/>
          <w:i/>
          <w:color w:val="000000"/>
          <w:sz w:val="20"/>
          <w:lang w:val="en-US" w:eastAsia="en-US" w:bidi="ar-SA"/>
        </w:rPr>
        <w:t>Talleyrand v. Boulanger</w:t>
      </w:r>
      <w:r>
        <w:rPr>
          <w:rFonts w:ascii="arial" w:eastAsia="arial" w:hAnsi="arial" w:cs="arial"/>
          <w:color w:val="000000"/>
          <w:sz w:val="20"/>
          <w:lang w:val="en-US" w:eastAsia="en-US" w:bidi="ar-SA"/>
        </w:rPr>
        <w:t xml:space="preserve"> (1797), 3 Ves. 447). If, however, owing to the arrest, there is no free consent, the court will relieve, notwithstanding that the arrest was lawful (</w:t>
      </w:r>
      <w:r>
        <w:rPr>
          <w:rFonts w:ascii="arial" w:eastAsia="arial" w:hAnsi="arial" w:cs="arial"/>
          <w:i/>
          <w:color w:val="000000"/>
          <w:sz w:val="20"/>
          <w:lang w:val="en-US" w:eastAsia="en-US" w:bidi="ar-SA"/>
        </w:rPr>
        <w:t>Nicholls v. Nicholls</w:t>
      </w:r>
      <w:r>
        <w:rPr>
          <w:rFonts w:ascii="arial" w:eastAsia="arial" w:hAnsi="arial" w:cs="arial"/>
          <w:color w:val="000000"/>
          <w:sz w:val="20"/>
          <w:lang w:val="en-US" w:eastAsia="en-US" w:bidi="ar-SA"/>
        </w:rPr>
        <w:t xml:space="preserve"> (1737), 1 Atk. 409; </w:t>
      </w:r>
      <w:r>
        <w:rPr>
          <w:rFonts w:ascii="arial" w:eastAsia="arial" w:hAnsi="arial" w:cs="arial"/>
          <w:i/>
          <w:color w:val="000000"/>
          <w:sz w:val="20"/>
          <w:lang w:val="en-US" w:eastAsia="en-US" w:bidi="ar-SA"/>
        </w:rPr>
        <w:t>Falkner v. O'Brien</w:t>
      </w:r>
      <w:r>
        <w:rPr>
          <w:rFonts w:ascii="arial" w:eastAsia="arial" w:hAnsi="arial" w:cs="arial"/>
          <w:color w:val="000000"/>
          <w:sz w:val="20"/>
          <w:lang w:val="en-US" w:eastAsia="en-US" w:bidi="ar-SA"/>
        </w:rPr>
        <w:t xml:space="preserve"> (1812), 2 Ball. &amp; B. 214)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defendant refers to </w:t>
      </w:r>
      <w:r>
        <w:rPr>
          <w:rFonts w:ascii="arial" w:eastAsia="arial" w:hAnsi="arial" w:cs="arial"/>
          <w:i/>
          <w:color w:val="000000"/>
          <w:sz w:val="20"/>
          <w:lang w:val="en-US" w:eastAsia="en-US" w:bidi="ar-SA"/>
        </w:rPr>
        <w:t>Atkin's Encyclopaedia of Court Forms in Civil Proceedings</w:t>
      </w:r>
      <w:r>
        <w:rPr>
          <w:rFonts w:ascii="arial" w:eastAsia="arial" w:hAnsi="arial" w:cs="arial"/>
          <w:color w:val="000000"/>
          <w:sz w:val="20"/>
          <w:lang w:val="en-US" w:eastAsia="en-US" w:bidi="ar-SA"/>
        </w:rPr>
        <w:t xml:space="preserve"> (2nd Ed.), vol. 12(2) 1996 issue at 21,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18. Duress and undue influence</w:t>
      </w:r>
      <w:r>
        <w:rPr>
          <w:rFonts w:ascii="arial" w:eastAsia="arial" w:hAnsi="arial" w:cs="arial"/>
          <w:color w:val="000000"/>
          <w:sz w:val="20"/>
          <w:lang w:val="en-US" w:eastAsia="en-US" w:bidi="ar-SA"/>
        </w:rPr>
        <w:t>. Where consent is given in full knowledge of facts, the contract may still be set aside if it was made under duress or undue influence.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Duress at common law may be pleaded where the end arrived at was achieved by the use of something in the nature of unlawful force or the threat of unlawful force against the person of the other contracting party, for example unlawful constraint. When the unlawful threats have been proved, the party who made them must establish that they did not induce the contract in any degree.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He then refers to the model forms of pleadings, and, in particular, Form 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 </w:t>
      </w:r>
      <w:r>
        <w:rPr>
          <w:rFonts w:ascii="arial" w:eastAsia="arial" w:hAnsi="arial" w:cs="arial"/>
          <w:i/>
          <w:color w:val="000000"/>
          <w:sz w:val="20"/>
          <w:lang w:val="en-US" w:eastAsia="en-US" w:bidi="ar-SA"/>
        </w:rPr>
        <w:t>(The defendant should admit not admit or deny each paragraph of the statement of claim)2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The Defendant was induced to enter into the alleged contract by duress on the part of the Plaintiff.</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PARTICULARS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 19 ... (</w:t>
      </w:r>
      <w:r>
        <w:rPr>
          <w:rFonts w:ascii="arial" w:eastAsia="arial" w:hAnsi="arial" w:cs="arial"/>
          <w:i/>
          <w:color w:val="000000"/>
          <w:sz w:val="20"/>
          <w:lang w:val="en-US" w:eastAsia="en-US" w:bidi="ar-SA"/>
        </w:rPr>
        <w:t>address</w:t>
      </w:r>
      <w:r>
        <w:rPr>
          <w:rFonts w:ascii="arial" w:eastAsia="arial" w:hAnsi="arial" w:cs="arial"/>
          <w:color w:val="000000"/>
          <w:sz w:val="20"/>
          <w:lang w:val="en-US" w:eastAsia="en-US" w:bidi="ar-SA"/>
        </w:rPr>
        <w:t>) the Plaintiff forcibly detained the Defendant in a room and refused to allow him to leave the room until the Defendant had signed the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In the premises it is denied that the Defendant is bound by the alleged contract as set out in the Statement of Claim or at all.</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(Conclude as in Form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 submits that this should be read as if the bare assertion of duress is sufficient for the pleading, and that particulars may follow later. This seems at odds, however, with the numeration of the paragraphs on the face of the example given. The defendant submits that in any case these are matters of evidence at trial, or in the alternative, are matters capable of amendment or matters which may be addressed by the delivery of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defendant only proposes one amendment despite the notice he has been given since the filing of the plaintiff's motion. He submits that if it made a difference he would amend his pleadings to include an allegation that his imprisonment was "wrongful." The effect of this was the subject of some discussion between counsel and the court. The authorities footnoted in </w:t>
      </w:r>
      <w:r>
        <w:rPr>
          <w:rFonts w:ascii="arial" w:eastAsia="arial" w:hAnsi="arial" w:cs="arial"/>
          <w:i/>
          <w:color w:val="000000"/>
          <w:sz w:val="20"/>
          <w:lang w:val="en-US" w:eastAsia="en-US" w:bidi="ar-SA"/>
        </w:rPr>
        <w:t>Halsbury's</w:t>
      </w:r>
      <w:r>
        <w:rPr>
          <w:rFonts w:ascii="arial" w:eastAsia="arial" w:hAnsi="arial" w:cs="arial"/>
          <w:color w:val="000000"/>
          <w:sz w:val="20"/>
          <w:lang w:val="en-US" w:eastAsia="en-US" w:bidi="ar-SA"/>
        </w:rPr>
        <w:t xml:space="preserve"> suggest that that may be a material difference if the wrongful nature of the activity is a factor in vitiating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It is clear from the authorities tendered by the defendant, however, that consent may be vitiated in circumstances of even a </w:t>
      </w:r>
      <w:r>
        <w:rPr>
          <w:rFonts w:ascii="arial" w:eastAsia="arial" w:hAnsi="arial" w:cs="arial"/>
          <w:color w:val="000000"/>
          <w:sz w:val="20"/>
          <w:u w:val="single"/>
          <w:lang w:val="en-US" w:eastAsia="en-US" w:bidi="ar-SA"/>
        </w:rPr>
        <w:t>lawful</w:t>
      </w:r>
      <w:r>
        <w:rPr>
          <w:rFonts w:ascii="arial" w:eastAsia="arial" w:hAnsi="arial" w:cs="arial"/>
          <w:color w:val="000000"/>
          <w:sz w:val="20"/>
          <w:lang w:val="en-US" w:eastAsia="en-US" w:bidi="ar-SA"/>
        </w:rPr>
        <w:t xml:space="preserve"> arrest. The </w:t>
      </w:r>
      <w:r>
        <w:rPr>
          <w:rFonts w:ascii="arial" w:eastAsia="arial" w:hAnsi="arial" w:cs="arial"/>
          <w:i/>
          <w:color w:val="000000"/>
          <w:sz w:val="20"/>
          <w:lang w:val="en-US" w:eastAsia="en-US" w:bidi="ar-SA"/>
        </w:rPr>
        <w:t>sine qua non</w:t>
      </w:r>
      <w:r>
        <w:rPr>
          <w:rFonts w:ascii="arial" w:eastAsia="arial" w:hAnsi="arial" w:cs="arial"/>
          <w:color w:val="000000"/>
          <w:sz w:val="20"/>
          <w:lang w:val="en-US" w:eastAsia="en-US" w:bidi="ar-SA"/>
        </w:rPr>
        <w:t xml:space="preserve"> of such a pleading is a statement of material facts which, if true, would establish the defence. The pleadings, as constituted, with or without the amendment "wrongful" only suggest surrounding circumstances which may or may not constitute the setting for such a claim. There is nothing in the pleadings to suggest pressure vitiating consent, or any of the severally identified hallmarks such as protest, lack of independent advice, timely attempts to avoid consequences, illegitimate pressure, or no alternative course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plaintiff's submission that what Stromberg-Stein J. found at the </w:t>
      </w:r>
      <w:r>
        <w:rPr>
          <w:rFonts w:ascii="arial" w:eastAsia="arial" w:hAnsi="arial" w:cs="arial"/>
          <w:i/>
          <w:color w:val="000000"/>
          <w:sz w:val="20"/>
          <w:lang w:val="en-US" w:eastAsia="en-US" w:bidi="ar-SA"/>
        </w:rPr>
        <w:t>Rowbotham</w:t>
      </w:r>
      <w:r>
        <w:rPr>
          <w:rFonts w:ascii="arial" w:eastAsia="arial" w:hAnsi="arial" w:cs="arial"/>
          <w:color w:val="000000"/>
          <w:sz w:val="20"/>
          <w:lang w:val="en-US" w:eastAsia="en-US" w:bidi="ar-SA"/>
        </w:rPr>
        <w:t xml:space="preserve"> hearing renders it impossible for the defendant to plead "duress" may be so, but the defendant does not plead sufficient facts that even give rise to the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pleadings contain </w:t>
      </w:r>
      <w:r>
        <w:rPr>
          <w:rFonts w:ascii="arial" w:eastAsia="arial" w:hAnsi="arial" w:cs="arial"/>
          <w:color w:val="000000"/>
          <w:sz w:val="20"/>
          <w:u w:val="single"/>
          <w:lang w:val="en-US" w:eastAsia="en-US" w:bidi="ar-SA"/>
        </w:rPr>
        <w:t>no</w:t>
      </w:r>
      <w:r>
        <w:rPr>
          <w:rFonts w:ascii="arial" w:eastAsia="arial" w:hAnsi="arial" w:cs="arial"/>
          <w:color w:val="000000"/>
          <w:sz w:val="20"/>
          <w:lang w:val="en-US" w:eastAsia="en-US" w:bidi="ar-SA"/>
        </w:rPr>
        <w:t xml:space="preserve"> material facts supportive of the defence of duress. Even if the "imprisonment" alleged in the pleadings were amended to include the word "wrongful," it remains merely suggestive of an inference from a circumstance that is misdescribed-the </w:t>
      </w:r>
      <w:r>
        <w:rPr>
          <w:rFonts w:ascii="arial" w:eastAsia="arial" w:hAnsi="arial" w:cs="arial"/>
          <w:i/>
          <w:color w:val="000000"/>
          <w:sz w:val="20"/>
          <w:lang w:val="en-US" w:eastAsia="en-US" w:bidi="ar-SA"/>
        </w:rPr>
        <w:t>plaintiff</w:t>
      </w:r>
      <w:r>
        <w:rPr>
          <w:rFonts w:ascii="arial" w:eastAsia="arial" w:hAnsi="arial" w:cs="arial"/>
          <w:color w:val="000000"/>
          <w:sz w:val="20"/>
          <w:lang w:val="en-US" w:eastAsia="en-US" w:bidi="ar-SA"/>
        </w:rPr>
        <w:t xml:space="preserve"> did not "imprison the defendant without bail"-far short of material facts that would support a claim of duress. As I have noted, the defendant's suggestion that such material facts may be matters of "evidence" or "particulars", have not prompted any attempt to address the deficiencies identified by the plaintiff or to provide such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Given the manner in which the defendant chose to defend these pleadings I have not found it necessary to consider the circumstances, outlined above, in which </w:t>
      </w:r>
      <w:r>
        <w:rPr>
          <w:rFonts w:ascii="arial" w:eastAsia="arial" w:hAnsi="arial" w:cs="arial"/>
          <w:i/>
          <w:color w:val="000000"/>
          <w:sz w:val="20"/>
          <w:lang w:val="en-US" w:eastAsia="en-US" w:bidi="ar-SA"/>
        </w:rPr>
        <w:t>evidence</w:t>
      </w:r>
      <w:r>
        <w:rPr>
          <w:rFonts w:ascii="arial" w:eastAsia="arial" w:hAnsi="arial" w:cs="arial"/>
          <w:color w:val="000000"/>
          <w:sz w:val="20"/>
          <w:lang w:val="en-US" w:eastAsia="en-US" w:bidi="ar-SA"/>
        </w:rPr>
        <w:t xml:space="preserve"> may be considered in the context of Rule 19 applications, although the plaintiff obviously dealt with those issues in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the grounds that no material facts are pleaded, the defendant's pleadings respecting both "duress" and malicious prosecution are struck out in the terms sought by the plaintiff.</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last issue is the question of set-off. The plaintiff has addressed the distinctions between legal and equitable set-off in its materials. The defendant accepts that the only basis of his assertion of a right to set-off is equitable, so it will not be necessary to address legal set-off.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submits that the defendant has not pled material facts to support his claim for an equitable set-off and that, in any event, he is not entitled to an equitable set-off because the necessary conditions do not arise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leading authority is </w:t>
      </w:r>
      <w:r>
        <w:rPr>
          <w:rFonts w:ascii="arial" w:eastAsia="arial" w:hAnsi="arial" w:cs="arial"/>
          <w:b/>
          <w:i/>
          <w:color w:val="000000"/>
          <w:sz w:val="20"/>
          <w:lang w:val="en-US" w:eastAsia="en-US" w:bidi="ar-SA"/>
        </w:rPr>
        <w:t>Cobra [Coba] Industries Ltd. v. Millie's Holdings (Canada) Ltd.</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Cobra</w:t>
      </w:r>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20 D.L.R. (4th) 689</w:t>
        </w:r>
      </w:hyperlink>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[1985] 6 W.W.R. 14</w:t>
        </w:r>
      </w:hyperlink>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65 B.C.L.R. 31</w:t>
        </w:r>
      </w:hyperlink>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36 R.P.R. 259</w:t>
        </w:r>
      </w:hyperlink>
      <w:r>
        <w:rPr>
          <w:rFonts w:ascii="arial" w:eastAsia="arial" w:hAnsi="arial" w:cs="arial"/>
          <w:color w:val="000000"/>
          <w:sz w:val="20"/>
          <w:lang w:val="en-US" w:eastAsia="en-US" w:bidi="ar-SA"/>
        </w:rPr>
        <w:t>, where the Court of Appeal, per MacFarlane J.A., set down the following principles applicable to equitable set-off: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From that review of the law, which I accept as accurate, can be extracted the following principles.</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party relying on a set-off must show some equitable ground for being protected against his adversary's demands - </w:t>
      </w:r>
      <w:r>
        <w:rPr>
          <w:rFonts w:ascii="arial" w:eastAsia="arial" w:hAnsi="arial" w:cs="arial"/>
          <w:i/>
          <w:color w:val="000000"/>
          <w:sz w:val="20"/>
          <w:lang w:val="en-US" w:eastAsia="en-US" w:bidi="ar-SA"/>
        </w:rPr>
        <w:t>Rawson v. Samuel</w:t>
      </w:r>
      <w:r>
        <w:rPr>
          <w:rFonts w:ascii="arial" w:eastAsia="arial" w:hAnsi="arial" w:cs="arial"/>
          <w:color w:val="000000"/>
          <w:sz w:val="20"/>
          <w:lang w:val="en-US" w:eastAsia="en-US" w:bidi="ar-SA"/>
        </w:rPr>
        <w:t xml:space="preserve"> (1841), 41 E.R. 451.</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equitable ground must go to the very root of the plaintiff's claim before a set-off will be allowed - </w:t>
      </w:r>
      <w:r>
        <w:rPr>
          <w:rFonts w:ascii="arial" w:eastAsia="arial" w:hAnsi="arial" w:cs="arial"/>
          <w:i/>
          <w:color w:val="000000"/>
          <w:sz w:val="20"/>
          <w:lang w:val="en-US" w:eastAsia="en-US" w:bidi="ar-SA"/>
        </w:rPr>
        <w:t>British Anzani</w:t>
      </w:r>
      <w:r>
        <w:rPr>
          <w:rFonts w:ascii="arial" w:eastAsia="arial" w:hAnsi="arial" w:cs="arial"/>
          <w:color w:val="000000"/>
          <w:sz w:val="20"/>
          <w:lang w:val="en-US" w:eastAsia="en-US" w:bidi="ar-SA"/>
        </w:rPr>
        <w:t>.</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cross-claim must be so clearly connected with the demand of the plaintiff that it would be manifestly unjust to allow the plaintiff to enforce payment without taking into consideration the cross-claim - </w:t>
      </w:r>
      <w:r>
        <w:rPr>
          <w:rFonts w:ascii="arial" w:eastAsia="arial" w:hAnsi="arial" w:cs="arial"/>
          <w:i/>
          <w:color w:val="000000"/>
          <w:sz w:val="20"/>
          <w:lang w:val="en-US" w:eastAsia="en-US" w:bidi="ar-SA"/>
        </w:rPr>
        <w:t>Federal Commerce and Navigation Ltd., [1978] All E.R. 1066.</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claim and the cross-claim need not arise out of the same contract - </w:t>
      </w:r>
      <w:r>
        <w:rPr>
          <w:rFonts w:ascii="arial" w:eastAsia="arial" w:hAnsi="arial" w:cs="arial"/>
          <w:i/>
          <w:color w:val="000000"/>
          <w:sz w:val="20"/>
          <w:lang w:val="en-US" w:eastAsia="en-US" w:bidi="ar-SA"/>
        </w:rPr>
        <w:t>Bankes v. Jarvis</w:t>
      </w:r>
      <w:r>
        <w:rPr>
          <w:rFonts w:ascii="arial" w:eastAsia="arial" w:hAnsi="arial" w:cs="arial"/>
          <w:color w:val="000000"/>
          <w:sz w:val="20"/>
          <w:lang w:val="en-US" w:eastAsia="en-US" w:bidi="ar-SA"/>
        </w:rPr>
        <w:t>, [1903] 1 K.B. 549; British Anzani.</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Unliquidated claims are on the same footing as liquidated claims - the Newfoundland case, 13 A.C. 199.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submits that these principles, as they apply to this case, break down as follows:</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Malik cannot show an equitable ground for being protected against the Plaintiff's demands. He signed the various funding agreement with the advice of counsel;</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no equitable grounds pled by Mr. Malik and it is not clear what equitable ground he is relying upon. In any event, the roots of the Plaintiff's claims are two-fold. First the funding Agreements Mr. Malik signed with the Plaintiff and there is no equitable ground raised by Mr. Malik to defend against the Plaintiff's claims in that regard. Second, the Plaintiff's claims are based upon the misconduct of Mr. Malik, his family, and close associates to fraudulently misrepresent his wealth to induce the Plaintiff to fund his defence. It is trite to say that those who seek equity from the courts must have clean hands. The Plaintiff submits that Mr. Malik cannot meet this threshold requirement.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clear connection between the Plaintiff's claims and Mr. Malik's cross-claims. Further the Plaintiff submits that Mr. Malik's cross-claims are simply designed to frustrate and delay the Plaintiff's efforts to collect on the money clearly owed by Mr. Malik. It would be manifestly unjust to allow Mr. Malik to avoid his legal obligations to the Plaintiff pursuant to the Agreements based upon his claims as pled in his Amended Statement of Defence.</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is a case where there are merely cross-claims made one against the other with nothing more. As stated by the Court of Appeal in </w:t>
      </w:r>
      <w:r>
        <w:rPr>
          <w:rFonts w:ascii="arial" w:eastAsia="arial" w:hAnsi="arial" w:cs="arial"/>
          <w:i/>
          <w:color w:val="000000"/>
          <w:sz w:val="20"/>
          <w:lang w:val="en-US" w:eastAsia="en-US" w:bidi="ar-SA"/>
        </w:rPr>
        <w:t>Cobra Industries</w:t>
      </w:r>
      <w:r>
        <w:rPr>
          <w:rFonts w:ascii="arial" w:eastAsia="arial" w:hAnsi="arial" w:cs="arial"/>
          <w:color w:val="000000"/>
          <w:sz w:val="20"/>
          <w:lang w:val="en-US" w:eastAsia="en-US" w:bidi="ar-SA"/>
        </w:rPr>
        <w:t xml:space="preserve"> [supra], "The mere existence of cross demands is not sufficient" (para 19).</w:t>
      </w:r>
    </w:p>
    <w:p>
      <w:pPr>
        <w:spacing w:before="120"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[from the plaintiff's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plaintiff submits that the defendant cannot show that "the cross-claim flows out of and is inseparably connected with the dealings and transactions that give rise to the claim [or] ... goes to the very root of the claim in such a way that it would be manifestly unjust to allow the plaintiff to enforce his claim without taking into account the cross-claim" as MacFarlane J. observed in </w:t>
      </w:r>
      <w:r>
        <w:rPr>
          <w:rFonts w:ascii="arial" w:eastAsia="arial" w:hAnsi="arial" w:cs="arial"/>
          <w:b/>
          <w:i/>
          <w:color w:val="000000"/>
          <w:sz w:val="20"/>
          <w:lang w:val="en-US" w:eastAsia="en-US" w:bidi="ar-SA"/>
        </w:rPr>
        <w:t>Cobra</w:t>
      </w:r>
      <w:r>
        <w:rPr>
          <w:rFonts w:ascii="arial" w:eastAsia="arial" w:hAnsi="arial" w:cs="arial"/>
          <w:color w:val="000000"/>
          <w:sz w:val="20"/>
          <w:lang w:val="en-US" w:eastAsia="en-US" w:bidi="ar-SA"/>
        </w:rPr>
        <w:t xml:space="preserve"> at para. 24. Nor, it submits, has it shown, "such a relationship between the respective claims that the claim by one party was caused by, or contributed to, or is so intertwined with the claim by the other party that it would be unconscionable to allow the party to proceed with its claim", as Warren J. articulated the test in </w:t>
      </w:r>
      <w:r>
        <w:rPr>
          <w:rFonts w:ascii="arial" w:eastAsia="arial" w:hAnsi="arial" w:cs="arial"/>
          <w:b/>
          <w:i/>
          <w:color w:val="000000"/>
          <w:sz w:val="20"/>
          <w:lang w:val="en-US" w:eastAsia="en-US" w:bidi="ar-SA"/>
        </w:rPr>
        <w:t>Cerescorp Inc. v. Baseline Industries Ltd.</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[1992] B.C.J. No. 1699</w:t>
        </w:r>
      </w:hyperlink>
      <w:r>
        <w:rPr>
          <w:rFonts w:ascii="arial" w:eastAsia="arial" w:hAnsi="arial" w:cs="arial"/>
          <w:color w:val="000000"/>
          <w:sz w:val="20"/>
          <w:lang w:val="en-US" w:eastAsia="en-US" w:bidi="ar-SA"/>
        </w:rPr>
        <w:t xml:space="preserve"> (unrep) at page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Restore International Corp. v. K.I.P. Kuester International Products Corp.</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[1999] B.C.J. No. 257</w:t>
        </w:r>
      </w:hyperlink>
      <w:r>
        <w:rPr>
          <w:rFonts w:ascii="arial" w:eastAsia="arial" w:hAnsi="arial" w:cs="arial"/>
          <w:color w:val="000000"/>
          <w:sz w:val="20"/>
          <w:lang w:val="en-US" w:eastAsia="en-US" w:bidi="ar-SA"/>
        </w:rPr>
        <w:t>, Martinson, J. aptly summarized the principles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It has since been held that the ultimate question is whether it would be manifestly unjust to allow the plaintiff to recover, without taking into consideration the defendant's cross claim. If that is the case, then, and particularly where the parties are the original parties, the court should be less concerned with such matters as exactly how closely connected the contracts, transactions or events giving rise to the defendant's cross claim are connected to the plaintiff's claim. If there is some connection, and in all of the circumstances of the case it is fair or just that the defendant's cross claim be taken into consideration, then the equity is made out: </w:t>
      </w:r>
      <w:r>
        <w:rPr>
          <w:rFonts w:ascii="arial" w:eastAsia="arial" w:hAnsi="arial" w:cs="arial"/>
          <w:i/>
          <w:color w:val="000000"/>
          <w:sz w:val="20"/>
          <w:lang w:val="en-US" w:eastAsia="en-US" w:bidi="ar-SA"/>
        </w:rPr>
        <w:t>Monsanto Canada v. Victor Carpet Distributors Ltd.</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[1994] B.C.J. No. 2876</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cites a series of cases as examples of the court's assessment of the necessary connection between causes of action to set up an equitable set-off.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Royal Bank of Canada v. Wilton</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[1995] A.J. No. 247</w:t>
        </w:r>
      </w:hyperlink>
      <w:r>
        <w:rPr>
          <w:rFonts w:ascii="arial" w:eastAsia="arial" w:hAnsi="arial" w:cs="arial"/>
          <w:color w:val="000000"/>
          <w:sz w:val="20"/>
          <w:lang w:val="en-US" w:eastAsia="en-US" w:bidi="ar-SA"/>
        </w:rPr>
        <w:t xml:space="preserve">, the bank was found liable in damages for interference with contractual relations. It told a prospective purchaser of a parcel of land about to go into foreclosure that the purchase had to be completed within seven days-too short a time for the purchaser to organize financing-or the bank would commence foreclosure proceedings. A jury found for the owners in their counterclaim for this interference and awarded $250,000 in damages. A judge of the Court of Queen's Bench, </w:t>
      </w:r>
      <w:hyperlink r:id="rId206" w:history="1">
        <w:r>
          <w:rPr>
            <w:rFonts w:ascii="arial" w:eastAsia="arial" w:hAnsi="arial" w:cs="arial"/>
            <w:i/>
            <w:color w:val="0077CC"/>
            <w:sz w:val="20"/>
            <w:u w:val="single"/>
            <w:shd w:val="clear" w:color="auto" w:fill="FFFFFF"/>
            <w:lang w:val="en-US" w:eastAsia="en-US" w:bidi="ar-SA"/>
          </w:rPr>
          <w:t>[1991] A.J. No. 770</w:t>
        </w:r>
      </w:hyperlink>
      <w:r>
        <w:rPr>
          <w:rFonts w:ascii="arial" w:eastAsia="arial" w:hAnsi="arial" w:cs="arial"/>
          <w:color w:val="000000"/>
          <w:sz w:val="20"/>
          <w:lang w:val="en-US" w:eastAsia="en-US" w:bidi="ar-SA"/>
        </w:rPr>
        <w:t>, set this amount off against the money the owners owed the bank in the foreclosure. The Court of Appeal reversed on the following basis: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It is true that both actions are related to the mortgages of the Wiltons' land held by the Bank. However, the actions are not so closely related that one goes to the root of the other. The Bank's action is an action in contract while the Wiltons' action is an action in tort. In Holt the claim and cross-claim were both in respect of debts owed because of contracts. Point four mentioned above states: "The plaintiff's claim and the cross-claim need not arise out of the same contract". Although it is true the claims need not arise out of the same contract, all the cases mentioned in Holt, dealing with the subject of equitable set-off, involve situations where two contracts exist. In this case the one action is in contract and one is in tort and considering these facts it cannot be said they are so closely related so as to justify equitable set-off; although this is not to imply that two actions arising from tort and contract could not attract equitable set-off. However, in this case the conduct complained of by each party is completely different and unrelated.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Royal Bank of Canada v. Brattberg</w:t>
      </w:r>
      <w:r>
        <w:rPr>
          <w:rFonts w:ascii="arial" w:eastAsia="arial" w:hAnsi="arial" w:cs="arial"/>
          <w:color w:val="000000"/>
          <w:sz w:val="20"/>
          <w:lang w:val="en-US" w:eastAsia="en-US" w:bidi="ar-SA"/>
        </w:rPr>
        <w:t xml:space="preserve"> (1987), </w:t>
      </w:r>
      <w:hyperlink r:id="rId207" w:history="1">
        <w:r>
          <w:rPr>
            <w:rFonts w:ascii="arial" w:eastAsia="arial" w:hAnsi="arial" w:cs="arial"/>
            <w:i/>
            <w:color w:val="0077CC"/>
            <w:sz w:val="20"/>
            <w:u w:val="single"/>
            <w:shd w:val="clear" w:color="auto" w:fill="FFFFFF"/>
            <w:lang w:val="en-US" w:eastAsia="en-US" w:bidi="ar-SA"/>
          </w:rPr>
          <w:t>52 Alta. L.R. (2d) 173</w:t>
        </w:r>
      </w:hyperlink>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79 A.R. 166</w:t>
        </w:r>
      </w:hyperlink>
      <w:r>
        <w:rPr>
          <w:rFonts w:ascii="arial" w:eastAsia="arial" w:hAnsi="arial" w:cs="arial"/>
          <w:color w:val="000000"/>
          <w:sz w:val="20"/>
          <w:lang w:val="en-US" w:eastAsia="en-US" w:bidi="ar-SA"/>
        </w:rPr>
        <w:t>, the Alberta Court of Appeal set out the applicable law, in the context of a foreclosure and a counterclaim based on subsequent contractual dealings: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regard the law applicable to the set-off claimed in this case as a defence to be that expressed by Kerans, J.A. in </w:t>
      </w:r>
      <w:r>
        <w:rPr>
          <w:rFonts w:ascii="arial" w:eastAsia="arial" w:hAnsi="arial" w:cs="arial"/>
          <w:i/>
          <w:color w:val="000000"/>
          <w:sz w:val="20"/>
          <w:lang w:val="en-US" w:eastAsia="en-US" w:bidi="ar-SA"/>
        </w:rPr>
        <w:t>Aboussafy v. Abacus Cities Ltd.</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[1981] 4 W.W.R. 660</w:t>
        </w:r>
      </w:hyperlink>
      <w:r>
        <w:rPr>
          <w:rFonts w:ascii="arial" w:eastAsia="arial" w:hAnsi="arial" w:cs="arial"/>
          <w:color w:val="000000"/>
          <w:sz w:val="20"/>
          <w:lang w:val="en-US" w:eastAsia="en-US" w:bidi="ar-SA"/>
        </w:rPr>
        <w:t xml:space="preserve"> at 670 where he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set-off is meant something in the way of a defence: where claim and cross-claim are merged and the lesser is thereby extinguished. True set-off must be distinguished from procedural set-off, where two unrelated claims are balanced up and a net judgment given: see </w:t>
      </w:r>
      <w:r>
        <w:rPr>
          <w:rFonts w:ascii="arial" w:eastAsia="arial" w:hAnsi="arial" w:cs="arial"/>
          <w:i/>
          <w:color w:val="000000"/>
          <w:sz w:val="20"/>
          <w:lang w:val="en-US" w:eastAsia="en-US" w:bidi="ar-SA"/>
        </w:rPr>
        <w:t>Stooke v. Taylor</w:t>
      </w:r>
      <w:r>
        <w:rPr>
          <w:rFonts w:ascii="arial" w:eastAsia="arial" w:hAnsi="arial" w:cs="arial"/>
          <w:color w:val="000000"/>
          <w:sz w:val="20"/>
          <w:lang w:val="en-US" w:eastAsia="en-US" w:bidi="ar-SA"/>
        </w:rPr>
        <w:t xml:space="preserve"> (1880), 5 Q.B.D. 569. As Cockburn C.J. there observes, procedural set-off, at least in the sense of permitting a new judgment in the same cause, is a creature of the Judicature Acts. The significance of the distinction is today largely academic, as was observed by </w:t>
      </w:r>
      <w:r>
        <w:rPr>
          <w:rFonts w:ascii="arial" w:eastAsia="arial" w:hAnsi="arial" w:cs="arial"/>
          <w:i/>
          <w:color w:val="000000"/>
          <w:sz w:val="20"/>
          <w:lang w:val="en-US" w:eastAsia="en-US" w:bidi="ar-SA"/>
        </w:rPr>
        <w:t>Tucker L.J. in Morgan &amp; Son Ltd. v. Johnson S. Martin &amp; Co. Ltd.</w:t>
      </w:r>
      <w:r>
        <w:rPr>
          <w:rFonts w:ascii="arial" w:eastAsia="arial" w:hAnsi="arial" w:cs="arial"/>
          <w:color w:val="000000"/>
          <w:sz w:val="20"/>
          <w:lang w:val="en-US" w:eastAsia="en-US" w:bidi="ar-SA"/>
        </w:rPr>
        <w:t xml:space="preserve"> [1949] 1 K.B. 107 at 108, [1948] 2 All E.R. 196 (C.A.). However, it has some significance for third parties. Procedural set-off is a shield, not a sword. It is not a defence; it therefore is not an equity subject to which an assignee takes. Unlike a true set-off, there is no charge against the fund of the original chose in action which equity can recognize.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Originally, equitable set-off also had a procedural aspect and this has been responsible for some confusion. The Courts of Chancery enforced equitable set-off by an injunction against a plaintiff not to proceed with his suit because his claim had been extinguished by a set-off. (See </w:t>
      </w:r>
      <w:r>
        <w:rPr>
          <w:rFonts w:ascii="arial" w:eastAsia="arial" w:hAnsi="arial" w:cs="arial"/>
          <w:i/>
          <w:color w:val="000000"/>
          <w:sz w:val="20"/>
          <w:lang w:val="en-US" w:eastAsia="en-US" w:bidi="ar-SA"/>
        </w:rPr>
        <w:t>Rawson</w:t>
      </w:r>
      <w:r>
        <w:rPr>
          <w:rFonts w:ascii="arial" w:eastAsia="arial" w:hAnsi="arial" w:cs="arial"/>
          <w:color w:val="000000"/>
          <w:sz w:val="20"/>
          <w:lang w:val="en-US" w:eastAsia="en-US" w:bidi="ar-SA"/>
        </w:rPr>
        <w:t>, supra.) However, with the merger of the Courts of Equity and Law, the Supreme Court of Judicature Act, 1873 (36 &amp; 36 Vict.), c. 66, s. 24, R. 5, provided that:</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 cause or proceeding at any time pending in the High Court of Justice, or before the Court of Appeal, shall be restrained by prohibition or injunction; but every matter of equity on which an injunction against the prosecution of any such cause or proceeding might have been obtained, if this Act had not passed, either unconditionally or on any terms or conditions, may be relied on by way of defence thereto: Provided always, that nothing in this Act contained shall disable either of the said Courts from directing a stay of proceedings in any cause or matter pending before it if it shall think fit.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statute, of course, did not automatically become part of the law of Alberta; however, the rule in substance is repeated in the Judicature Act, R.S.A. 1970, c. 193, s. 32(q) and (r). Parenthetically, the continuation of procedural set-off, which exists to this day by virtue of Alberta Supreme Court Rules, R. 98, and which could be used as a lever to spring from procedural to true set-off, because a judgment in a damage suit is a debt and can be set off at law: see </w:t>
      </w:r>
      <w:r>
        <w:rPr>
          <w:rFonts w:ascii="arial" w:eastAsia="arial" w:hAnsi="arial" w:cs="arial"/>
          <w:i/>
          <w:color w:val="000000"/>
          <w:sz w:val="20"/>
          <w:lang w:val="en-US" w:eastAsia="en-US" w:bidi="ar-SA"/>
        </w:rPr>
        <w:t>Lawrence v. Hayes</w:t>
      </w:r>
      <w:r>
        <w:rPr>
          <w:rFonts w:ascii="arial" w:eastAsia="arial" w:hAnsi="arial" w:cs="arial"/>
          <w:color w:val="000000"/>
          <w:sz w:val="20"/>
          <w:lang w:val="en-US" w:eastAsia="en-US" w:bidi="ar-SA"/>
        </w:rPr>
        <w:t>, [1927] 2 K.B. 111. Of course, R. 93(2), which requires that all set-off be pleaded by way of counterclaim, does not diminish rights. It has to do only with clear and convenent pleadings.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Thereafter, the substantive rights in the law of equity were enforced by a different procedure; but there were not thereby added to or diminished: see </w:t>
      </w:r>
      <w:r>
        <w:rPr>
          <w:rFonts w:ascii="arial" w:eastAsia="arial" w:hAnsi="arial" w:cs="arial"/>
          <w:i/>
          <w:color w:val="000000"/>
          <w:sz w:val="20"/>
          <w:lang w:val="en-US" w:eastAsia="en-US" w:bidi="ar-SA"/>
        </w:rPr>
        <w:t>Stumore v. Campbell &amp; Co.</w:t>
      </w:r>
      <w:r>
        <w:rPr>
          <w:rFonts w:ascii="arial" w:eastAsia="arial" w:hAnsi="arial" w:cs="arial"/>
          <w:color w:val="000000"/>
          <w:sz w:val="20"/>
          <w:lang w:val="en-US" w:eastAsia="en-US" w:bidi="ar-SA"/>
        </w:rPr>
        <w:t xml:space="preserve"> [1892] 1 Q.B. 314 (C.A.). Specifically, the procedural change did not alter the substantial right, in the hands of the primary debtor, to charge a chose in action owed by him with set-off. The Judicature Acts did not, as Channell L.J. said, put "an unliquidated claim on the same footing as a liquidated claim". A liquidated claim, by statute, may be set off against an unrelated liquidated claim. No such absolute rule exists with regard to an unrelated unliquidated claim.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defendant, for its part, relies as well on </w:t>
      </w:r>
      <w:r>
        <w:rPr>
          <w:rFonts w:ascii="arial" w:eastAsia="arial" w:hAnsi="arial" w:cs="arial"/>
          <w:b/>
          <w:i/>
          <w:color w:val="000000"/>
          <w:sz w:val="20"/>
          <w:lang w:val="en-US" w:eastAsia="en-US" w:bidi="ar-SA"/>
        </w:rPr>
        <w:t>Cobra</w:t>
      </w:r>
      <w:r>
        <w:rPr>
          <w:rFonts w:ascii="arial" w:eastAsia="arial" w:hAnsi="arial" w:cs="arial"/>
          <w:color w:val="000000"/>
          <w:sz w:val="20"/>
          <w:lang w:val="en-US" w:eastAsia="en-US" w:bidi="ar-SA"/>
        </w:rPr>
        <w:t xml:space="preserve"> as the leading authority in British Columbia, but notes an example he submits is closer to the situation before the court than those cited by the plaintiff. It is referred to in a lengthy quote in </w:t>
      </w:r>
      <w:r>
        <w:rPr>
          <w:rFonts w:ascii="arial" w:eastAsia="arial" w:hAnsi="arial" w:cs="arial"/>
          <w:b/>
          <w:i/>
          <w:color w:val="000000"/>
          <w:sz w:val="20"/>
          <w:lang w:val="en-US" w:eastAsia="en-US" w:bidi="ar-SA"/>
        </w:rPr>
        <w:t>Cobra</w:t>
      </w:r>
      <w:r>
        <w:rPr>
          <w:rFonts w:ascii="arial" w:eastAsia="arial" w:hAnsi="arial" w:cs="arial"/>
          <w:color w:val="000000"/>
          <w:sz w:val="20"/>
          <w:lang w:val="en-US" w:eastAsia="en-US" w:bidi="ar-SA"/>
        </w:rPr>
        <w:t xml:space="preserve"> taken from </w:t>
      </w:r>
      <w:r>
        <w:rPr>
          <w:rFonts w:ascii="arial" w:eastAsia="arial" w:hAnsi="arial" w:cs="arial"/>
          <w:b/>
          <w:i/>
          <w:color w:val="000000"/>
          <w:sz w:val="20"/>
          <w:lang w:val="en-US" w:eastAsia="en-US" w:bidi="ar-SA"/>
        </w:rPr>
        <w:t>British Anzani (Felixstowe) Ltd. v. International Marine Management (U.K.) Ltd.</w:t>
      </w:r>
      <w:r>
        <w:rPr>
          <w:rFonts w:ascii="arial" w:eastAsia="arial" w:hAnsi="arial" w:cs="arial"/>
          <w:color w:val="000000"/>
          <w:sz w:val="20"/>
          <w:lang w:val="en-US" w:eastAsia="en-US" w:bidi="ar-SA"/>
        </w:rPr>
        <w:t xml:space="preserve">, [1979] 2 All E.R. 1063 (Q.B.) at 1067-68 per Forbes J., [found in </w:t>
      </w:r>
      <w:r>
        <w:rPr>
          <w:rFonts w:ascii="arial" w:eastAsia="arial" w:hAnsi="arial" w:cs="arial"/>
          <w:b/>
          <w:i/>
          <w:color w:val="000000"/>
          <w:sz w:val="20"/>
          <w:lang w:val="en-US" w:eastAsia="en-US" w:bidi="ar-SA"/>
        </w:rPr>
        <w:t>Cobra</w:t>
      </w:r>
      <w:r>
        <w:rPr>
          <w:rFonts w:ascii="arial" w:eastAsia="arial" w:hAnsi="arial" w:cs="arial"/>
          <w:color w:val="000000"/>
          <w:sz w:val="20"/>
          <w:lang w:val="en-US" w:eastAsia="en-US" w:bidi="ar-SA"/>
        </w:rPr>
        <w:t xml:space="preserve">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thus necessary to consider in what circumstances a court of equity before the Judicature Act would have afforded such protection to a defendant. The </w:t>
      </w:r>
      <w:r>
        <w:rPr>
          <w:rFonts w:ascii="arial" w:eastAsia="arial" w:hAnsi="arial" w:cs="arial"/>
          <w:i/>
          <w:color w:val="000000"/>
          <w:sz w:val="20"/>
          <w:lang w:val="en-US" w:eastAsia="en-US" w:bidi="ar-SA"/>
        </w:rPr>
        <w:t>locus classicus</w:t>
      </w:r>
      <w:r>
        <w:rPr>
          <w:rFonts w:ascii="arial" w:eastAsia="arial" w:hAnsi="arial" w:cs="arial"/>
          <w:color w:val="000000"/>
          <w:sz w:val="20"/>
          <w:lang w:val="en-US" w:eastAsia="en-US" w:bidi="ar-SA"/>
        </w:rPr>
        <w:t xml:space="preserve"> for the principle involved is the judgment of Lord Cottenham L.C. in </w:t>
      </w:r>
      <w:r>
        <w:rPr>
          <w:rFonts w:ascii="arial" w:eastAsia="arial" w:hAnsi="arial" w:cs="arial"/>
          <w:i/>
          <w:color w:val="000000"/>
          <w:sz w:val="20"/>
          <w:lang w:val="en-US" w:eastAsia="en-US" w:bidi="ar-SA"/>
        </w:rPr>
        <w:t>Rawson v. Samuel</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We speak familiarly of equitable set-off as distinguished from set-off at law; but it will be found that this equitable set-off exists in cases where the party seeking the benefit of it can shew some equitable ground for being protected against his adversary's demand. The mere existence of cross-demands is not sufficient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Several cases were cited in support of the injunction but in every one of them, except </w:t>
      </w:r>
      <w:r>
        <w:rPr>
          <w:rFonts w:ascii="arial" w:eastAsia="arial" w:hAnsi="arial" w:cs="arial"/>
          <w:i/>
          <w:color w:val="000000"/>
          <w:sz w:val="20"/>
          <w:lang w:val="en-US" w:eastAsia="en-US" w:bidi="ar-SA"/>
        </w:rPr>
        <w:t>Williams v. Davies</w:t>
      </w:r>
      <w:r>
        <w:rPr>
          <w:rFonts w:ascii="arial" w:eastAsia="arial" w:hAnsi="arial" w:cs="arial"/>
          <w:color w:val="000000"/>
          <w:sz w:val="20"/>
          <w:lang w:val="en-US" w:eastAsia="en-US" w:bidi="ar-SA"/>
        </w:rPr>
        <w:t>, 11 Q.B.D. 74, it will be found that the equity of the bill impeached the title to the legal demand.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this feature that the equity must go to the very root of the plaintiff's claim that is the essential attribute of a valid equitable set-off. An obvious example, as was emphasised in later cases, was </w:t>
      </w:r>
      <w:r>
        <w:rPr>
          <w:rFonts w:ascii="arial" w:eastAsia="arial" w:hAnsi="arial" w:cs="arial"/>
          <w:i/>
          <w:color w:val="000000"/>
          <w:sz w:val="20"/>
          <w:lang w:val="en-US" w:eastAsia="en-US" w:bidi="ar-SA"/>
        </w:rPr>
        <w:t>Piggott v. Williams</w:t>
      </w:r>
      <w:r>
        <w:rPr>
          <w:rFonts w:ascii="arial" w:eastAsia="arial" w:hAnsi="arial" w:cs="arial"/>
          <w:color w:val="000000"/>
          <w:sz w:val="20"/>
          <w:lang w:val="en-US" w:eastAsia="en-US" w:bidi="ar-SA"/>
        </w:rPr>
        <w:t xml:space="preserve"> where the fees which the solicitor claimed were in relation to a suit which would never have been necessary but for the solicitor's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principle is clear though there may have been difficulty in applying it correctly to different sets of circumstances. A felicitously expressed statement of the principle occurs in the judgment of Parker J. in </w:t>
      </w:r>
      <w:r>
        <w:rPr>
          <w:rFonts w:ascii="arial" w:eastAsia="arial" w:hAnsi="arial" w:cs="arial"/>
          <w:i/>
          <w:color w:val="000000"/>
          <w:sz w:val="20"/>
          <w:lang w:val="en-US" w:eastAsia="en-US" w:bidi="ar-SA"/>
        </w:rPr>
        <w:t>The Teno</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where the cross claim not only arises out of the same contract as the claim but is so directly connected with it that it would be manifestly unjust to allow the claimant to recover without taking into account the cross claim there is a right of set-off in equity of an unliquidated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defendant submits that </w:t>
      </w:r>
      <w:r>
        <w:rPr>
          <w:rFonts w:ascii="arial" w:eastAsia="arial" w:hAnsi="arial" w:cs="arial"/>
          <w:b/>
          <w:i/>
          <w:color w:val="000000"/>
          <w:sz w:val="20"/>
          <w:lang w:val="en-US" w:eastAsia="en-US" w:bidi="ar-SA"/>
        </w:rPr>
        <w:t>Piggott v. Williams</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Piggott</w:t>
      </w:r>
      <w:r>
        <w:rPr>
          <w:rFonts w:ascii="arial" w:eastAsia="arial" w:hAnsi="arial" w:cs="arial"/>
          <w:color w:val="000000"/>
          <w:sz w:val="20"/>
          <w:lang w:val="en-US" w:eastAsia="en-US" w:bidi="ar-SA"/>
        </w:rPr>
        <w:t>], 6 Mad. 161, is a close analogy to the situation here. He submits that had he not been wrongfully prosecuted, he would never have needed to pay lawyers and to borrow from the plaintiff for that purpose. He submits that the claim for wrongful prosecution includes claims for sums of money approximating one million dollars the defendant had spent before the making any of the agreements that are the subject of the plaintiff's claims, and will include those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While on first impression </w:t>
      </w:r>
      <w:r>
        <w:rPr>
          <w:rFonts w:ascii="arial" w:eastAsia="arial" w:hAnsi="arial" w:cs="arial"/>
          <w:b/>
          <w:i/>
          <w:color w:val="000000"/>
          <w:sz w:val="20"/>
          <w:lang w:val="en-US" w:eastAsia="en-US" w:bidi="ar-SA"/>
        </w:rPr>
        <w:t>Piggott</w:t>
      </w:r>
      <w:r>
        <w:rPr>
          <w:rFonts w:ascii="arial" w:eastAsia="arial" w:hAnsi="arial" w:cs="arial"/>
          <w:color w:val="000000"/>
          <w:sz w:val="20"/>
          <w:lang w:val="en-US" w:eastAsia="en-US" w:bidi="ar-SA"/>
        </w:rPr>
        <w:t xml:space="preserve"> appears to be analogous, upon closer consideration I do not think it is of much assistance. In </w:t>
      </w:r>
      <w:r>
        <w:rPr>
          <w:rFonts w:ascii="arial" w:eastAsia="arial" w:hAnsi="arial" w:cs="arial"/>
          <w:b/>
          <w:i/>
          <w:color w:val="000000"/>
          <w:sz w:val="20"/>
          <w:lang w:val="en-US" w:eastAsia="en-US" w:bidi="ar-SA"/>
        </w:rPr>
        <w:t>Piggott</w:t>
      </w:r>
      <w:r>
        <w:rPr>
          <w:rFonts w:ascii="arial" w:eastAsia="arial" w:hAnsi="arial" w:cs="arial"/>
          <w:color w:val="000000"/>
          <w:sz w:val="20"/>
          <w:lang w:val="en-US" w:eastAsia="en-US" w:bidi="ar-SA"/>
        </w:rPr>
        <w:t>, the unconscionable conduct, or matter giving rise to equitable grounds for protection from the solicitor's demand, was the fact that the solicitor was claiming payment for fees related to a problem he had caused.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Putting the most positive construction possible on the defendant's claim, the "cause" of his expenditure on legal fees was a prosecution for which he blames the plaintiff (construing the "plaintiff" in the broadest possible terms), and others, including the Federal government. The issues he raises are complex and may or may not fully implicate the plaintiff, inasmuch as it appears possible success may be against other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possibility that the defendant will be able to show that the plaintiff is liable to him for some or all of the costs and damages attributable to its alleged wrongful prosecution of him, does not convert expenditures on </w:t>
      </w:r>
      <w:r>
        <w:rPr>
          <w:rFonts w:ascii="arial" w:eastAsia="arial" w:hAnsi="arial" w:cs="arial"/>
          <w:i/>
          <w:color w:val="000000"/>
          <w:sz w:val="20"/>
          <w:lang w:val="en-US" w:eastAsia="en-US" w:bidi="ar-SA"/>
        </w:rPr>
        <w:t>his</w:t>
      </w:r>
      <w:r>
        <w:rPr>
          <w:rFonts w:ascii="arial" w:eastAsia="arial" w:hAnsi="arial" w:cs="arial"/>
          <w:color w:val="000000"/>
          <w:sz w:val="20"/>
          <w:lang w:val="en-US" w:eastAsia="en-US" w:bidi="ar-SA"/>
        </w:rPr>
        <w:t xml:space="preserve"> behalf assuming </w:t>
      </w:r>
      <w:r>
        <w:rPr>
          <w:rFonts w:ascii="arial" w:eastAsia="arial" w:hAnsi="arial" w:cs="arial"/>
          <w:i/>
          <w:color w:val="000000"/>
          <w:sz w:val="20"/>
          <w:lang w:val="en-US" w:eastAsia="en-US" w:bidi="ar-SA"/>
        </w:rPr>
        <w:t>his</w:t>
      </w:r>
      <w:r>
        <w:rPr>
          <w:rFonts w:ascii="arial" w:eastAsia="arial" w:hAnsi="arial" w:cs="arial"/>
          <w:color w:val="000000"/>
          <w:sz w:val="20"/>
          <w:lang w:val="en-US" w:eastAsia="en-US" w:bidi="ar-SA"/>
        </w:rPr>
        <w:t xml:space="preserve"> responsibilities to his lawyers into an equitable set-off. At various times the defendant represented that he had significant means to pay, and the premise leading up to the various agreements was that it seemed to be advantageous to the defendant, and in the interests of the plaintiff, that liquidation of the defendant's estate to pay the fees be orderly, while the prosecution proceeded. There is no question about the fact that the plaintiff performed the contract by paying the plaintiff's lawyers, although the amounts are not formally admitted. The defendant, in return, promised to commit his assets to the payment of his defence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Malik was represented throughout the negotiations that led to the funding agreements. In a November 20, 2001 letter, counsel for Mr. Malik set out the premises on which Mr. Malik sought funding: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objective of the proposal is to find a way that would permit Mr. Malik to mount a defence on the same basis as his co-accused, and with a level of resources commensurate with the resources the province has devoted to the investigation and prosecution.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irony in this case is that until Mr. Malik was arrested he and his wife had a sizeable net worth, but he has been unable to liquidate his estate at a rate that would permit him to fund preparations for trial at the same level as the other accused or the Crown. Since his arrest there has been a general economic slowdown which is being felt in the commercial real estate market. In addition, the stigma that has attended Mr. Malik's arrest has resulted in potential lessors of office properties, including a government, being unwilling to have him as a landlord. As a result, it is extremely doubtful that his entire estate will be sufficient to pay for counsel preparations, much less the trial itself. We understand that his counsel simply could not remain on record if they are not properly retained. This case will require a year or more of full time work, which no lawyer could afford to do without pay.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raises the prospect that Mr. Malik will be deprived the opportunity to make a full answer to the case the Crown has prepared, and raises the real risk that the trial would be delayed or disrupted.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a further issue, which involves the interests of both the province and Mr. Malik. If, as appears inevitable, the Crown will have to take over funding Mr. Malik's defence when he has exhausted his assets, it would be in the interests of both the Crown and Mr. Malik to ensure that his assets are sold at a reasonable price. This means avoiding a fire sale, and ensuring that the assets are sold in a manner and at a time that will produce a reasonable return. If Mr. Malik does not have assured government funding, he will have to sell his assets for whatever he can get, which may be much less than their value. To give an extreme example, if Mr. Malik were to sell his entire estate for $1.00 tomorrow, he would be eligible for </w:t>
      </w:r>
      <w:r>
        <w:rPr>
          <w:rFonts w:ascii="arial" w:eastAsia="arial" w:hAnsi="arial" w:cs="arial"/>
          <w:i/>
          <w:color w:val="000000"/>
          <w:sz w:val="20"/>
          <w:lang w:val="en-US" w:eastAsia="en-US" w:bidi="ar-SA"/>
        </w:rPr>
        <w:t>Rowbotham</w:t>
      </w:r>
      <w:r>
        <w:rPr>
          <w:rFonts w:ascii="arial" w:eastAsia="arial" w:hAnsi="arial" w:cs="arial"/>
          <w:color w:val="000000"/>
          <w:sz w:val="20"/>
          <w:lang w:val="en-US" w:eastAsia="en-US" w:bidi="ar-SA"/>
        </w:rPr>
        <w:t xml:space="preserve"> funding the day after tomorrow. The province, however, would not have the opportunity of offsetting a significant portion of the costs of funding through the sale of the assets at their true value. Mr. Malik has no intention to throw his assets away, and one can see how there is a convergence of interest in ensuring that Mr. Malik's estate is sold in an orderly manner. But there would be a convergence of interests only if Mr. Malik is assured of funding in the very near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Malik is already having considerable difficulty paying his monthly legal bills. At the rate that Mr. Malik is currently able to fund his defence, his counsel are not able to undertake preparations at level sufficient to enable them to provide Mr. Malik with a proper defence. We are therefore concerned that these issues be dealt with as quickly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cite this as an example of the active nature of the many representations on his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These dealing were summarized by Stromberg-Stein J. in the </w:t>
      </w:r>
      <w:r>
        <w:rPr>
          <w:rFonts w:ascii="arial" w:eastAsia="arial" w:hAnsi="arial" w:cs="arial"/>
          <w:i/>
          <w:color w:val="000000"/>
          <w:sz w:val="20"/>
          <w:lang w:val="en-US" w:eastAsia="en-US" w:bidi="ar-SA"/>
        </w:rPr>
        <w:t>Rowbotham</w:t>
      </w:r>
      <w:r>
        <w:rPr>
          <w:rFonts w:ascii="arial" w:eastAsia="arial" w:hAnsi="arial" w:cs="arial"/>
          <w:color w:val="000000"/>
          <w:sz w:val="20"/>
          <w:lang w:val="en-US" w:eastAsia="en-US" w:bidi="ar-SA"/>
        </w:rPr>
        <w:t xml:space="preserve"> ruling on September 19, 2003, </w:t>
      </w:r>
      <w:hyperlink r:id="rId209" w:history="1">
        <w:r>
          <w:rPr>
            <w:rFonts w:ascii="arial" w:eastAsia="arial" w:hAnsi="arial" w:cs="arial"/>
            <w:i/>
            <w:color w:val="0077CC"/>
            <w:sz w:val="20"/>
            <w:u w:val="single"/>
            <w:shd w:val="clear" w:color="auto" w:fill="FFFFFF"/>
            <w:lang w:val="en-US" w:eastAsia="en-US" w:bidi="ar-SA"/>
          </w:rPr>
          <w:t>[2003] B.C.J. No. 2167</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November 2001, Mr. Malik approached the Attorney General to fund his defence as his trial was imminent and trial preparation was necessary. He asserted that he had assets, although those assets were not in the form of cash, and liquidating them for his legal fees would require time. In February 2002, negotiations between counsel for Mr. Malik and the Attorney General led to an interim funding agreement ("the Defence Counsel Agreement"). This agreement acknowledged that Mr. Malik had assets to contribute to his defence, which assets would be liquidated or funds from those assets would otherwise be obtained and applied to his legal fees. It was simply a matter of ascertaining the exact amount of Mr. Malik's interest in the assets and canvassing options to maximize value.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Defence Counsel Agreement was entered into so funding could commence immediately.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Stromberg-Stein J. concluded those Reasons with the following observation: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It is in the interests of justice that this trial into the deaths 18 years ago of many innocent people continues to an orderly conclusion. Nothing in this judgment precludes an agreement between the Attorney General and Mr. Malik for interim funding with appropriate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subsequently negotiated "Payment Agreement" dated October 17, 2003 includes the following recitals:</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Agreement dated for reference 1 February 2002 amongst the Attorney General, Crossin, Smart &amp; Williams, Barristers &amp; Solicitors, Donaldson Jette, Barristers &amp; Solicitors (the lawyers collectively referred to as "Counsel") and Malik (the agreement hereinafter referred to as the "Defence Counsel Agreement"), the Attorney General agreed to pay Counsel fees and disbursements with respect to legal services rendered by Counsel relating to the defence of Malik who is presently charged with first degree murder and related offences.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Malik received a benefit from the Attorney General pursuant to the Defence Counsel Agreement in the form of a payment of his legal fees and disbursements by the Attorney General.</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Recital E of the Defence Counsel Agreement states a follows:</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Ripudaman S. Malik has agreed to transfer to Her Majesty the Queen in Right of the Province of British Columbia or on Her Majesty's direction all of his right, title and interest in and to all of his property, real or personal, and to cooperate fully in the identification and transfer of that property and the assertion in favour of Her Majesty of those rights, title and interest.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application before the Honourable Madam Justice Stromberg-Stein made in an action commenced out of the Supreme Court of British Columbia, Vancouver Registry, under Docket No. CC01 0287, Malik applied to the Court for Charter Relief by way of a "Rowbotham Order" in aid of his constitutional right to a fair trial. Madam Justice Stromberg-Stein provided Reasons on the application made by Malik and in dismissing Malik's application for "Rowbotham funding" the learned Judge made the following findings:</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[Mr. Malik] has demonstrated he is in a position to pay some of the costs of his defence. As well, he has demonstrated he can look to the income and assets of his spouse and family.</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It is in the interests of justice that this trial into the deaths 18 years ago of many innocent people continues to an orderly conclusion. Nothing in this judgment precludes an agreement between the Attorney General and Mr. Malik for interim funding with appropriate security.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Malik acknowledges that he has an obligation to commit all of his own financial resources to his defence and to contribute towards the public funds advanced for his defence to the extent that he is able.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Malik asserts that</w:t>
      </w:r>
    </w:p>
    <w:p>
      <w:pPr>
        <w:numPr>
          <w:numId w:val="1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he is unable to fund his defence to the end of the trial from his own financial resources;</w:t>
      </w:r>
    </w:p>
    <w:p>
      <w:pPr>
        <w:numPr>
          <w:numId w:val="1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assets presently in his name may not be sufficient to cover the anticipated legal defence costs to the end of the trial;</w:t>
      </w:r>
    </w:p>
    <w:p>
      <w:pPr>
        <w:numPr>
          <w:numId w:val="1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due to the complexity of the trial proceedings, he s unable to defend himself personally and requires the assistance of a team of lawyers led by senior counsel to prepare for and conduct his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material before the court demonstrates that these agreements were the result of considerable negotiation between the parties. There is no reservation on Mr. Malik's part concerning repayment in the event that the prosecution proved unnecessary or improper. Given his present assertions, such matters must have been in his contemplation at the time. Whether his failure to set this context was strategic or for some other reason, the fact remains that, fully advised by counsel, the defendant made certain representations that he expected the plaintiff to act upon, and which the plaintiff apparently did act upon, to his benefit. He now comes before the court not in any sense demonstrating that he has made good faith efforts to fulfill his part of the bargain he made, or that the plaintiff is somehow responsible in some causative or connected way for his failure to do so, but arguing on an entirely different basis that his obligations ought to be indefinitely suspended while he pursues his action for malicious or wrongful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pleadings filed in that action make sweeping allegations against several public agencies and ministries (and one minister personally) that the court is now advised will be significantly narrowed by recent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onus is very high in such cases. In the leading case, </w:t>
      </w:r>
      <w:r>
        <w:rPr>
          <w:rFonts w:ascii="arial" w:eastAsia="arial" w:hAnsi="arial" w:cs="arial"/>
          <w:b/>
          <w:i/>
          <w:color w:val="000000"/>
          <w:sz w:val="20"/>
          <w:lang w:val="en-US" w:eastAsia="en-US" w:bidi="ar-SA"/>
        </w:rPr>
        <w:t>Nelles v. Ontario</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[1989] S.C.J. No. 86</w:t>
        </w:r>
      </w:hyperlink>
      <w:r>
        <w:rPr>
          <w:rFonts w:ascii="arial" w:eastAsia="arial" w:hAnsi="arial" w:cs="arial"/>
          <w:color w:val="000000"/>
          <w:sz w:val="20"/>
          <w:lang w:val="en-US" w:eastAsia="en-US" w:bidi="ar-SA"/>
        </w:rPr>
        <w:t>, the Supreme Court of Canada set out the test for proof of a malicious prosecution case, at paras. 42-47: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There are four necessary elements which must be proved for a plaintiff to succeed in an action for malicious prosecution:</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proceedings must have been initiated by the defendant;</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proceedings must have terminated in favour of the plaintiff;</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absence of reasonable and probable cause;</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malice, or a primary purpose other than that of carrying the law into effect.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(See J. G. Fleming, The Law of Torts (5th ed. 1977), at p. 598.)</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first two elements are straightforward and largely speak for themselves. The latter two elements require explicit discussion. Reasonable and probable cause has been defined as "an honest belief in the guilt of the accused based upon a full conviction, founded on reasonable grounds, of the existence of a state of circumstances, which, assuming them to be true, would reasonably lead any ordinarily prudent and cautious man, placed in the position of the accuser, to the conclusion that the person charged was probably guilty of the crime imputed" (</w:t>
      </w:r>
      <w:r>
        <w:rPr>
          <w:rFonts w:ascii="arial" w:eastAsia="arial" w:hAnsi="arial" w:cs="arial"/>
          <w:i/>
          <w:color w:val="000000"/>
          <w:sz w:val="20"/>
          <w:lang w:val="en-US" w:eastAsia="en-US" w:bidi="ar-SA"/>
        </w:rPr>
        <w:t>Hicks v. Faulkner</w:t>
      </w:r>
      <w:r>
        <w:rPr>
          <w:rFonts w:ascii="arial" w:eastAsia="arial" w:hAnsi="arial" w:cs="arial"/>
          <w:color w:val="000000"/>
          <w:sz w:val="20"/>
          <w:lang w:val="en-US" w:eastAsia="en-US" w:bidi="ar-SA"/>
        </w:rPr>
        <w:t xml:space="preserve"> (1878), 8 Q.B.D. 167, at p. 171, Hawkins J.)</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This test contains both a subjective and objective element. There must be both actual belief on the part of the prosecutor and that belief must be reasonable in the circumstances. The existence of reasonable and probable cause is a matter for the judge to decide as opposed to the jury.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required element of malice is for all intents, the equivalent of "improper purpose". It has according to Fleming, a "wider meaning than spite, ill-will or a spirit of vengeance, and includes any other improper purpose, such as to gain a private collateral advantage" (Fleming, op. cit., at p. 609). To succeed in an action for malicious prosecution against the Attorney General or Crown Attorney, the plaintiff would have to prove both the absence of reasonable and probable cause in commencing the prosecution, and malice in the form of a deliberate and improper use of the office of the Attorney General or Crown Attorney, a use inconsistent with the status of "minister of justice". In my view this burden on the plaintiff amounts to a requirement that the Attorney General or Crown Attorney perpetrated a fraud on the process of criminal justice and in doing so has perverted or abused his office and the process of criminal justice. In fact, in some cases this would seem to amount to criminal conduct. (See for example breach of trust, s. 122, conspiracy re: false prosecution s. 465(1)(b), obstructing justice s. 139(2) and (3) of the Criminal Code, R.S.C., 1985, c. C-46.)</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Further, it should be noted that in many, if not all cases of malicious prosecution by an Attorney General or Crown Attorney, there will have been an infringement of an accused's rights as guaranteed by ss. 7 and 11 of the Canadian Charter of Rights and Freedoms.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By way of summary then, a plaintiff bringing a claim for malicious prosecution has no easy task. Not only does the plaintiff have the notoriously difficult task of establishing a negative, that is the absence of reasonable and probable cause, but he is held to a very high standard of proof to avoid a non-suit or directed verdict (see Fleming, op. cit., at p. 606, and </w:t>
      </w:r>
      <w:r>
        <w:rPr>
          <w:rFonts w:ascii="arial" w:eastAsia="arial" w:hAnsi="arial" w:cs="arial"/>
          <w:i/>
          <w:color w:val="000000"/>
          <w:sz w:val="20"/>
          <w:lang w:val="en-US" w:eastAsia="en-US" w:bidi="ar-SA"/>
        </w:rPr>
        <w:t>Mitchell v. John Heine and Son Ltd.</w:t>
      </w:r>
      <w:r>
        <w:rPr>
          <w:rFonts w:ascii="arial" w:eastAsia="arial" w:hAnsi="arial" w:cs="arial"/>
          <w:color w:val="000000"/>
          <w:sz w:val="20"/>
          <w:lang w:val="en-US" w:eastAsia="en-US" w:bidi="ar-SA"/>
        </w:rPr>
        <w:t xml:space="preserve"> (1938), 38 S.R. (N.S.W.) 466, at pp. 469-71). Professor Fleming has gone so far as to conclude that there are built-in devices particular to the tort of malicious prosecution to dissuade civil suits (at p. 606):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disfavour with which the law has traditionally viewed the action for malicious prosecution is most clearly revealed by the hedging devices with which it has been surrounded in order to deter this kind of litigation and protect private citizens who discharge their public duty of prosecuting those reasonably suspected of crime.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defendant's present submission that he was prosecuted when there was no evidence against him was not asserted to qualify his obligations under the agreements. There is no connection between these claims and the mutual undertakings in the agreements. The defendant would not have been entitled to refuse to pay his lawyers in the event of a successful defence, and all the plaintiff did, in consideration of certain covenants, was to step into his shoes and pay on his behalf. He manifestly got value for what the plaintiff provided on his behalf. This arrangement stood completely apart from any question respecting the </w:t>
      </w:r>
      <w:r>
        <w:rPr>
          <w:rFonts w:ascii="arial" w:eastAsia="arial" w:hAnsi="arial" w:cs="arial"/>
          <w:i/>
          <w:color w:val="000000"/>
          <w:sz w:val="20"/>
          <w:lang w:val="en-US" w:eastAsia="en-US" w:bidi="ar-SA"/>
        </w:rPr>
        <w:t>bona fides</w:t>
      </w:r>
      <w:r>
        <w:rPr>
          <w:rFonts w:ascii="arial" w:eastAsia="arial" w:hAnsi="arial" w:cs="arial"/>
          <w:color w:val="000000"/>
          <w:sz w:val="20"/>
          <w:lang w:val="en-US" w:eastAsia="en-US" w:bidi="ar-SA"/>
        </w:rPr>
        <w:t xml:space="preserve"> of the prosecution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Apart from this lack of a clear connection between the fee payment transactions and the manner in which the prosecution was undertaken (i.e. </w:t>
      </w:r>
      <w:r>
        <w:rPr>
          <w:rFonts w:ascii="arial" w:eastAsia="arial" w:hAnsi="arial" w:cs="arial"/>
          <w:color w:val="000000"/>
          <w:sz w:val="20"/>
          <w:u w:val="single"/>
          <w:lang w:val="en-US" w:eastAsia="en-US" w:bidi="ar-SA"/>
        </w:rPr>
        <w:t>nothing</w:t>
      </w:r>
      <w:r>
        <w:rPr>
          <w:rFonts w:ascii="arial" w:eastAsia="arial" w:hAnsi="arial" w:cs="arial"/>
          <w:color w:val="000000"/>
          <w:sz w:val="20"/>
          <w:lang w:val="en-US" w:eastAsia="en-US" w:bidi="ar-SA"/>
        </w:rPr>
        <w:t xml:space="preserve"> about the prosecution is a foundation of the agreements, except that it is was ongoing), the defendant has failed to clearly assert an equitable ground for protection from the plaintiff's demands under the contract, let alone a ground going to the "very root" of the plaintiff's claims. Money was advanced on certain terms. Those terms have allegedly been breached, and the plaintiff seeks its money back. This is not the </w:t>
      </w:r>
      <w:r>
        <w:rPr>
          <w:rFonts w:ascii="arial" w:eastAsia="arial" w:hAnsi="arial" w:cs="arial"/>
          <w:b/>
          <w:i/>
          <w:color w:val="000000"/>
          <w:sz w:val="20"/>
          <w:lang w:val="en-US" w:eastAsia="en-US" w:bidi="ar-SA"/>
        </w:rPr>
        <w:t>Piggott</w:t>
      </w:r>
      <w:r>
        <w:rPr>
          <w:rFonts w:ascii="arial" w:eastAsia="arial" w:hAnsi="arial" w:cs="arial"/>
          <w:color w:val="000000"/>
          <w:sz w:val="20"/>
          <w:lang w:val="en-US" w:eastAsia="en-US" w:bidi="ar-SA"/>
        </w:rPr>
        <w:t xml:space="preserve"> case. The plaintiff is not seeking an </w:t>
      </w:r>
      <w:r>
        <w:rPr>
          <w:rFonts w:ascii="arial" w:eastAsia="arial" w:hAnsi="arial" w:cs="arial"/>
          <w:i/>
          <w:color w:val="000000"/>
          <w:sz w:val="20"/>
          <w:lang w:val="en-US" w:eastAsia="en-US" w:bidi="ar-SA"/>
        </w:rPr>
        <w:t>advantage</w:t>
      </w:r>
      <w:r>
        <w:rPr>
          <w:rFonts w:ascii="arial" w:eastAsia="arial" w:hAnsi="arial" w:cs="arial"/>
          <w:color w:val="000000"/>
          <w:sz w:val="20"/>
          <w:lang w:val="en-US" w:eastAsia="en-US" w:bidi="ar-SA"/>
        </w:rPr>
        <w:t xml:space="preserve"> out of its wrongdoing (assuming for the moment that that term applies to the prosecution), it is simply seeking reimbursement in terms negotiated during, and within, the context of that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defendant has not identified any equitable basis for the set-off. An equitable set-off cannot arise out of circumstances where a contract is negotiated between competent parties, one of whom reserves a grievance against the other that it later asserts to avoid the consequences of the contract it made. It would, in fact, be </w:t>
      </w:r>
      <w:r>
        <w:rPr>
          <w:rFonts w:ascii="arial" w:eastAsia="arial" w:hAnsi="arial" w:cs="arial"/>
          <w:i/>
          <w:color w:val="000000"/>
          <w:sz w:val="20"/>
          <w:lang w:val="en-US" w:eastAsia="en-US" w:bidi="ar-SA"/>
        </w:rPr>
        <w:t>inequitable</w:t>
      </w:r>
      <w:r>
        <w:rPr>
          <w:rFonts w:ascii="arial" w:eastAsia="arial" w:hAnsi="arial" w:cs="arial"/>
          <w:color w:val="000000"/>
          <w:sz w:val="20"/>
          <w:lang w:val="en-US" w:eastAsia="en-US" w:bidi="ar-SA"/>
        </w:rPr>
        <w:t xml:space="preserve"> to countenance that kind of dealing.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defendant pled not guilty and was found not guilty. He has, and had always, had his own knowledge of his circumstances relative to the charges. He is free to assert the claims he has. He is not entitled to stand those claims against contractual arrangements he made that stood completely apart, and was founded on premises he actively asserted, but which he now characterizes differently.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defendant's position is, ultimately, merely an </w:t>
      </w:r>
      <w:r>
        <w:rPr>
          <w:rFonts w:ascii="arial" w:eastAsia="arial" w:hAnsi="arial" w:cs="arial"/>
          <w:i/>
          <w:color w:val="000000"/>
          <w:sz w:val="20"/>
          <w:lang w:val="en-US" w:eastAsia="en-US" w:bidi="ar-SA"/>
        </w:rPr>
        <w:t>efficiency</w:t>
      </w:r>
      <w:r>
        <w:rPr>
          <w:rFonts w:ascii="arial" w:eastAsia="arial" w:hAnsi="arial" w:cs="arial"/>
          <w:color w:val="000000"/>
          <w:sz w:val="20"/>
          <w:lang w:val="en-US" w:eastAsia="en-US" w:bidi="ar-SA"/>
        </w:rPr>
        <w:t xml:space="preserve"> argument-the court should hear it all, so that at the end, one party will write one cheque. Given the complexity of the questions involved and the relative paces at which the two proceedings seem to be moving, this is entirely superficial: justice will best be done by leaving each party to proceed with its own action independently.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defendant's claim to set-off will be struck from the statement of defence.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summary, I order the following paragraphs or parts of paragraphs struck from the Amended Statement of Defence of Ripudaman Singh Malik filed on November 3, 2008:</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5A;</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9 except "Ripudaman, with reference to paragraph 17 of the </w:t>
      </w:r>
      <w:r>
        <w:rPr>
          <w:rFonts w:ascii="arial" w:eastAsia="arial" w:hAnsi="arial" w:cs="arial"/>
          <w:color w:val="000000"/>
          <w:sz w:val="20"/>
          <w:u w:val="single"/>
          <w:lang w:val="en-US" w:eastAsia="en-US" w:bidi="ar-SA"/>
        </w:rPr>
        <w:t>Amended</w:t>
      </w:r>
      <w:r>
        <w:rPr>
          <w:rFonts w:ascii="arial" w:eastAsia="arial" w:hAnsi="arial" w:cs="arial"/>
          <w:color w:val="000000"/>
          <w:sz w:val="20"/>
          <w:lang w:val="en-US" w:eastAsia="en-US" w:bidi="ar-SA"/>
        </w:rPr>
        <w:t xml:space="preserve"> Statement of Claim, states that the Plaintiff was in fact fully satisfied with </w:t>
      </w:r>
      <w:r>
        <w:rPr>
          <w:rFonts w:ascii="arial" w:eastAsia="arial" w:hAnsi="arial" w:cs="arial"/>
          <w:color w:val="000000"/>
          <w:sz w:val="20"/>
          <w:u w:val="single"/>
          <w:lang w:val="en-US" w:eastAsia="en-US" w:bidi="ar-SA"/>
        </w:rPr>
        <w:t>its knowledge</w:t>
      </w:r>
      <w:r>
        <w:rPr>
          <w:rFonts w:ascii="arial" w:eastAsia="arial" w:hAnsi="arial" w:cs="arial"/>
          <w:color w:val="000000"/>
          <w:sz w:val="20"/>
          <w:lang w:val="en-US" w:eastAsia="en-US" w:bidi="ar-SA"/>
        </w:rPr>
        <w:t xml:space="preserve"> of the state of his financial affairs and entered into the interim funding agreement to provide his defence costs. In funding such costs, the Plaintiff did not in fact rely upon the representations </w:t>
      </w:r>
      <w:r>
        <w:rPr>
          <w:rFonts w:ascii="arial" w:eastAsia="arial" w:hAnsi="arial" w:cs="arial"/>
          <w:color w:val="000000"/>
          <w:sz w:val="20"/>
          <w:u w:val="single"/>
          <w:lang w:val="en-US" w:eastAsia="en-US" w:bidi="ar-SA"/>
        </w:rPr>
        <w:t>of Ripudaman</w:t>
      </w:r>
      <w:r>
        <w:rPr>
          <w:rFonts w:ascii="arial" w:eastAsia="arial" w:hAnsi="arial" w:cs="arial"/>
          <w:color w:val="000000"/>
          <w:sz w:val="20"/>
          <w:lang w:val="en-US" w:eastAsia="en-US" w:bidi="ar-SA"/>
        </w:rPr>
        <w:t>";</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10 except "With reference to paragraph 18, Ripudaman says and the fact is the Plaintiff only purported to rely upon the Interim Funding Agreement </w:t>
      </w:r>
      <w:r>
        <w:rPr>
          <w:rFonts w:ascii="arial" w:eastAsia="arial" w:hAnsi="arial" w:cs="arial"/>
          <w:color w:val="000000"/>
          <w:sz w:val="20"/>
          <w:u w:val="single"/>
          <w:lang w:val="en-US" w:eastAsia="en-US" w:bidi="ar-SA"/>
        </w:rPr>
        <w:t>and the said representations</w:t>
      </w:r>
      <w:r>
        <w:rPr>
          <w:rFonts w:ascii="arial" w:eastAsia="arial" w:hAnsi="arial" w:cs="arial"/>
          <w:color w:val="000000"/>
          <w:sz w:val="20"/>
          <w:lang w:val="en-US" w:eastAsia="en-US" w:bidi="ar-SA"/>
        </w:rPr>
        <w:t>";</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11 except "Ripudaman has no knowledge of the allegations contained in paragraph 19. He denies that the Plaintiff relied upon any representations";</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12: "was in a state of desperation, and under severe duress as particularized in paragraph 9 above";</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16: "and pleads duress";</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20;</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21: "but says he gave the mortgage under duress";</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24 except "With reference to paragraph 34 of the Amended Statement of Claim, Ripudaman denies acknowledging his indebtedness as alleged";</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26 except "As to paragraph 36 of the Amended Statement of Claim, Ripudaman denies any fraud whatsoever";</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32 except "Ripudaman denies any fraud or conspiracy"; and</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Paragraphs (d) and (e) from the prayer for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is entitled to costs unless there are circumstances respecting costs that should be drawn to the attention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At the outset of the hearing of this application, the defendant had objected to having it heard at the same time as an application for a summary trial under Rule 18A respecting the amounts allegedly due and owing under the contract. I ruled that both motions could proceed. The defendant's objection was that until there was a ruling respecting the pleadings as they were, there had not been full documentary disclosure. My view was that any prejudice could be addressed once this ruling had been made. In view of the outcome of this application, I see no impediment to proceeding to determine the summary trial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T.M. McEWAN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7"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17" w:history="1">
        <w:r>
          <w:rPr>
            <w:rFonts w:ascii="arial" w:eastAsia="arial" w:hAnsi="arial" w:cs="arial"/>
            <w:b/>
            <w:bCs/>
            <w:i/>
            <w:color w:val="0077CC"/>
            <w:kern w:val="32"/>
            <w:sz w:val="28"/>
            <w:szCs w:val="32"/>
            <w:u w:val="single"/>
            <w:shd w:val="clear" w:color="auto" w:fill="FFFFFF"/>
            <w:lang w:val="en-US" w:eastAsia="en-US" w:bidi="ar-SA"/>
          </w:rPr>
          <w:t>British Columbia Society for the Prevention of Cruelty to Animals v. Baker, [2008] B.C.J. No. 1635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Preston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30,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28,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S070214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1635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947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172 A.C.W.S. (3d) 58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British Columbia Society for the Prevention of Cruelty to Animals, Plaintiff, and Tamara Baker and Walter Baker,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8"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6" w:name="Keywords_7"/>
      <w:bookmarkEnd w:id="56"/>
      <w:r>
        <w:rPr>
          <w:rFonts w:ascii="arial" w:eastAsia="arial" w:hAnsi="arial" w:cs="arial"/>
          <w:b/>
          <w:color w:val="000000"/>
          <w:sz w:val="20"/>
          <w:lang w:val="en-US" w:eastAsia="en-US" w:bidi="ar-SA"/>
        </w:rPr>
        <w:t>Civil litigation — Civil procedure — Costs — Offers to settle — Application by co-defendant for double costs based on an offer to settle dismissed — He failed to show the offer ought reasonably to have been accepted by the plaintiff — Rule 37(31) clearly required that in respect of defendants sued jointly, a single offer had to be made on behalf of all defendants, which was not the case with the offer in question — British Columbia Supreme Court Rules, Rule 37(31).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7" w:name="Case Summary_7"/>
            <w:bookmarkEnd w:id="5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for doubt costs by co-defendant Baker. Baker relied upon an offer to settle in the amount of $1 dated Feb. 13, 2007 and delivered to the plaintiff B.C. Society for the Prevention of Animals. The plaintiff's action was dismissed after trial. The plaintiff argued the offer was incapable of triggering the double costs provisions of the rules as it was not made on behalf of both jointly-sued defendants in the action.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8" w:name="Holdings of Court_7"/>
            <w:bookmarkEnd w:id="58"/>
            <w:r>
              <w:rPr>
                <w:rFonts w:ascii="arial" w:eastAsia="arial" w:hAnsi="arial" w:cs="arial"/>
                <w:color w:val="000000"/>
                <w:sz w:val="20"/>
                <w:lang w:val="en-US" w:eastAsia="en-US" w:bidi="ar-SA"/>
              </w:rPr>
              <w:t>HELD: Application for double costs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applicant had not established that the offer he made was one that ought reasonably to have been accepted by the society under the law applicable during its currency. Acceptance would not have conferred a significant benefit on the society other than its effect on cots. He had not shown that an award of double costs was necessary to avoid the imposition of hardship in the litigation. Rule 37(31) was clear. In respect of defendants sued jointly, it required that a single offer be made on behalf of all defendants in order that the plaintiff could satisfy him/herself about the effect of accepting or ignoring the offer. This was not the case here.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9" w:name="Legislation Cited_6"/>
      <w:bookmarkEnd w:id="5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9"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Bankruptcy and Insolvency Act, </w:t>
      </w:r>
      <w:hyperlink r:id="rId218" w:history="1">
        <w:r>
          <w:rPr>
            <w:rFonts w:ascii="arial" w:eastAsia="arial" w:hAnsi="arial" w:cs="arial"/>
            <w:i/>
            <w:color w:val="0077CC"/>
            <w:sz w:val="20"/>
            <w:u w:val="single"/>
            <w:shd w:val="clear" w:color="auto" w:fill="FFFFFF"/>
            <w:lang w:val="en-US" w:eastAsia="en-US" w:bidi="ar-SA"/>
          </w:rPr>
          <w:t>R.S.C. 1985, c. B-3, s. 69</w:t>
        </w:r>
      </w:hyperlink>
      <w:r>
        <w:rPr>
          <w:rFonts w:ascii="arial" w:eastAsia="arial" w:hAnsi="arial" w:cs="arial"/>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Columbia Supreme Court Rules, Rule 18A, Rule 37B(1), Rule 37(31)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Prevention of Cruelty to Animals Act, </w:t>
      </w:r>
      <w:hyperlink r:id="rId219" w:history="1">
        <w:r>
          <w:rPr>
            <w:rFonts w:ascii="arial" w:eastAsia="arial" w:hAnsi="arial" w:cs="arial"/>
            <w:i/>
            <w:color w:val="0077CC"/>
            <w:sz w:val="20"/>
            <w:u w:val="single"/>
            <w:shd w:val="clear" w:color="auto" w:fill="FFFFFF"/>
            <w:lang w:val="en-US" w:eastAsia="en-US" w:bidi="ar-SA"/>
          </w:rPr>
          <w:t>RSBC 1996, CHAPTER 372, s. 20</w:t>
        </w:r>
      </w:hyperlink>
      <w:r>
        <w:rPr>
          <w:rFonts w:ascii="arial" w:eastAsia="arial" w:hAnsi="arial" w:cs="arial"/>
          <w:color w:val="000000"/>
          <w:sz w:val="20"/>
          <w:lang w:val="en-US" w:eastAsia="en-US" w:bidi="ar-SA"/>
        </w:rPr>
        <w:t>(1)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0" w:name="Counsel_7"/>
      <w:bookmarkEnd w:id="6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0" style="position:absolute;z-index:2517688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Donald P. Montrichard.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Walter Baker: Duncan K. Magnus.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1" w:name="Judgment_7"/>
      <w:bookmarkEnd w:id="61"/>
      <w:r>
        <w:pict>
          <v:line id="_x0000_s1071" style="position:absolute;z-index:2518200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2" w:name="B.M. PRESTON J."/>
            <w:bookmarkEnd w:id="62"/>
            <w:r>
              <w:rPr>
                <w:rFonts w:ascii="arial" w:eastAsia="arial" w:hAnsi="arial" w:cs="arial"/>
                <w:b/>
                <w:color w:val="000000"/>
                <w:sz w:val="30"/>
                <w:lang w:val="en-US" w:eastAsia="en-US" w:bidi="ar-SA"/>
              </w:rPr>
              <w:t>B.M. PRESTON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A trial of the issues in this action pursuant to Rule 18A took place on July 17, 2007. At trial, the defendant Walter Baker was represented by counsel. His co-defendant Tamara Baker did not appear. She had assigned herself into bankruptcy on February 8, 2007. The action of the plaintiff, British Columbia Society for the Prevention of Cruelty to Animals ("BCSPCA") was dismissed after trial: </w:t>
      </w:r>
      <w:r>
        <w:rPr>
          <w:rFonts w:ascii="arial" w:eastAsia="arial" w:hAnsi="arial" w:cs="arial"/>
          <w:b/>
          <w:i/>
          <w:color w:val="000000"/>
          <w:sz w:val="20"/>
          <w:lang w:val="en-US" w:eastAsia="en-US" w:bidi="ar-SA"/>
        </w:rPr>
        <w:t>BCSPCA v. Baker</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2007 BCSC 1717</w:t>
        </w:r>
      </w:hyperlink>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163 A.C.W.S. (3d) 881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issue before me on this application is whether or not the defendant Walter Baker is entitled to an award of double costs pursuant to Rule 37(24)(b) of the </w:t>
      </w:r>
      <w:r>
        <w:rPr>
          <w:rFonts w:ascii="arial" w:eastAsia="arial" w:hAnsi="arial" w:cs="arial"/>
          <w:b/>
          <w:i/>
          <w:color w:val="000000"/>
          <w:sz w:val="20"/>
          <w:lang w:val="en-US" w:eastAsia="en-US" w:bidi="ar-SA"/>
        </w:rPr>
        <w:t>Supreme Court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Mr. Baker relies upon an offer to settle in the amount of $1.00 dated February 13, 2007 delivered to the BCSPCA pursuant to Rule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BCSPCA takes the position that the offer to settle is incapable of triggering the double costs provisions of the Rule because it was not made on behalf of both jointly sued defendants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action was commenced on January 11, 2007. The writ of summons named both defendants. Paragraph 13 of the statement of claim filed with the writ alleges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Pursuant to section 20 of the [</w:t>
      </w:r>
      <w:r>
        <w:rPr>
          <w:rFonts w:ascii="arial" w:eastAsia="arial" w:hAnsi="arial" w:cs="arial"/>
          <w:b/>
          <w:i/>
          <w:color w:val="000000"/>
          <w:sz w:val="20"/>
          <w:lang w:val="en-US" w:eastAsia="en-US" w:bidi="ar-SA"/>
        </w:rPr>
        <w:t>Prevention of Cruelty to Animals</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the Defendants, Tamara Baker and Walter Baker, are joint and severally liable to the Society for the full amount of the Costs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On January 30, Mr. Baker entered an appearance in the action. From January 31 to February 5, 2007, repeated attempts to serve the writ of summons and statement of claim on Ms. Baker were unsuccessful. On February 8, 2007, Ms. Baker assigned herself into bankruptcy pursuant to the </w:t>
      </w:r>
      <w:r>
        <w:rPr>
          <w:rFonts w:ascii="arial" w:eastAsia="arial" w:hAnsi="arial" w:cs="arial"/>
          <w:b/>
          <w:i/>
          <w:color w:val="000000"/>
          <w:sz w:val="20"/>
          <w:lang w:val="en-US" w:eastAsia="en-US" w:bidi="ar-SA"/>
        </w:rPr>
        <w:t>Bankruptcy and Insolvency Act</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R.S.C. 1985, c. B-3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Bankruptcy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February 13, 2007, counsel for the BCSPCA delivered an offer to settle accompanied by a letter which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recent declaration by, and the resultant stay of proceedings with respect to, the named Defendant, Tamara Baker, the Society takes the position that Rule 37(31) does not prevent it from addressing this Offer to Settle solely to the Defendant, Walter Baker.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the same day, Mr. Baker delivered his offer to settle for $1.00 which is the subject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Neither offer to settle was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Rule 18A trial, one of the issues was Mr. Baker's claim to an entitlement to special costs. That claim was unsuccessful. He was awarded costs under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March 30, 2008, Mr. Baker applied to have costs assessed as double costs pursuant to Rule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Written submissions were filed by both parties and I prepared written reasons in final form in April 2008. Inadvertently, those reasons were not handed down. Rules 37 and 37A were repealed by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xml:space="preserve"> and a new rule, Rule 37B, substituted effective July 1, 2008. On July 14, shortly after the repeal of Rules 37 and 37A, counsel wrote to the court concerning the effect of Rule 37B on the judgment which had not been handed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Rule 37B(1) reads in part:</w:t>
      </w:r>
      <w:r>
        <w:rPr>
          <w:rFonts w:ascii="arial" w:eastAsia="arial" w:hAnsi="arial" w:cs="arial"/>
          <w:sz w:val="20"/>
          <w:lang w:val="en-US" w:eastAsia="en-US" w:bidi="ar-SA"/>
        </w:rPr>
        <w:cr/>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rule "offer to settle" means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offer to settle made and delivered before July 2, 2008 under Rule 37, as that rule read on the date of the offer to settle, and in relation to which no order was made under that rule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circumstances, Rule 37B applies to the offer made by Mr. Baker.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Rule 37B(5) and (6) read:</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 proceeding in which an offer to settle has been made, the court may do one or both of the following:</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deprive a party, in whole or in part, of costs to which the party would otherwise be entitled in respect of the steps taken in the proceeding after the date of delivery of the offer to settle;</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double costs of all or some of the steps taken in the proceeding after the date of delivery of the offer to settle.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making an order under subrule (5), the court may consider the following:</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offer to settle was one that ought reasonably to have been accepted, either on the date that the offer to settle was delivered or on any later date;</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terms of settlement offered and the final judgment of the court;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financial circumstances of the parties;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factor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Subrule (5) is permissive. It empowers the court to make either type of order mentioned in the subrule. By necessary implication, it contemplates that the court may make an order that denies one of the two forms of relief set out in the subrule.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Rule 37B(6)(a)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will deal first with the consideration raised by Rule 37B(6)(a): whether the offer was one that ought reasonably to have been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Rule 37(2), which governed matters at the time the offer in this case was made, read:</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to a proceeding may deliver to any other party of record a written offer in Form 64 to settle one or more claims in the proceeding in the terms specified in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 37(31) read:</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than in an action for defamation, if several defendants are sued jointly, a plaintiff may not make an offer to settle except jointly to all defendants, and a defendant may not make an offer to settle except jointly with all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rationale for this provision was explained by McLachlin J. (now C.J.C.) in </w:t>
      </w:r>
      <w:r>
        <w:rPr>
          <w:rFonts w:ascii="arial" w:eastAsia="arial" w:hAnsi="arial" w:cs="arial"/>
          <w:b/>
          <w:i/>
          <w:color w:val="000000"/>
          <w:sz w:val="20"/>
          <w:lang w:val="en-US" w:eastAsia="en-US" w:bidi="ar-SA"/>
        </w:rPr>
        <w:t>Imperial Salmon House Ltd. v. Krdzalic</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(1983), 48 B.C.L.R. 256</w:t>
        </w:r>
      </w:hyperlink>
      <w:r>
        <w:rPr>
          <w:rFonts w:ascii="arial" w:eastAsia="arial" w:hAnsi="arial" w:cs="arial"/>
          <w:color w:val="000000"/>
          <w:sz w:val="20"/>
          <w:lang w:val="en-US" w:eastAsia="en-US" w:bidi="ar-SA"/>
        </w:rPr>
        <w:t xml:space="preserve"> at 260, 37 C.P.C. 152 (S.C.) at paras. 11-12: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requirement for joint payment into court where there is more than one defendant was introduced into the British Columbia Rules of Court in 1976. Under former M.R. 255(b), defendants were not required to pay in together or jointly. This created a problem in many cases. A plaintiff might accept payment in made by one defendant, intending to proceed against the other defendant, and then find himself faced with the defence that the two defendants were joint or concurrent wrongdoers, with the result that the plaintiff could not claim against the remaining defendant who had not paid money into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 37(14) attempts to eliminate such problems by requiring that the payment into court must be joint. Defendants are expected to discuss and agree on their positions before payment is made. There is but one payment into court for the plaintiff to consider. If that payment is accepted, that is the end of the law suit. The requirement that any payment into court by multiple defendants be made jointly ensures that acceptance of payment in to court resolves the law suit once and for all in a manner fair to all parties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application of Rule 37(1) would dispose of this application in a straightforward manner were it not for Ms. Baker's bankruptcy. She was a joint defendant and, in the normal course, would have been served with the writ and statement of claim. Her assignment into bankruptcy interrupted this normal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effect of the bankruptcy is to stay the proceeding against Ms. Baker. Section 69(1) of the </w:t>
      </w:r>
      <w:r>
        <w:rPr>
          <w:rFonts w:ascii="arial" w:eastAsia="arial" w:hAnsi="arial" w:cs="arial"/>
          <w:b/>
          <w:i/>
          <w:color w:val="000000"/>
          <w:sz w:val="20"/>
          <w:lang w:val="en-US" w:eastAsia="en-US" w:bidi="ar-SA"/>
        </w:rPr>
        <w:t>Bankruptcy Act</w:t>
      </w:r>
      <w:r>
        <w:rPr>
          <w:rFonts w:ascii="arial" w:eastAsia="arial" w:hAnsi="arial" w:cs="arial"/>
          <w:color w:val="000000"/>
          <w:sz w:val="20"/>
          <w:lang w:val="en-US" w:eastAsia="en-US" w:bidi="ar-SA"/>
        </w:rPr>
        <w:t xml:space="preserve">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69.(1) Subject to subsections (2) and (3) and sections 69.4 and 69.5 [only s. 69.4 has application here], on the filing of a notice of intention under section 50.4 by an insolvent person,</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creditor has any remedy against the insolvent person or the insolvent person's property, or shall commence or continue any action, execution or other proceedings, for recovery of a claim provable in bankruptcy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Section 69.4 of the </w:t>
      </w:r>
      <w:r>
        <w:rPr>
          <w:rFonts w:ascii="arial" w:eastAsia="arial" w:hAnsi="arial" w:cs="arial"/>
          <w:b/>
          <w:i/>
          <w:color w:val="000000"/>
          <w:sz w:val="20"/>
          <w:lang w:val="en-US" w:eastAsia="en-US" w:bidi="ar-SA"/>
        </w:rPr>
        <w:t>Bankruptcy Act</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69.4 A creditor who is affected by the operation of sections 69 to 69.31 ... may apply to the court for a declaration that those sections no longer operate in respect of that creditor or person, and the court may make such a declaration, subject to any qualifications that the court considers proper, if it is satisfied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creditor or person is likely to be materially prejudiced by the continued operation of those sections; or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it is equitable on other grounds to make such a declaration.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 stay of proceedings under the </w:t>
      </w:r>
      <w:r>
        <w:rPr>
          <w:rFonts w:ascii="arial" w:eastAsia="arial" w:hAnsi="arial" w:cs="arial"/>
          <w:b/>
          <w:i/>
          <w:color w:val="000000"/>
          <w:sz w:val="20"/>
          <w:lang w:val="en-US" w:eastAsia="en-US" w:bidi="ar-SA"/>
        </w:rPr>
        <w:t>Bankruptcy Act</w:t>
      </w:r>
      <w:r>
        <w:rPr>
          <w:rFonts w:ascii="arial" w:eastAsia="arial" w:hAnsi="arial" w:cs="arial"/>
          <w:color w:val="000000"/>
          <w:sz w:val="20"/>
          <w:lang w:val="en-US" w:eastAsia="en-US" w:bidi="ar-SA"/>
        </w:rPr>
        <w:t xml:space="preserve"> does not bring the proceedings to an end or prevent their continuation, if a court permits, under s. 69.4. Nor does it end the proceedings if the trustee is discharged: </w:t>
      </w:r>
      <w:r>
        <w:rPr>
          <w:rFonts w:ascii="arial" w:eastAsia="arial" w:hAnsi="arial" w:cs="arial"/>
          <w:b/>
          <w:i/>
          <w:color w:val="000000"/>
          <w:sz w:val="20"/>
          <w:lang w:val="en-US" w:eastAsia="en-US" w:bidi="ar-SA"/>
        </w:rPr>
        <w:t>Thiessen v. Antifaev</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2003 BCSC 197</w:t>
        </w:r>
      </w:hyperlink>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120 A.C.W.S. (3d) 723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Rule 37(31) prevents one of a number of defendants from making an offer to settle if he or she is sued jointly with the other defendant or defendants. In </w:t>
      </w:r>
      <w:r>
        <w:rPr>
          <w:rFonts w:ascii="arial" w:eastAsia="arial" w:hAnsi="arial" w:cs="arial"/>
          <w:b/>
          <w:i/>
          <w:color w:val="000000"/>
          <w:sz w:val="20"/>
          <w:lang w:val="en-US" w:eastAsia="en-US" w:bidi="ar-SA"/>
        </w:rPr>
        <w:t>Browne v. Lowe</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2002 BCCA 7</w:t>
        </w:r>
      </w:hyperlink>
      <w:r>
        <w:rPr>
          <w:rFonts w:ascii="arial" w:eastAsia="arial" w:hAnsi="arial" w:cs="arial"/>
          <w:color w:val="000000"/>
          <w:sz w:val="20"/>
          <w:lang w:val="en-US" w:eastAsia="en-US" w:bidi="ar-SA"/>
        </w:rPr>
        <w:t xml:space="preserve"> at para. 157, </w:t>
      </w:r>
      <w:hyperlink r:id="rId224" w:history="1">
        <w:r>
          <w:rPr>
            <w:rFonts w:ascii="arial" w:eastAsia="arial" w:hAnsi="arial" w:cs="arial"/>
            <w:i/>
            <w:color w:val="0077CC"/>
            <w:sz w:val="20"/>
            <w:u w:val="single"/>
            <w:shd w:val="clear" w:color="auto" w:fill="FFFFFF"/>
            <w:lang w:val="en-US" w:eastAsia="en-US" w:bidi="ar-SA"/>
          </w:rPr>
          <w:t>97 B.C.L.R. (3d) 246</w:t>
        </w:r>
      </w:hyperlink>
      <w:r>
        <w:rPr>
          <w:rFonts w:ascii="arial" w:eastAsia="arial" w:hAnsi="arial" w:cs="arial"/>
          <w:color w:val="000000"/>
          <w:sz w:val="20"/>
          <w:lang w:val="en-US" w:eastAsia="en-US" w:bidi="ar-SA"/>
        </w:rPr>
        <w:t>, Southin J.A., said of the requirements of Rule 37(31):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all respect, the defendants here were not sued "jointly". Under s. 4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their liability is joint but they are not joint tortfeasors. The cause of action against each is several. Tortfeasors can only be sued "jointly" if they have joined together in committing the tort and the liability of one is the liability of the other, e.g. if two landowners agree to enter on the land of another to cut down his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Here, counsel for Mr. Baker takes the position that the pleadings do not raise a claim of joint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BCSPCA's claim is based on s. 20(1) of the </w:t>
      </w:r>
      <w:r>
        <w:rPr>
          <w:rFonts w:ascii="arial" w:eastAsia="arial" w:hAnsi="arial" w:cs="arial"/>
          <w:b/>
          <w:i/>
          <w:color w:val="000000"/>
          <w:sz w:val="20"/>
          <w:lang w:val="en-US" w:eastAsia="en-US" w:bidi="ar-SA"/>
        </w:rPr>
        <w:t>Prevention of Cruelty to Animals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372</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It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20(1) The owner of an animal taken into custody under section 11 is liable to the society for the costs incurred by the society under this Act with respect to the animal.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BCSPCA's statement of claim contains the following averments:</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all material times, </w:t>
      </w:r>
      <w:r>
        <w:rPr>
          <w:rFonts w:ascii="arial" w:eastAsia="arial" w:hAnsi="arial" w:cs="arial"/>
          <w:i/>
          <w:color w:val="000000"/>
          <w:sz w:val="20"/>
          <w:lang w:val="en-US" w:eastAsia="en-US" w:bidi="ar-SA"/>
        </w:rPr>
        <w:t>the Defendant, Tamara Baker, or the Defendant, Walter Baker, or both of them</w:t>
      </w:r>
      <w:r>
        <w:rPr>
          <w:rFonts w:ascii="arial" w:eastAsia="arial" w:hAnsi="arial" w:cs="arial"/>
          <w:color w:val="000000"/>
          <w:sz w:val="20"/>
          <w:lang w:val="en-US" w:eastAsia="en-US" w:bidi="ar-SA"/>
        </w:rPr>
        <w:t xml:space="preserve"> were the owners of, and/or persons responsible for, some or all of the seized animals.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prior to the execution of the Warrant, and contrary to the Act: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Tamara Baker and Walter Baker, failed to provide the Seized Animals with adequate food, water, shelter and veterinary care;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Seized Animals were sick, in pain or suffering;</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Seized Animals were neglected; and/or,</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Seized Animals were in distress, within the meaning of the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Pursuant to section 20 of the Act, the Defendants, Tamara Baker and Walter Baker, are </w:t>
      </w:r>
      <w:r>
        <w:rPr>
          <w:rFonts w:ascii="arial" w:eastAsia="arial" w:hAnsi="arial" w:cs="arial"/>
          <w:color w:val="000000"/>
          <w:sz w:val="20"/>
          <w:u w:val="single"/>
          <w:lang w:val="en-US" w:eastAsia="en-US" w:bidi="ar-SA"/>
        </w:rPr>
        <w:t>jointly</w:t>
      </w:r>
      <w:r>
        <w:rPr>
          <w:rFonts w:ascii="arial" w:eastAsia="arial" w:hAnsi="arial" w:cs="arial"/>
          <w:color w:val="000000"/>
          <w:sz w:val="20"/>
          <w:lang w:val="en-US" w:eastAsia="en-US" w:bidi="ar-SA"/>
        </w:rPr>
        <w:t xml:space="preserve"> and </w:t>
      </w:r>
      <w:r>
        <w:rPr>
          <w:rFonts w:ascii="arial" w:eastAsia="arial" w:hAnsi="arial" w:cs="arial"/>
          <w:color w:val="000000"/>
          <w:sz w:val="20"/>
          <w:u w:val="single"/>
          <w:lang w:val="en-US" w:eastAsia="en-US" w:bidi="ar-SA"/>
        </w:rPr>
        <w:t>severally liable to the Society for the full amount of the Costs of Care</w:t>
      </w:r>
      <w:r>
        <w:rPr>
          <w:rFonts w:ascii="arial" w:eastAsia="arial" w:hAnsi="arial" w:cs="arial"/>
          <w:color w:val="000000"/>
          <w:sz w:val="20"/>
          <w:lang w:val="en-US" w:eastAsia="en-US" w:bidi="ar-SA"/>
        </w:rPr>
        <w:t>.</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Society has demanded that </w:t>
      </w:r>
      <w:r>
        <w:rPr>
          <w:rFonts w:ascii="arial" w:eastAsia="arial" w:hAnsi="arial" w:cs="arial"/>
          <w:color w:val="000000"/>
          <w:sz w:val="20"/>
          <w:u w:val="single"/>
          <w:lang w:val="en-US" w:eastAsia="en-US" w:bidi="ar-SA"/>
        </w:rPr>
        <w:t>each of the Defendants, Tamara Baker and Walter Baker, compensate it for the full amount of the Costs of Care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It is clear that the plaintiff raises a claim based on liability of the defendants as joint owners involved in a single delict, the contravention of the provisions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and seeks full indemnity from each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 Walter Baker submits that the plaintiff is estopped from taking the position that the defendant Tamara Baker's bankruptcy does not prevent the operation of the bar in Rule 37(31) because it took the opposite position when it delivered its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will observe first that the representation that is said to give rise to the estoppel is a representation of law not fact. Secondly, it is a representation with respect to a proposition of law made by one counsel to the other in the course of unresolved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appears to me that the defendant's position may be stated as follows: if counsel advances an incorrect proposition of law to counsel for the opposing party, the first counsel is estopped from relying on the correct proposition later in the same litigation. To state the proposition is to doubt it. It is not a sound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am satisfied that no estoppel arises in this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rationale of Rule 37(31) is clear. In respect of defendants sued jointly, it requires that a single offer be made on behalf of all defendants in order that the plaintiff can satisfy him or herself about the effect of accepting or ignoring the offer. In this case, one of the defendants, Ms. Baker, did not participate in the offer. The action had not been discontinued against her. There were circumstances in which the claim against her could continue to have vitality. In order for a party to claim the benefit of double costs under the Rule, he or she must make an offer that complies with its provisions. That is not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am satisfied that Mr. Baker's offer was not one that reasonably ought to have been accepted on the date of the offer to settle or before the Rule 18A hearing at which time, pursuant to Rule 37(13), the offer was no longer capable of acceptance.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Rule 37B(6)(b)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This subrule indicates that the court, when exercising its discretion under Rule 37B should consider the relationship between the offer and the result in the action. In this case, the offer to settle was for one dollar. There was no counterclaim. BCSPCA's only risk was costs. An offer that would confer a significant benefit, aside from costs, on a party who failed to accept the offer would be more likely to attract double costs under Rule 37B that an offer of the type made by Mr. Baker.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Rule 37B(6)(c)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means of the parties may be taken into consideration when exercising discretion under Rule 37B. The BCSPCA is a non-profit society dedicated to prevention of cruelty to animals. It is a substantial society. It had an operating surplus of $379,022 in 2007. Mr. Baker has not disclosed his financial circumstances. His counsel stated in submissions that he is of "modest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all the circumstances, Mr. Baker has not established that the offer he made was an offer that ought reasonably to have been accepted by BCSPCA under the law applicable during its currency. Acceptance would not have conferred a significant benefit on BCSPCA other that its effect on costs. Although BCSPCA is likely the party most able to bear the costs of the litigation, Mr. Baker has not shown that an award of double costs is, considering the other factors bearing on an award of costs under Rule 37B, necessary to avoid the imposition of hardship in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Baker's application for double costs is dismissed. BCSPCA will have its costs of this application under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am indebted to counsel for their full and thoughtful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PRESTON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2"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25"/>
          <w:headerReference w:type="default" r:id="rId226"/>
          <w:footerReference w:type="even" r:id="rId227"/>
          <w:footerReference w:type="default" r:id="rId228"/>
          <w:headerReference w:type="first" r:id="rId229"/>
          <w:footerReference w:type="first" r:id="rId23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31" w:history="1">
        <w:r>
          <w:rPr>
            <w:rFonts w:ascii="arial" w:eastAsia="arial" w:hAnsi="arial" w:cs="arial"/>
            <w:b/>
            <w:bCs/>
            <w:i/>
            <w:color w:val="0077CC"/>
            <w:kern w:val="32"/>
            <w:sz w:val="28"/>
            <w:szCs w:val="32"/>
            <w:u w:val="single"/>
            <w:shd w:val="clear" w:color="auto" w:fill="FFFFFF"/>
            <w:lang w:val="en-US" w:eastAsia="en-US" w:bidi="ar-SA"/>
          </w:rPr>
          <w:t>British Columbia v. CTS Cement Manufacturing Corp., [2001] B.C.J. No. 2595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Hutchison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8,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28,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01 0170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2595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1654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 C.L.R. (3d) 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110 A.C.W.S. (3d) 183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B.C.T.C. 1654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Her Majesty the Queen in Right of the Province of British Columbia, plaintiff, and CTS Cement Manufacturing Corporation (formerly ChemComp Systems Inc.) doing business as CTS Cement Manufacturing Company,,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3"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3" w:name="Keywords_8"/>
      <w:bookmarkEnd w:id="63"/>
      <w:r>
        <w:rPr>
          <w:rFonts w:ascii="arial" w:eastAsia="arial" w:hAnsi="arial" w:cs="arial"/>
          <w:b/>
          <w:color w:val="000000"/>
          <w:sz w:val="20"/>
          <w:lang w:val="en-US" w:eastAsia="en-US" w:bidi="ar-SA"/>
        </w:rPr>
        <w:t>Limitation of actions — Practice — Limitation period, commencement of — Actions in tort — Trespass or injury to property — When time begins to run.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4" w:name="Case Summary_8"/>
            <w:bookmarkEnd w:id="6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CTS Cement Manufacturing Corporation for an order dismissing the Province of British Columbia's claim against it pursuant to the Limitations Act. In 1994, CTS provided cement for the construction of a bridge. In 1996, the province brought an action against CTS, which was a partnership, and another company for damages for the alleged failure of the cement. The province did not try to serve the writ until more than a year after it was issued and was unable to determine the proper name of the owner of the partnership to be served. The province argued that the limitation period did not run until it had located the correct party. In January of 2001, it issued a second writ with the correct defendant.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5" w:name="Holdings of Court_8"/>
            <w:bookmarkEnd w:id="65"/>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identity of CTS was known from the outset, but not the proprietor of the partnership. The province could have, with due diligence, determined the true identity prior to the expiration of the limitation period.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6" w:name="Legislation Cited_7"/>
      <w:bookmarkEnd w:id="6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4"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Limitations Act, R.S.B.C. 1996, c. 266, s. 6(3), 6(4)j.</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7" w:name="Counsel_8"/>
      <w:bookmarkEnd w:id="6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5" style="position:absolute;z-index:2517698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C.G. Haddock, for the plaintiff. G.J. Underwood,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8" w:name="Judgment_8"/>
      <w:bookmarkEnd w:id="68"/>
      <w:r>
        <w:pict>
          <v:line id="_x0000_s1076" style="position:absolute;z-index:25182105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9" w:name="HUTCHISON J."/>
            <w:bookmarkEnd w:id="69"/>
            <w:r>
              <w:rPr>
                <w:rFonts w:ascii="arial" w:eastAsia="arial" w:hAnsi="arial" w:cs="arial"/>
                <w:b/>
                <w:color w:val="000000"/>
                <w:sz w:val="30"/>
                <w:lang w:val="en-US" w:eastAsia="en-US" w:bidi="ar-SA"/>
              </w:rPr>
              <w:t>HUTCHISON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CTS Cement Manufacturing Corporation ("CTS") applies to dismiss the plaintiff's claim against it pursuant to the provisions of the Limitation Act, </w:t>
      </w:r>
      <w:hyperlink r:id="rId14"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(the "Act"). The incident giving rise to the cause of action occurred sometime between July 12, 1994 and August 5, 1994, the exact date not being relevant to the issues before me. For reasons I will expand on, I have concluded that the plaintiff's claim cannot succeed as it is statute barred under the Act as submitted by the defendant 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July 10, 1996, the plaintiff commenced an action against Con-Spec Industries Ltd. ("Con-Spec") and CTS (the "first action") after of an alleged failure of a cement product installed on a bridge deck near McBride, British Columbia in 1994. It was alleged that CTS supplied a defective product to Con-Spec, who had a contract with the plaintiff. The contract consisted of an emergency purchase order directed to Con-Spec and provided for the purchase of 15 tons CTS rapid set cement at $635 per ton making a total price of $9,525. In the purchase order, under 'explanation or reasons for the emergency purchase', are written the words "test of a new fast setting cement only supplier in B.C." The purchase order is dated June 15, 1994. The bridge was resurfaced with the cement on July 12, 1994. A few weeks thereafter, cracks started to appear in the surface of the bridge deck to such an extent that it was necessary to remove the surface and replace it with a conventional cement product. It is alleged the cost to complete the second resurfacing was $100,000. Those facts were known to the plaintiff from the very outset. The writ in the first action alleged product liability against CTS and was issued two days before a two-year limitation period would have run.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on June 27, 1997, sent the writ in the first action by facsimile transmission to a law firm in Los Angeles ostensibly acting for CTS. The law firm declined to accept service. Thereafter, the plaintiff initiated efforts to serve CTS with the writ that was about to expire. It was not until July of 1998, when the plaintiff's somewhat haphazard efforts failed, that it was given an address and description of CTS by counsel for Con-Spec. That information revealed to the plaintiff that CTS was a business name used by ChemComp Systems Inc., the former name of CTS Cement Manufacturing Corporation carrying on business as CTS Cement Manufacturing Company, the defendant in this action. There is nothing in the material to indicate that counsel for the plaintiff could not have followed the same course as counsel for Con-Spec.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APPLICATION TO RENEW THE WRIT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It was not until January 1999 that the plaintiff applied for an order renewing the writ and adding ChemComp as the principal of the defendant proprietorship. On January 6, 1999 the application to renew was dismissed on the basis that the statement of claim made no claim against CTS. The application to add ChemComp was adjourned to allow the plaintiff to particularize this allegation against ChemComp, but the writ was not renewed. On January 15, 1999, Con-Spec filed a third party notice against ChemComp, doing business as CTS. On February 27, 1999, the plaintiff filed an amended statement of claim, particularizing the claim against CTS and alleging that ChemComp carried on business under that name. On April 27, 1999, the court ordered the January 6, 1999 decision of the Master set aside following an appeal. The court's order did not renew the writ since that relief was not sought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Thereafter, no further steps were taken in the proceeding until September 2000, when Con-Spec filed a motion for dismissal for want of prosecution. Con-Spec's motion was dismissed on the condition that the plaintiff take steps to proceed with the matter. An application to renew the writ, which had never been served on CTS, was brought before Master McCallum. In reasons handed down October 25, 2000, Master McCallum dismissed the application to renew the writ.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That decision was appealed and came before Mr. Justice Lowry on November 21, 2000, when in oral reasons he dismissed the appeal. In his reasons, at page 5, paragraph 9, he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consider it remarkable that, having issued the writ in the summer of 1996, the Crown did not attempt to serve it for almost a year. It did not apply to renew it until more than a second year had elapsed and several months after it had determined how service could be effected. It certainly did not apply promptly and it now offers no explanation for its extraordinary delay. Its principal contention is that, through no fault of its own, it was unable to determine the proper name of the party to be sued, and hence where it was to be found and served, until June 1998. It says the running of the applicable time limitation period was postponed until then such that it could commence a new action even now. If that is right, it is my view the proper course to be followed rather than seeking to renew the writ that has not been in force since July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SECOND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decided to follow that course and issued its present writ almost two months later on January 12, 2001 (the "second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argument of the plaintiff is that the limitation period does not commence to run, pursuant to s. 6(3) and s. 6(4) of the Act, until identity of the defendant is conclusively known to the plaintiff. For that proposition, they rely on Webb v. Insurance Corporation of British Columbia, </w:t>
      </w:r>
      <w:hyperlink r:id="rId232" w:history="1">
        <w:r>
          <w:rPr>
            <w:rFonts w:ascii="arial" w:eastAsia="arial" w:hAnsi="arial" w:cs="arial"/>
            <w:i/>
            <w:color w:val="0077CC"/>
            <w:sz w:val="20"/>
            <w:u w:val="single"/>
            <w:shd w:val="clear" w:color="auto" w:fill="FFFFFF"/>
            <w:lang w:val="en-US" w:eastAsia="en-US" w:bidi="ar-SA"/>
          </w:rPr>
          <w:t>[1989] B.C.J. No. 1857</w:t>
        </w:r>
      </w:hyperlink>
      <w:r>
        <w:rPr>
          <w:rFonts w:ascii="arial" w:eastAsia="arial" w:hAnsi="arial" w:cs="arial"/>
          <w:color w:val="000000"/>
          <w:sz w:val="20"/>
          <w:lang w:val="en-US" w:eastAsia="en-US" w:bidi="ar-SA"/>
        </w:rPr>
        <w:t xml:space="preserve"> (B.C.C.A.). The relevant sections of the Act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The running of time with respect to the limitation periods set by this Act for any of the following actions is postponed as provided in subsection (4):</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personal injury;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damage to property;</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fraud or deceit;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which material facts relating to the cause of action have been wilfully concealed;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relief from the consequences of a mistake;</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brought under the Family Compensation Act;</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breach of trust not within subsection (1).</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with respect to an action referred to in subsection (3) until the identity of the defendant is known to the plaintiff and those facts within the plaintiff's means of knowledge are such that a reasonable person, knowing those facts and having taken the appropriate advice a reasonable person would seek on those facts, would regard those facts as showing that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concedes that the second part of the test in subsection (4) was met at the time of the failure of the cement product, which was between July and August 1994, but argues that, at that time, the plaintiff did not conclusively know the identity of the defendant. The plaintiff suggests not conclusively knowing the identity of the proprietor of a proprietorship is not conclusively knowing the identity of a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defendant in its application relies on the decision of Taylor J.A. in Krusel v. Firth, </w:t>
      </w:r>
      <w:hyperlink r:id="rId233" w:history="1">
        <w:r>
          <w:rPr>
            <w:rFonts w:ascii="arial" w:eastAsia="arial" w:hAnsi="arial" w:cs="arial"/>
            <w:i/>
            <w:color w:val="0077CC"/>
            <w:sz w:val="20"/>
            <w:u w:val="single"/>
            <w:shd w:val="clear" w:color="auto" w:fill="FFFFFF"/>
            <w:lang w:val="en-US" w:eastAsia="en-US" w:bidi="ar-SA"/>
          </w:rPr>
          <w:t>[1991] B.C.J. No. 2545</w:t>
        </w:r>
      </w:hyperlink>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[1991] 6 W.W.R. 651</w:t>
        </w:r>
      </w:hyperlink>
      <w:r>
        <w:rPr>
          <w:rFonts w:ascii="arial" w:eastAsia="arial" w:hAnsi="arial" w:cs="arial"/>
          <w:color w:val="000000"/>
          <w:sz w:val="20"/>
          <w:lang w:val="en-US" w:eastAsia="en-US" w:bidi="ar-SA"/>
        </w:rPr>
        <w:t xml:space="preserve"> (B.C.C.A.) where at page 7, Taylor J.A. says the following concerning the Webb case, supra relied on by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decision in Webb does not, in my view, stand for the proposition that a plaintiff need not exercise due diligence in ascertaining the identity of a potential defendant in order to obtain the benefit of postponement of the running of time under Section 6(3). The issue in that case was whether something less than conclusive knowledge would satisfy the identity component of the first test. This Court held only that the identity of the defendant, at least in that special situation, must be "conclusively" known before time starts to run.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whether the plaintiff must exercise due diligence to acquire such knowledge did not, of course, have to be decided on the facts of that case.</w:t>
      </w:r>
    </w:p>
    <w:p>
      <w:pPr>
        <w:numPr>
          <w:numId w:val="12"/>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that there is no decision of this court which stands in the way of importing a "due diligence" requirement as a condition for the postponement of the running of time under the first test in Section 6(3).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the second test, as I have said, this court has held that such requirement does apply: see Karsanji v. Rocque, </w:t>
      </w:r>
      <w:hyperlink r:id="rId234" w:history="1">
        <w:r>
          <w:rPr>
            <w:rFonts w:ascii="arial" w:eastAsia="arial" w:hAnsi="arial" w:cs="arial"/>
            <w:i/>
            <w:color w:val="0077CC"/>
            <w:sz w:val="20"/>
            <w:u w:val="single"/>
            <w:shd w:val="clear" w:color="auto" w:fill="FFFFFF"/>
            <w:lang w:val="en-US" w:eastAsia="en-US" w:bidi="ar-SA"/>
          </w:rPr>
          <w:t>[1990] B.C.J. No. 279</w:t>
        </w:r>
      </w:hyperlink>
      <w:r>
        <w:rPr>
          <w:rFonts w:ascii="arial" w:eastAsia="arial" w:hAnsi="arial" w:cs="arial"/>
          <w:color w:val="000000"/>
          <w:sz w:val="20"/>
          <w:lang w:val="en-US" w:eastAsia="en-US" w:bidi="ar-SA"/>
        </w:rPr>
        <w:t>. Time starts to run so soon as facts indicating the existence of a cause of action against a potential defendant are within the plaintiff's means of knowledge even though the plaintiff has not discovered those facts. As I have noted, to hold that the first test is not met until the plaintiff has actual knowledge of the identity of the person against whom he or she has the cause of action -- even though with diligence he or she could have discovered that person's identity sooner -- would plainly remove the protection intended to be provided to possible defendants by the second test. So long as a plaintiff made no effort to discover the identity of the person against whom he or she had a cause of action, time would be postponed, up to the ultimate 30-year limitation date, notwithstanding that facts showing the existence of a cause of action against that person may at all times have been within the plaintiff's means of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 summarizes the ratio of his decision in these words at page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that it is not sufficient that a plaintiff does not in fact know the identity of a potential defendant in order to delay the running of time undern Section 6(3), but necessary that the plaintiff could not with reasonable diligence have been expected to discover that person's identity.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TEST OF IDENTITY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Here the fact is that the identity of the defendant CTS Manufacturing was known from the very outset, and its cement was ordered by the Ministry of Transportation and Highways. What was not known was the proprietor of the proprietorship. Does not knowing that mean conclusive identity is unknown and time does not run under the Act? Or must the plaintiff demonstrate that with reasonable diligence the plaintiff could not be expected to discover the proprietor?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relies on the decision of Cumming J.A. in Webb, supra where at page 5 he says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the first branch or condition I cited with approval the language of the Honourable Judge Perry L.J.S.C. in Ketlow v. D.S.C. Leasing Co. Ltd., </w:t>
      </w:r>
      <w:hyperlink r:id="rId235" w:history="1">
        <w:r>
          <w:rPr>
            <w:rFonts w:ascii="arial" w:eastAsia="arial" w:hAnsi="arial" w:cs="arial"/>
            <w:i/>
            <w:color w:val="0077CC"/>
            <w:sz w:val="20"/>
            <w:u w:val="single"/>
            <w:shd w:val="clear" w:color="auto" w:fill="FFFFFF"/>
            <w:lang w:val="en-US" w:eastAsia="en-US" w:bidi="ar-SA"/>
          </w:rPr>
          <w:t>[1983] B.C.J. No. 460</w:t>
        </w:r>
      </w:hyperlink>
      <w:r>
        <w:rPr>
          <w:rFonts w:ascii="arial" w:eastAsia="arial" w:hAnsi="arial" w:cs="arial"/>
          <w:color w:val="000000"/>
          <w:sz w:val="20"/>
          <w:lang w:val="en-US" w:eastAsia="en-US" w:bidi="ar-SA"/>
        </w:rPr>
        <w:t xml:space="preserve"> (B.C.S.C.), Prince George Registry SC532/78, January 27, 1983) where he said, at p. 6 of his reasons: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not a matter of fact being knowable but known. The fourth definition of the word "know" in the shorter Oxford Dictionary is: "To be cognizant of (a fact); to apprehend with the mind to understand." Applying that definition, I think it is not a matter of half-knowing or perhaps knowing but of conclusively knowing so that it can be said that the plaintiff can safely bring a lawsuit against the proposed defendant.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deciding the question, the section is of a remedial nature intended to allow a plaintiff to escape the rigours of the Limitation Act </w:t>
      </w:r>
      <w:r>
        <w:rPr>
          <w:rFonts w:ascii="arial" w:eastAsia="arial" w:hAnsi="arial" w:cs="arial"/>
          <w:color w:val="000000"/>
          <w:sz w:val="20"/>
          <w:u w:val="single"/>
          <w:lang w:val="en-US" w:eastAsia="en-US" w:bidi="ar-SA"/>
        </w:rPr>
        <w:t>in a proper case</w:t>
      </w:r>
      <w:r>
        <w:rPr>
          <w:rFonts w:ascii="arial" w:eastAsia="arial" w:hAnsi="arial" w:cs="arial"/>
          <w:color w:val="000000"/>
          <w:sz w:val="20"/>
          <w:lang w:val="en-US" w:eastAsia="en-US" w:bidi="ar-SA"/>
        </w:rPr>
        <w:t>. Accordingly I think that s. 8 of the Interpretation Act applies. It requires that an enactment shall be given such fair, large and liberal construction as best ensures the attainment of its objects.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is to be observed that the plaintiff had no difficulty in commencing an action against CTS Manufacturing Company in July 1996, and thereafter would, with diligence, have had no difficulty in amending by adding its proprietor CTS Manufacturing Corporation (formerly ChemComp Systems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material in this file indicates from the very outset members of the Ministry of Transportation and Highways had a card from C.B. "Chuck" Vetsch, Sales and Service Representative of CTS Cement Manufacturing Company, with an address in Vancouver, Washington, and upon which specialty cements are listed, among them ChemComp.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WHEN DOES TIME COMMENCE TO RUN?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case law would seem to hold that it is not enough to know that one is dealing with a proprietorship but that the proprietors of the proprietorship must first be known before the limitation period under the Act commences. But as Taylor J.A. says in Krusel, supra, it is first necessary to determine whether the plaintiff could not, with reasonable diligence, have been expected to discover that person's identity. Here no such diligence seems to have been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Assuming that the limitation period is 6 years, or at least part of the claim of the plaintiff is on a 6-year limitation period for damage to property under s. 6(3) of the Act, did the limitation period commence to run prior to January 11, 1995? The question is could a reasonable person be expected, with diligence, to have discovered the true proprietor before that date? I find the answer to that question is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an affidavit of Carla Emerson sworn October 30, 2001, she attaches the affidavit of Cathy Barzo, a legal assistant employed by Legal Services Branch of the Ministry of Attorney General, filed in the original action commenced July 10, 1996. In it, at paragraphs 14 and 15, she deposes the following:</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July 1998 I was instructed by Eastwood [then solicitor in charge of the file] to conduct further corporate searches for CTS. We had recently been provided with information in a letter from Russell Brown, the solicitor acting on behalf of the Defendant Con-Spec that the address for CTS was 11065 Knott Avenue, Suite A, Cypress, California, 90630. Russell Brown also advised us that this addressed was confirmed to him by Chuck Vetsch in a telephone call.</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contacted Western Legal Information Services Inc. and asked them to conduct a corporate search for CTS using the information supplied to us by Russell Brown. On July 24, 1998 we received results of the corporate search on CTS and were informed that there was no listing for CTS but that it was "Doing Business As" a company of Chemcomp Systems Inc. ("Chemcomp") which is a Nevada registered corporation qualified to do business in California as of August 14, 1987. The authorized agent is given as Edward Rice with an address at 23077 Linda Flora Dr., Los Angeles California, 90077.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takes the position that it did not conclusively know the identity of the defendant company until July 24, 1998 when Western Legal Information Services Inc. reported to them the corporation's name behind the proprietorship CTS Manufacturing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note that Mr. Brown received his information by speaking to Mr. Vetsch, whose card the Ministry of Transportation and Highways had since the initial contract was entered into in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am satisfied on the material before me that the identity of the defendant was known from the outset, and the facts on which a suit could be commenced were known to the Ministry of Transportation and Highways sometime between July 1994 and August 5, 1994 when it was clear that the cement product failed. At all times material, the Ministry of Transportation and Highways was dealing with a representative of CTS Cement Manufacturing Company from Vancouver, Washington, Mr. Chuck Vetsch, and thus knew within the meaning of s. 6 the identity of the defendant. The Ministry presumably paid their bill for the product arising under the purchase order. The conclusive identity or proprietorship is merely determining who it is that is carrying on business under the firm, style and name of the proprietorship. As the writ of July 1996 shows, this was no bar to commencing an action, while conducting a further investigation, and subsequently making an application to properly name the entity or persons carrying on the proprietorship. I am satisfied that in any event, reasonable diligence would have enabled the plaintiff to discover the identity of the proprietor well prior to January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Reasonable steps such as those taken in July 1998 could and should have been taken sometime between August 1994 and January 11, 1995. As Taylor J.A. pointed out in Krusel, supra, so long as a plaintiff made no effort to discover the identity of the person against whom he or she had a cause of action, time would be postponed up to the ultimate 30-year limitation date, notwithstanding that facts showing the existence of a cause of action against that person may at all times have been within the plaintiff's means of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That is the situation in the case at bar, and it is for that reason that I find the plaintiff's action commenced January 12, 2001 is statute barred under the Act and must be struck. Costs follow the event in favour of the defendant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HUTCHISON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7"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42" w:history="1">
        <w:r>
          <w:rPr>
            <w:rFonts w:ascii="arial" w:eastAsia="arial" w:hAnsi="arial" w:cs="arial"/>
            <w:b/>
            <w:bCs/>
            <w:i/>
            <w:color w:val="0077CC"/>
            <w:kern w:val="32"/>
            <w:sz w:val="28"/>
            <w:szCs w:val="32"/>
            <w:u w:val="single"/>
            <w:shd w:val="clear" w:color="auto" w:fill="FFFFFF"/>
            <w:lang w:val="en-US" w:eastAsia="en-US" w:bidi="ar-SA"/>
          </w:rPr>
          <w:t>Brown v. Canada (Attorney General), [2015] B.C.J. No. 2269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L.D. Russell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September 1,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S155716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2269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1910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1 C.T.C. 102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258 A.C.W.S. (3d) 239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CarswellBC 3018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Gerald Brown, Plaintiff, and Her Majesty the Queen in Right of Canada as Represented by the Attorney General of Canada and the Minister of National Revenue, John Doe (Unit Head), Jane Doe (Team Leader), and K. Duquette (Collection Officer),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8"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0" w:name="Keywords_9"/>
      <w:bookmarkEnd w:id="70"/>
      <w:r>
        <w:rPr>
          <w:rFonts w:ascii="arial" w:eastAsia="arial" w:hAnsi="arial" w:cs="arial"/>
          <w:b/>
          <w:color w:val="000000"/>
          <w:sz w:val="20"/>
          <w:lang w:val="en-US" w:eastAsia="en-US" w:bidi="ar-SA"/>
        </w:rPr>
        <w:t>Civil litigation — Civil procedure — Disposition without trial — Dismissal of action — Frivolous, vexatious or abuse of process — Estoppel — Estoppel by record (res judicata) — Issue estoppel — Res judicata as a bar to subsequent proceedings — Application by defendants to dismiss action allowed — Plaintiff brought second action making same claims — Action was res judicata and abuse of process — Fact that issues were not adjudicated due to operation of limitation period did not prevent operation of res judicata — Action was collateral attack on outcome of first one.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Limitation of actions — Expiry of limitation periods — Effect of — Application by defendants to dismiss action allowed — Plaintiff brought second action making same claims — Action was res judicata and abuse of process — Fact that issues were not adjudicated due to operation of limitation period did not prevent operation of res judicata — Action was collateral attack on outcome of first one.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1" w:name="Case Summary_9"/>
            <w:bookmarkEnd w:id="7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to dismiss the action. The plaintiff brought an action challenging the legitimacy of the garnishment of his wages and benefits by the Canada Revenue Agency and alleging that its officials were negligent or engaged in misfeasance in public office. The British Columbia Supreme Court held that the claims were barred by a limitation period. The decision was upheld on appeal. The plaintiff brought a second action making the same claims and said that he had new evidence confirming that no certificate of debt related to the garnishment was registered. The defendants argued that the action was barred by the principle of res judicata and was an abuse of process.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2" w:name="Holdings of Court_9"/>
            <w:bookmarkEnd w:id="72"/>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action was res judicata and an abuse of process. The issues that the plaintiff raised were the very ones that were before the BCSC in the first action. The BCSC's order was final. The parties were the same. The fact that the issues were not adjudicated due to the operation of the limitation period did not prevent the operation of res judicata. The action was a collateral attack on the outcome of the first one. It would bring the administration of justice to a halt if unsuccessful litigants were allowed to recommence proceedings every time they discovered a new fact that might be relevant to a dispute that had been decided.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3" w:name="Legislation Cited_8"/>
      <w:bookmarkEnd w:id="7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9"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9-5, Rule 9-5(1), Rule 9-5(1) (d), Rule 9-6, Rule 9-6(4), Rule 9-6(5), Rule 9-6(5)(a)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4" w:name="Counsel_9"/>
      <w:bookmarkEnd w:id="7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0"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his own behalf: G.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M.A. Nicolls.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5" w:name="Judgment_9"/>
      <w:bookmarkEnd w:id="75"/>
      <w:r>
        <w:pict>
          <v:line id="_x0000_s1081" style="position:absolute;z-index:2518220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6" w:name="L.D. RUSSELL J. (orally)"/>
            <w:bookmarkEnd w:id="76"/>
            <w:r>
              <w:rPr>
                <w:rFonts w:ascii="arial" w:eastAsia="arial" w:hAnsi="arial" w:cs="arial"/>
                <w:b/>
                <w:color w:val="000000"/>
                <w:sz w:val="30"/>
                <w:lang w:val="en-US" w:eastAsia="en-US" w:bidi="ar-SA"/>
              </w:rPr>
              <w:t>L.D. RUSSELL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seek an order dismissing the plaintiff Gerald Brown's action pursuant to R. 9-6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("Rules"). Alternatively, they ask me to strike his Notice of Civil Claim pursuant to R. 9-5 of the Rules. In their submission, the action is barred by the principle of r</w:t>
      </w:r>
      <w:r>
        <w:rPr>
          <w:rFonts w:ascii="arial" w:eastAsia="arial" w:hAnsi="arial" w:cs="arial"/>
          <w:i/>
          <w:color w:val="000000"/>
          <w:sz w:val="20"/>
          <w:lang w:val="en-US" w:eastAsia="en-US" w:bidi="ar-SA"/>
        </w:rPr>
        <w:t>es judicata</w:t>
      </w:r>
      <w:r>
        <w:rPr>
          <w:rFonts w:ascii="arial" w:eastAsia="arial" w:hAnsi="arial" w:cs="arial"/>
          <w:color w:val="000000"/>
          <w:sz w:val="20"/>
          <w:lang w:val="en-US" w:eastAsia="en-US" w:bidi="ar-SA"/>
        </w:rPr>
        <w:t>, and is an abuse of process for being a collateral attack on decisions of the Tax Court, the Federal Court of Appeal, the Supreme Court of British Columbia and the Court of Appeal for British Columbia. They also say that the claim is statute-barred by the operation of a limitation period. Mr. Brown opposes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At the conclusion of the hearing, I ruled that Mr. Brown's action is both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an abuse of process, and dismissed his claim. Since I reach that conclusion, there is no reason for me to consider the merits of the limitation defence. These are my reasons for that ruling.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Preliminary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defendants ask me to dismiss the plaintiff's claim as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pursuant to R. 9-6, which establishes the summary judgment procedure. Subrules (4) and (5) provide:</w:t>
      </w:r>
      <w:r>
        <w:rPr>
          <w:rFonts w:ascii="arial" w:eastAsia="arial" w:hAnsi="arial" w:cs="arial"/>
          <w:sz w:val="20"/>
          <w:lang w:val="en-US" w:eastAsia="en-US" w:bidi="ar-SA"/>
        </w:rPr>
        <w:cr/>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an answering party may, after serving a responding pleading on a claiming party, apply under this rule for judgment dismissing all or part of a claim in the claiming party's originating pleading.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Power of court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hearing an application under subrule (2) or (4), the court,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there is no genuine issue for trial with respect to a claim or defence, must pronounce judgment or dismiss the claim accordingly,</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the amount to which the claiming party is entitled, may order a trial of that issue or pronounce judgment with a reference or an accounting to determine the amount,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a question of law, may determine the question and pronounce judgment accordingly,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may make any other order it considers will further the object of these Supreme Court 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Subrule 9-6(5)(a) allows a court to dismiss all or part of a claim where there is no genuine issue for trial. It is intended to prevent claims and defences that have no chance of success from proceeding to trial. In that way, it prevents the time and cost for the parties to the litigation and on the justice system that would arise from trying unmeritorious claims. However, the standard for dismissing a claim is a high one: it must be manifestly clear that there is no matter to be tried: </w:t>
      </w:r>
      <w:r>
        <w:rPr>
          <w:rFonts w:ascii="arial" w:eastAsia="arial" w:hAnsi="arial" w:cs="arial"/>
          <w:i/>
          <w:color w:val="000000"/>
          <w:sz w:val="20"/>
          <w:lang w:val="en-US" w:eastAsia="en-US" w:bidi="ar-SA"/>
        </w:rPr>
        <w:t>Haghdust v. British Columbia Lottery Corporation</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2011 BCSC 1627</w:t>
        </w:r>
      </w:hyperlink>
      <w:r>
        <w:rPr>
          <w:rFonts w:ascii="arial" w:eastAsia="arial" w:hAnsi="arial" w:cs="arial"/>
          <w:color w:val="000000"/>
          <w:sz w:val="20"/>
          <w:lang w:val="en-US" w:eastAsia="en-US" w:bidi="ar-SA"/>
        </w:rPr>
        <w:t xml:space="preserve"> at paras. 14-15.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It seems to me that the defendants'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argument is not an ideal fit with the summary judgment process in R. 9-6. In </w:t>
      </w:r>
      <w:r>
        <w:rPr>
          <w:rFonts w:ascii="arial" w:eastAsia="arial" w:hAnsi="arial" w:cs="arial"/>
          <w:i/>
          <w:color w:val="000000"/>
          <w:sz w:val="20"/>
          <w:lang w:val="en-US" w:eastAsia="en-US" w:bidi="ar-SA"/>
        </w:rPr>
        <w:t>International Taoist Church of Canada v. Ching Chung Taoist Association of Hong Kong Limited</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2011 BCCA 149</w:t>
        </w:r>
      </w:hyperlink>
      <w:r>
        <w:rPr>
          <w:rFonts w:ascii="arial" w:eastAsia="arial" w:hAnsi="arial" w:cs="arial"/>
          <w:color w:val="000000"/>
          <w:sz w:val="20"/>
          <w:lang w:val="en-US" w:eastAsia="en-US" w:bidi="ar-SA"/>
        </w:rPr>
        <w:t xml:space="preserve">, the Court of Appeal for British Columbia explained at para. 9 that an application under R. 9-6 asserts "that the claim or the defence is factually without merit. It raises an issue of fact only or, at most, an issue of mixed fact and law...". It then allows or disallows a claim in whole or in part. As a final order of that type, it can attract a claim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if the matter is brought forward again in a different action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does not square with those principles. The question of whether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should apply to bar a claim is a question of law: </w:t>
      </w:r>
      <w:r>
        <w:rPr>
          <w:rFonts w:ascii="arial" w:eastAsia="arial" w:hAnsi="arial" w:cs="arial"/>
          <w:i/>
          <w:color w:val="000000"/>
          <w:sz w:val="20"/>
          <w:lang w:val="en-US" w:eastAsia="en-US" w:bidi="ar-SA"/>
        </w:rPr>
        <w:t>Cliffs Over Maple Bay (Re),</w:t>
      </w:r>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2011 BCCA 180</w:t>
        </w:r>
      </w:hyperlink>
      <w:r>
        <w:rPr>
          <w:rFonts w:ascii="arial" w:eastAsia="arial" w:hAnsi="arial" w:cs="arial"/>
          <w:color w:val="000000"/>
          <w:sz w:val="20"/>
          <w:lang w:val="en-US" w:eastAsia="en-US" w:bidi="ar-SA"/>
        </w:rPr>
        <w:t xml:space="preserve"> at para. 24. The doctrine protects the integrity of the judicial process by ensuring that a right, question or fact, once determined in a different proceeding, is conclusively established so long as the judgment remains: </w:t>
      </w:r>
      <w:r>
        <w:rPr>
          <w:rFonts w:ascii="arial" w:eastAsia="arial" w:hAnsi="arial" w:cs="arial"/>
          <w:i/>
          <w:color w:val="000000"/>
          <w:sz w:val="20"/>
          <w:lang w:val="en-US" w:eastAsia="en-US" w:bidi="ar-SA"/>
        </w:rPr>
        <w:t>Danyluk v. Ainsworth Technologies Inc.</w:t>
      </w:r>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2001 SCC 44</w:t>
        </w:r>
      </w:hyperlink>
      <w:r>
        <w:rPr>
          <w:rFonts w:ascii="arial" w:eastAsia="arial" w:hAnsi="arial" w:cs="arial"/>
          <w:color w:val="000000"/>
          <w:sz w:val="20"/>
          <w:lang w:val="en-US" w:eastAsia="en-US" w:bidi="ar-SA"/>
        </w:rPr>
        <w:t xml:space="preserve"> at para. 24, quoting </w:t>
      </w:r>
      <w:r>
        <w:rPr>
          <w:rFonts w:ascii="arial" w:eastAsia="arial" w:hAnsi="arial" w:cs="arial"/>
          <w:i/>
          <w:color w:val="000000"/>
          <w:sz w:val="20"/>
          <w:lang w:val="en-US" w:eastAsia="en-US" w:bidi="ar-SA"/>
        </w:rPr>
        <w:t>McIntosh v. Parent</w:t>
      </w:r>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[1924] 4 D.L.R. 420</w:t>
        </w:r>
      </w:hyperlink>
      <w:r>
        <w:rPr>
          <w:rFonts w:ascii="arial" w:eastAsia="arial" w:hAnsi="arial" w:cs="arial"/>
          <w:color w:val="000000"/>
          <w:sz w:val="20"/>
          <w:lang w:val="en-US" w:eastAsia="en-US" w:bidi="ar-SA"/>
        </w:rPr>
        <w:t xml:space="preserve"> (O.N.S.C. (A.D.)) at 422. It would be nonsensical if the very doctrine tasked with protecting the integrity of final orders could lead to a final determination of an issue pursuant to R. 9-6, resulting in another final order that overlaps and overtakes the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my view, when an action is challenged at a preliminary stage on the basis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that application is properly brought pursuant to R. 9-5. Rule 9-5 "is an attack on the pleadings on the basis that the action or defence, as pleaded, cannot succeed as a matter of law" (</w:t>
      </w:r>
      <w:r>
        <w:rPr>
          <w:rFonts w:ascii="arial" w:eastAsia="arial" w:hAnsi="arial" w:cs="arial"/>
          <w:i/>
          <w:color w:val="000000"/>
          <w:sz w:val="20"/>
          <w:lang w:val="en-US" w:eastAsia="en-US" w:bidi="ar-SA"/>
        </w:rPr>
        <w:t>International Taoist Church</w:t>
      </w:r>
      <w:r>
        <w:rPr>
          <w:rFonts w:ascii="arial" w:eastAsia="arial" w:hAnsi="arial" w:cs="arial"/>
          <w:color w:val="000000"/>
          <w:sz w:val="20"/>
          <w:lang w:val="en-US" w:eastAsia="en-US" w:bidi="ar-SA"/>
        </w:rPr>
        <w:t xml:space="preserve"> at para. 9). It results in an order striking pleadings, which cannot be the basis for a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defence in subsequent proceedings (at para. 10). I also note that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applications are frequently brought pursuant to R. 9-5(1). See, for example: </w:t>
      </w:r>
      <w:r>
        <w:rPr>
          <w:rFonts w:ascii="arial" w:eastAsia="arial" w:hAnsi="arial" w:cs="arial"/>
          <w:i/>
          <w:color w:val="000000"/>
          <w:sz w:val="20"/>
          <w:lang w:val="en-US" w:eastAsia="en-US" w:bidi="ar-SA"/>
        </w:rPr>
        <w:t>Khan v. Soni,</w:t>
      </w:r>
      <w:r>
        <w:rPr>
          <w:rFonts w:ascii="arial" w:eastAsia="arial" w:hAnsi="arial" w:cs="arial"/>
          <w:color w:val="000000"/>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2012 BCCA 207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Reliable Mortgages Investment Corp. v. Chan,</w:t>
      </w:r>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2013 BCSC 301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Oh v. Usher,</w:t>
      </w:r>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2013 BCCA 199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Stoneman v. Denman Island Local Trust Committee</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2015 BCSC 264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As a result, the question before me is whether the plaintiff's claim should be struck pursuant to R. 9-5(1)(d) as an abuse of process for being either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or a collateral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Rule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Rule 9-5(1) provides: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effect of R. 9-5 is that, at any stage of a proceeding, a court may order that the whole or any part of a pleading can be struck out or amended to pronounce judgment or order that the proceeding be stayed or dismissed. It may do so when any of the four conditions are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There is a high threshold for striking pleadings pursuant to R. 9-5. It must be "plain and obvious" that the claim falls within the parameters of the subrule. The Court will take a generous approach by assuming that the facts set out in the pleadings are true: </w:t>
      </w:r>
      <w:r>
        <w:rPr>
          <w:rFonts w:ascii="arial" w:eastAsia="arial" w:hAnsi="arial" w:cs="arial"/>
          <w:i/>
          <w:color w:val="000000"/>
          <w:sz w:val="20"/>
          <w:lang w:val="en-US" w:eastAsia="en-US" w:bidi="ar-SA"/>
        </w:rPr>
        <w:t>Stoneman v. Denman Island Local Trust Committee</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2010 BCSC 636</w:t>
        </w:r>
      </w:hyperlink>
      <w:r>
        <w:rPr>
          <w:rFonts w:ascii="arial" w:eastAsia="arial" w:hAnsi="arial" w:cs="arial"/>
          <w:color w:val="000000"/>
          <w:sz w:val="20"/>
          <w:lang w:val="en-US" w:eastAsia="en-US" w:bidi="ar-SA"/>
        </w:rPr>
        <w:t xml:space="preserve"> at para. 21, citing </w:t>
      </w:r>
      <w:r>
        <w:rPr>
          <w:rFonts w:ascii="arial" w:eastAsia="arial" w:hAnsi="arial" w:cs="arial"/>
          <w:i/>
          <w:color w:val="000000"/>
          <w:sz w:val="20"/>
          <w:lang w:val="en-US" w:eastAsia="en-US" w:bidi="ar-SA"/>
        </w:rPr>
        <w:t>Operation Dismantle v. The Queen</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xml:space="preserve"> at 451; </w:t>
      </w:r>
      <w:r>
        <w:rPr>
          <w:rFonts w:ascii="arial" w:eastAsia="arial" w:hAnsi="arial" w:cs="arial"/>
          <w:i/>
          <w:color w:val="000000"/>
          <w:sz w:val="20"/>
          <w:lang w:val="en-US" w:eastAsia="en-US" w:bidi="ar-SA"/>
        </w:rPr>
        <w:t>Alford v. Canada (Attorney General)</w:t>
      </w:r>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(1997), 31 B.C.L.R. (3d) 228</w:t>
        </w:r>
      </w:hyperlink>
      <w:r>
        <w:rPr>
          <w:rFonts w:ascii="arial" w:eastAsia="arial" w:hAnsi="arial" w:cs="arial"/>
          <w:color w:val="000000"/>
          <w:sz w:val="20"/>
          <w:lang w:val="en-US" w:eastAsia="en-US" w:bidi="ar-SA"/>
        </w:rPr>
        <w:t xml:space="preserve"> at para. 7 (S.C.), aff'd </w:t>
      </w:r>
      <w:hyperlink r:id="rId254" w:history="1">
        <w:r>
          <w:rPr>
            <w:rFonts w:ascii="arial" w:eastAsia="arial" w:hAnsi="arial" w:cs="arial"/>
            <w:i/>
            <w:color w:val="0077CC"/>
            <w:sz w:val="20"/>
            <w:u w:val="single"/>
            <w:shd w:val="clear" w:color="auto" w:fill="FFFFFF"/>
            <w:lang w:val="en-US" w:eastAsia="en-US" w:bidi="ar-SA"/>
          </w:rPr>
          <w:t>[1998] B.C.J. No. 2965</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While the court will assume that the facts as stated in the pleadings are true, evidence may be presented on an application under R. 9-5(1)(d) if it would assist the court in deciding the issue: </w:t>
      </w:r>
      <w:r>
        <w:rPr>
          <w:rFonts w:ascii="arial" w:eastAsia="arial" w:hAnsi="arial" w:cs="arial"/>
          <w:i/>
          <w:color w:val="000000"/>
          <w:sz w:val="20"/>
          <w:lang w:val="en-US" w:eastAsia="en-US" w:bidi="ar-SA"/>
        </w:rPr>
        <w:t>Foote v. Canada</w:t>
      </w:r>
      <w:r>
        <w:rPr>
          <w:rFonts w:ascii="arial" w:eastAsia="arial" w:hAnsi="arial" w:cs="arial"/>
          <w:color w:val="000000"/>
          <w:sz w:val="20"/>
          <w:lang w:val="en-US" w:eastAsia="en-US" w:bidi="ar-SA"/>
        </w:rPr>
        <w:t xml:space="preserve">, </w:t>
      </w:r>
      <w:hyperlink r:id="rId256" w:history="1">
        <w:r>
          <w:rPr>
            <w:rFonts w:ascii="arial" w:eastAsia="arial" w:hAnsi="arial" w:cs="arial"/>
            <w:i/>
            <w:color w:val="0077CC"/>
            <w:sz w:val="20"/>
            <w:u w:val="single"/>
            <w:shd w:val="clear" w:color="auto" w:fill="FFFFFF"/>
            <w:lang w:val="en-US" w:eastAsia="en-US" w:bidi="ar-SA"/>
          </w:rPr>
          <w:t>2011 BCSC 1062</w:t>
        </w:r>
      </w:hyperlink>
      <w:r>
        <w:rPr>
          <w:rFonts w:ascii="arial" w:eastAsia="arial" w:hAnsi="arial" w:cs="arial"/>
          <w:color w:val="000000"/>
          <w:sz w:val="20"/>
          <w:lang w:val="en-US" w:eastAsia="en-US" w:bidi="ar-SA"/>
        </w:rPr>
        <w:t xml:space="preserve"> at para. 17 citing </w:t>
      </w:r>
      <w:r>
        <w:rPr>
          <w:rFonts w:ascii="arial" w:eastAsia="arial" w:hAnsi="arial" w:cs="arial"/>
          <w:i/>
          <w:color w:val="000000"/>
          <w:sz w:val="20"/>
          <w:lang w:val="en-US" w:eastAsia="en-US" w:bidi="ar-SA"/>
        </w:rPr>
        <w:t>Worldtransact Financial Limited v. Financial Institutions Commission of B.C.</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2009 BCSC 283</w:t>
        </w:r>
      </w:hyperlink>
      <w:r>
        <w:rPr>
          <w:rFonts w:ascii="arial" w:eastAsia="arial" w:hAnsi="arial" w:cs="arial"/>
          <w:color w:val="000000"/>
          <w:sz w:val="20"/>
          <w:lang w:val="en-US" w:eastAsia="en-US" w:bidi="ar-SA"/>
        </w:rPr>
        <w:t xml:space="preserve"> at para.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For the purposes of this application, I assume that all of the facts in the statement of claim are true, including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Brown worked in the former republic of Yugoslavia from January 1994 to January 1996. When he filed his tax returns for the years 1994 and 1995, he applied for the Overseas Employment Tax Credit ("OETC"). On initial assessment of his tax returns, he was granted the credit and received refunds totaling $14,322.20.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October 1996, Mr. Brown's tax returns were re-assessed, and the Canada Revenue Agency ("C.R.A.") refused him the OETC. Mr. Brown was charged interest, then penalized at 100%, resulting in a tax debt of more than $32,000.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Brown filed a Notice of Objection to the re-assessment. He also unsuccessfully appealed the reassessment to the Tax Court. He then appealed to the Federal Court of Appeal. Mr. Brown's pleadings suggest that, on May 23, 2000, in oral reasons, the majority of the Court suggested that "the C.R.A. no longer had a valid reason to deny the OETC", while a dissenting judge would have dismissed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majority suggested to Mr. Brown that he raise the issue with a member of Parliament, which he did. The Minister of National Revenue ("M.N.R") then placed a "Ministerial Stall Code" on the plaintiff's account, requiring that no further action be taken in connection with it. Mr. Brown was not contacted by the M.N.R for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stall codes remained in place through 2002. Around that time, the defendants Jane Doe (Team Leader at the M.N.R), John Doe (Unit Head at the M.N.R) and K. Duquette (Collection Officer at the M.N.R) attempted to begin garnishment actions. They were unable to do so because of the stall codes. Nevertheless, in June 2002, Ms. Duquette, under supervision and control of her team leader and department head, sent a Requirement to Pay ("RTP") to the plaintiff's employer, garnishing the plaintiff's wage at 30%. One year later, in June 2003, Ms. Duquette sent a new RTP to the plaintiff's employer garnishing wages at 50% and 100% of all monies payable upon termination. No certificates of debt related to the garnishment were registered with the Federal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Duquette contacted the plaintiff's employer and threatened that if the plaintiff quit or was fired, the employer would be liable for the total amount of Mr. Brown's liability, which then stood at $13,855. As a result of the threat, on August 8, 2003, Mr. Brown was fired. All of the monies owed to Mr. Brown were garnished.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a result of his termination and lack of financial resources, Mr. Brown became ill with a number of maladies, including pulmonary tuberculosis. In November 2003, he developed cancer. He underwent surgery and radiation therapy, and was discharged July 27, 2004. He was declared a person with disabilities effective August 2004. He continued to be treated for tuberculosis until June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Meanwhile, in the spring of 2004, Ms. Duquette garnished Mr. Brown's bank account. She also "removed" Mr. Brown's medical benefits from employment Insurance for December 2003 through February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Duquette was promoted, and Mr. Brown's file was transferred to a different collection officer. When the new collection officer attempted to garnish the plaintiff's disability income assistance, he was unable to do so because he could not produce proper legal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Throughout, the C.R.A. refused to identify to Mr. Brown the persons handling his file. He complains that he was told that the names of the team leader and unit manager were unknown, and that Ms. Duquette had a new married name that was unknown to the officials at the C.R.A. with whom he spoke. He suggests that the C.R.A. was withholding those facts as a tactic to prevent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Brown's Access to Information and Privacy requests to that effect were routinely denied. Mr. Brown complained about the denial to the Ombudsman, who advised that he lacked authority to assist. Mr. Brown also complained to the Office of the Privacy Commissioner of Canada, who responded that the C.R.A. was not required to provide Mr. Brown with the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essence of Mr. Brown's claim is that all of the M.N.R's collection and garnishing actions were illegal. He takes the position that the amount garnished exceeded amounts allowed by law. He also suggests that it is illegal to garnish wages without a proper court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Additionally, Mr. Brown suggests that his rights to equality and to be free from cruel and unusual treatment or punishment under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were infringed by the handling of his file by Ms. Duquette and her Unit Head and Team Leader.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Finally, Mr. Brown claims that Ms. Duquette, the Team Leader and the Unit Head are liable for the tort of misfeasance in public office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Brown claims that he has new evidence that assists him to establish his claim. He advises that he has the results of an Access to Information request, which confirms that no certificate of debt was registered with the Federal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Since the defendants rely on the doctrines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collateral attack, I find the following evidence about other proceedings to be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evidence on this application reveals that on February 19, 2013, Mr. Brown commenced an action against the Queen in Right of Canada as represented by the Attorney General of Canada and the M.N.R (the "2013 Action"). That matter was considered by Madam Justice Fitzpatrick. In </w:t>
      </w:r>
      <w:r>
        <w:rPr>
          <w:rFonts w:ascii="arial" w:eastAsia="arial" w:hAnsi="arial" w:cs="arial"/>
          <w:i/>
          <w:color w:val="000000"/>
          <w:sz w:val="20"/>
          <w:lang w:val="en-US" w:eastAsia="en-US" w:bidi="ar-SA"/>
        </w:rPr>
        <w:t>Brown v. Canada (Attorney General)</w:t>
      </w:r>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2014 BCSC 357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Brown (BCSC))</w:t>
      </w:r>
      <w:r>
        <w:rPr>
          <w:rFonts w:ascii="arial" w:eastAsia="arial" w:hAnsi="arial" w:cs="arial"/>
          <w:color w:val="000000"/>
          <w:sz w:val="20"/>
          <w:lang w:val="en-US" w:eastAsia="en-US" w:bidi="ar-SA"/>
        </w:rPr>
        <w:t>, she summarized the essence of his claim this way (at para.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This action was filed on February 19, 2013. Mr. Brown claims general, special and punitive damages as well as damages pursuant to s. 24 of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Fundamentally, Mr. Brown's claims are advanced on the basis that he was entitled to the OETC despite the Federal Courts' decisions to the contrary. He contends that even though he lost in those courts, C.R.A. should have changed its mind in pursuing him. In addition, he contends that the C.R.A.'s collection efforts (1) violated his rights under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(2) constituted "misfeasance in public office" and "malfeasance in public office" and (3) that C.R.A. acted negligently and in breach of a duty of care owed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On an application for summary judgment pursuant to R. 9-6(4)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Madam Justice Fitzpatrick concluded that Mr. Brown's claims had all expired no later than August 2006, some six and a half years prior to the filing of the Notice of Civil Claim. She concluded that Mr. Brown was aware that the C.R.A. was responsible for garnishing his wages in 2004, but did nothing to pursue a legal remedy for many years (at para. 34). She also concluded, in connection with the names of some C.R.A. officers who visited his home, that "there was no need to have the actual names or identities of those individuals", so there was no issue of postponement of the limitation period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Mr. Brown appealed to the Court of Appeal for British Columbia. In </w:t>
      </w:r>
      <w:r>
        <w:rPr>
          <w:rFonts w:ascii="arial" w:eastAsia="arial" w:hAnsi="arial" w:cs="arial"/>
          <w:i/>
          <w:color w:val="000000"/>
          <w:sz w:val="20"/>
          <w:lang w:val="en-US" w:eastAsia="en-US" w:bidi="ar-SA"/>
        </w:rPr>
        <w:t>Brown v. Canada (Attorney General)</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2015 BCCA 102</w:t>
        </w:r>
      </w:hyperlink>
      <w:r>
        <w:rPr>
          <w:rFonts w:ascii="arial" w:eastAsia="arial" w:hAnsi="arial" w:cs="arial"/>
          <w:color w:val="000000"/>
          <w:sz w:val="20"/>
          <w:lang w:val="en-US" w:eastAsia="en-US" w:bidi="ar-SA"/>
        </w:rPr>
        <w:t xml:space="preserve">, the Court upheld </w:t>
      </w:r>
      <w:r>
        <w:rPr>
          <w:rFonts w:ascii="arial" w:eastAsia="arial" w:hAnsi="arial" w:cs="arial"/>
          <w:i/>
          <w:color w:val="000000"/>
          <w:sz w:val="20"/>
          <w:lang w:val="en-US" w:eastAsia="en-US" w:bidi="ar-SA"/>
        </w:rPr>
        <w:t>Brown (BCSC)</w:t>
      </w:r>
      <w:r>
        <w:rPr>
          <w:rFonts w:ascii="arial" w:eastAsia="arial" w:hAnsi="arial" w:cs="arial"/>
          <w:color w:val="000000"/>
          <w:sz w:val="20"/>
          <w:lang w:val="en-US" w:eastAsia="en-US" w:bidi="ar-SA"/>
        </w:rPr>
        <w:t>. The Court acknowledged that the chambers judge had bent the usual procedures to ensure that the plaintiff's position on postponement was advanced. The Court found no error in the chambers judge's reasons. Mr. Justice Chiasson concluded that "the respondent is entitled to have the present proceeding brought to an end. The appellant has had every opportunity to defend the timing of advancing his claims. It now is time to move on"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Res Judicata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defendants take the position that Mr. Brown is attempting to litigate the same issues he raised in the 2013 Action. As a result, they say that the action is barred by the principle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should be dismissed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Mr. Brown disagrees. In his submission, the substantive issues in his claim were not adjudicated in the 2013 Action, so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cannot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advances the objective of finality to litigation. It is based on the idea that an issue, once decided, should not be litigated to the benefit of the losing party and the harassment of the winner. It seeks to avoid duplicative litigation, potential inconsistent results, undue costs and inconclusive proceedings: </w:t>
      </w:r>
      <w:r>
        <w:rPr>
          <w:rFonts w:ascii="arial" w:eastAsia="arial" w:hAnsi="arial" w:cs="arial"/>
          <w:i/>
          <w:color w:val="000000"/>
          <w:sz w:val="20"/>
          <w:lang w:val="en-US" w:eastAsia="en-US" w:bidi="ar-SA"/>
        </w:rPr>
        <w:t>Danyluk v. Ainsworth Technologies Inc.</w:t>
      </w:r>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2001 SCC 44</w:t>
        </w:r>
      </w:hyperlink>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There are two branches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issue estoppel and cause of action estoppel. Only the former is at issue in this application. In </w:t>
      </w:r>
      <w:r>
        <w:rPr>
          <w:rFonts w:ascii="arial" w:eastAsia="arial" w:hAnsi="arial" w:cs="arial"/>
          <w:i/>
          <w:color w:val="000000"/>
          <w:sz w:val="20"/>
          <w:lang w:val="en-US" w:eastAsia="en-US" w:bidi="ar-SA"/>
        </w:rPr>
        <w:t>Danyluk</w:t>
      </w:r>
      <w:r>
        <w:rPr>
          <w:rFonts w:ascii="arial" w:eastAsia="arial" w:hAnsi="arial" w:cs="arial"/>
          <w:color w:val="000000"/>
          <w:sz w:val="20"/>
          <w:lang w:val="en-US" w:eastAsia="en-US" w:bidi="ar-SA"/>
        </w:rPr>
        <w:t xml:space="preserve"> (at para. 24), Mr. Justice Binnie, for the Court adopted the following explanation of issue estoppel from </w:t>
      </w:r>
      <w:r>
        <w:rPr>
          <w:rFonts w:ascii="arial" w:eastAsia="arial" w:hAnsi="arial" w:cs="arial"/>
          <w:i/>
          <w:color w:val="000000"/>
          <w:sz w:val="20"/>
          <w:lang w:val="en-US" w:eastAsia="en-US" w:bidi="ar-SA"/>
        </w:rPr>
        <w:t>McIntosh v. Parent</w:t>
      </w:r>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[1924] 4 D.L.R. 420</w:t>
        </w:r>
      </w:hyperlink>
      <w:r>
        <w:rPr>
          <w:rFonts w:ascii="arial" w:eastAsia="arial" w:hAnsi="arial" w:cs="arial"/>
          <w:color w:val="000000"/>
          <w:sz w:val="20"/>
          <w:lang w:val="en-US" w:eastAsia="en-US" w:bidi="ar-SA"/>
        </w:rPr>
        <w:t>, at p. 422: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a question is litigated, the judgment of the Court is a final determination as between the parties and their privies. Any right, question, or fact </w:t>
      </w:r>
      <w:r>
        <w:rPr>
          <w:rFonts w:ascii="arial" w:eastAsia="arial" w:hAnsi="arial" w:cs="arial"/>
          <w:color w:val="000000"/>
          <w:sz w:val="20"/>
          <w:u w:val="single"/>
          <w:lang w:val="en-US" w:eastAsia="en-US" w:bidi="ar-SA"/>
        </w:rPr>
        <w:t>distinctly put in issue and directly determined</w:t>
      </w:r>
      <w:r>
        <w:rPr>
          <w:rFonts w:ascii="arial" w:eastAsia="arial" w:hAnsi="arial" w:cs="arial"/>
          <w:color w:val="000000"/>
          <w:sz w:val="20"/>
          <w:lang w:val="en-US" w:eastAsia="en-US" w:bidi="ar-SA"/>
        </w:rPr>
        <w:t xml:space="preserve"> by a Court of competent jurisdiction as a ground of recovery, or as an answer to a claim set up, cannot be re-tried in a subsequent suit between the same parties or their privies, though for a different cause of action. The right, question, or fact, </w:t>
      </w:r>
      <w:r>
        <w:rPr>
          <w:rFonts w:ascii="arial" w:eastAsia="arial" w:hAnsi="arial" w:cs="arial"/>
          <w:color w:val="000000"/>
          <w:sz w:val="20"/>
          <w:u w:val="single"/>
          <w:lang w:val="en-US" w:eastAsia="en-US" w:bidi="ar-SA"/>
        </w:rPr>
        <w:t>once determined</w:t>
      </w:r>
      <w:r>
        <w:rPr>
          <w:rFonts w:ascii="arial" w:eastAsia="arial" w:hAnsi="arial" w:cs="arial"/>
          <w:color w:val="000000"/>
          <w:sz w:val="20"/>
          <w:lang w:val="en-US" w:eastAsia="en-US" w:bidi="ar-SA"/>
        </w:rPr>
        <w:t>, must, as between them, be taken to be conclusively established so long as the judgment remains. [Emphasis Binnie J.'s.]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 are three preconditions to the operation of issue estoppel: First, the same question must have been decided; second, the judicial decision which is said to create the estoppel must be final; and finally, the parties to the judicial decision and their privies must be the same persons as the parties to the proceeding in which the estoppel is raised or their privies.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am satisfied that in this case, all three preconditions are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this action, Mr. Brown challenges the legitimacy of the garnishment of his wages and benefits. He also claims that the garnishment of his wages resulted in a breach of his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He further alleges that C.R.A. officials were negligent or engaged in misfeasance in public office. I note that these are the very issues that were before Madam Justice Fitzpatrick in the 2013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 also note that Madam Justice Fitzpatrick's order in </w:t>
      </w:r>
      <w:r>
        <w:rPr>
          <w:rFonts w:ascii="arial" w:eastAsia="arial" w:hAnsi="arial" w:cs="arial"/>
          <w:i/>
          <w:color w:val="000000"/>
          <w:sz w:val="20"/>
          <w:lang w:val="en-US" w:eastAsia="en-US" w:bidi="ar-SA"/>
        </w:rPr>
        <w:t>Brown (BCSC)</w:t>
      </w:r>
      <w:r>
        <w:rPr>
          <w:rFonts w:ascii="arial" w:eastAsia="arial" w:hAnsi="arial" w:cs="arial"/>
          <w:color w:val="000000"/>
          <w:sz w:val="20"/>
          <w:lang w:val="en-US" w:eastAsia="en-US" w:bidi="ar-SA"/>
        </w:rPr>
        <w:t xml:space="preserve"> was final. On application for summary judgment pursuant to R. 9-6, she determined that the plaintiff's claims were barred by the operation of a limitation period. That conclusion was upheld by the Court of Appeal for British Columbia. I have already explained that orders pursuant to R. 9-6 are final and can even provide the basis for claims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am also satisfied that the parties to this action and the 2013 Action are the same. In the 2013 Action, Mr. Brown named as defendants The Queen in Right of Canada as represented by the Attorney General of Canada and the M.N.R. Both are defendants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 note that Mr. Brown did not name Ms. Duquette, John Doe or Jane Doe in the 2013 Action. However, where there is a sufficient degree of identification between two parties, it may be just to hold that the decision to which one was a party should be binding in proceedings to which the other is a party: </w:t>
      </w:r>
      <w:r>
        <w:rPr>
          <w:rFonts w:ascii="arial" w:eastAsia="arial" w:hAnsi="arial" w:cs="arial"/>
          <w:i/>
          <w:color w:val="000000"/>
          <w:sz w:val="20"/>
          <w:lang w:val="en-US" w:eastAsia="en-US" w:bidi="ar-SA"/>
        </w:rPr>
        <w:t>J.P. v. British Columbia (Director of Child, Family and Community Services)</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2013 BCSC 1403</w:t>
        </w:r>
      </w:hyperlink>
      <w:r>
        <w:rPr>
          <w:rFonts w:ascii="arial" w:eastAsia="arial" w:hAnsi="arial" w:cs="arial"/>
          <w:color w:val="000000"/>
          <w:sz w:val="20"/>
          <w:lang w:val="en-US" w:eastAsia="en-US" w:bidi="ar-SA"/>
        </w:rPr>
        <w:t xml:space="preserve"> at para. 71, citing </w:t>
      </w:r>
      <w:r>
        <w:rPr>
          <w:rFonts w:ascii="arial" w:eastAsia="arial" w:hAnsi="arial" w:cs="arial"/>
          <w:i/>
          <w:color w:val="000000"/>
          <w:sz w:val="20"/>
          <w:lang w:val="en-US" w:eastAsia="en-US" w:bidi="ar-SA"/>
        </w:rPr>
        <w:t>Gleeson v. J. Wippell &amp; Co. Ltd.</w:t>
      </w:r>
      <w:r>
        <w:rPr>
          <w:rFonts w:ascii="arial" w:eastAsia="arial" w:hAnsi="arial" w:cs="arial"/>
          <w:color w:val="000000"/>
          <w:sz w:val="20"/>
          <w:lang w:val="en-US" w:eastAsia="en-US" w:bidi="ar-SA"/>
        </w:rPr>
        <w:t>, [1977] 3 All E.R. 54 at 60 (Ch.). In this case, the 2013 Action concerned the same material facts, and was grounded in the same allegations Mr. Brown makes now about Ms. Duquette, the Unit Head and the Team Leader. Those individuals would have likely been important to the defendants' case had the matter proceeded to trial. I am satisfied that it is just that the results of the 2013 Action be binding as against the personally-named defendants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 understand Mr. Brown's concern that the issues he raised in the 2013 Action were not adjudicated due to the operation of the limitation period. However, this does not prevent the operation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The expiration of a limitation period creates a substantive defence to an action: </w:t>
      </w:r>
      <w:r>
        <w:rPr>
          <w:rFonts w:ascii="arial" w:eastAsia="arial" w:hAnsi="arial" w:cs="arial"/>
          <w:i/>
          <w:color w:val="000000"/>
          <w:sz w:val="20"/>
          <w:lang w:val="en-US" w:eastAsia="en-US" w:bidi="ar-SA"/>
        </w:rPr>
        <w:t>Tolofson v. Jensen</w:t>
      </w:r>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[1994] 3 S.C.R. 1022</w:t>
        </w:r>
      </w:hyperlink>
      <w:r>
        <w:rPr>
          <w:rFonts w:ascii="arial" w:eastAsia="arial" w:hAnsi="arial" w:cs="arial"/>
          <w:color w:val="000000"/>
          <w:sz w:val="20"/>
          <w:lang w:val="en-US" w:eastAsia="en-US" w:bidi="ar-SA"/>
        </w:rPr>
        <w:t>. When a limitation defence applies, the defence disposes of the substantive issues. While I understand Mr. Brown's frustration, it would be unfair to decide the issues he raises when such a long time has passed since his claims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the result, as a result of the operation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I conclude that Mr. Brown's action is an abuse of process.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Abuse of Process by Collateral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defendants take the position that the present action is an abuse of process because Mr. Brown is effectively attacking decisions made by the C.R.A., the Tax Court, the Federal Court of Appeal, the Court of Appeal for British Columbia, and this Court. Relying on </w:t>
      </w:r>
      <w:r>
        <w:rPr>
          <w:rFonts w:ascii="arial" w:eastAsia="arial" w:hAnsi="arial" w:cs="arial"/>
          <w:i/>
          <w:color w:val="000000"/>
          <w:sz w:val="20"/>
          <w:lang w:val="en-US" w:eastAsia="en-US" w:bidi="ar-SA"/>
        </w:rPr>
        <w:t>Sydel v. HMTQ</w:t>
      </w:r>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2010 BCSC 638</w:t>
        </w:r>
      </w:hyperlink>
      <w:r>
        <w:rPr>
          <w:rFonts w:ascii="arial" w:eastAsia="arial" w:hAnsi="arial" w:cs="arial"/>
          <w:color w:val="000000"/>
          <w:sz w:val="20"/>
          <w:lang w:val="en-US" w:eastAsia="en-US" w:bidi="ar-SA"/>
        </w:rPr>
        <w:t>, the defendants take the position that it is an abuse of process for Mr. Brown to attempt to attack the orders of those institutions in proceedings other than those whose specific object is the reversal, variation or nullification of their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Brown states that he is not abusing the Court's process, as in June of this year, he discovered new evidence that he says he could not reasonably have discovered any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doctrine of abuse of process engages the court's inherent power to prevent the misuse of its procedure to bring the administration of justice into disrepute. An adjunct to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it serves some of the same concerns, without the stringent requirements. It is concerned less with the interests of the parties than is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focuses instead on the integrity of judicial decision making as a branch of the administration of justice: </w:t>
      </w:r>
      <w:r>
        <w:rPr>
          <w:rFonts w:ascii="arial" w:eastAsia="arial" w:hAnsi="arial" w:cs="arial"/>
          <w:i/>
          <w:color w:val="000000"/>
          <w:sz w:val="20"/>
          <w:lang w:val="en-US" w:eastAsia="en-US" w:bidi="ar-SA"/>
        </w:rPr>
        <w:t>Toronto (City) v. Canadian Union of Public Employees (C.U.P.E.), Local 79</w:t>
      </w:r>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at paras. 37-38 and 41-42.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Sydel</w:t>
      </w:r>
      <w:r>
        <w:rPr>
          <w:rFonts w:ascii="arial" w:eastAsia="arial" w:hAnsi="arial" w:cs="arial"/>
          <w:color w:val="000000"/>
          <w:sz w:val="20"/>
          <w:lang w:val="en-US" w:eastAsia="en-US" w:bidi="ar-SA"/>
        </w:rPr>
        <w:t xml:space="preserve">, Mr. Justice Kelleher dismissed an action as a collateral attack on the basis that the issues had all been either litigated in the Provincial Court, or arose out of the conduct of those proceedings and the investigation which led to their initiation (at paras. 53-54 and 56). In reaching that conclusion, he relied on the comments of Mr. Justice McIntyre in </w:t>
      </w:r>
      <w:r>
        <w:rPr>
          <w:rFonts w:ascii="arial" w:eastAsia="arial" w:hAnsi="arial" w:cs="arial"/>
          <w:i/>
          <w:color w:val="000000"/>
          <w:sz w:val="20"/>
          <w:lang w:val="en-US" w:eastAsia="en-US" w:bidi="ar-SA"/>
        </w:rPr>
        <w:t>R. v. Wilson</w:t>
      </w:r>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[1983] 2 S.C.R. 594</w:t>
        </w:r>
      </w:hyperlink>
      <w:r>
        <w:rPr>
          <w:rFonts w:ascii="arial" w:eastAsia="arial" w:hAnsi="arial" w:cs="arial"/>
          <w:color w:val="000000"/>
          <w:sz w:val="20"/>
          <w:lang w:val="en-US" w:eastAsia="en-US" w:bidi="ar-SA"/>
        </w:rPr>
        <w:t xml:space="preserve"> at 599, who explained the rule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has long been a fundamental rule that a court order made by a court having jurisdiction to make it, stands and is binding and conclusive unless it is set aside on appeal or lawfully quashed. It is also well settled in the authorities that such an order may not be attacked collaterally - and a collateral attack may be described as an attack made in proceedings other than those whose specific object is the reversal, variation, or nullification of the order or judgment. Where appeals have been exhausted and other means of direct attack upon a judgment or order, such as proceedings by prerogative writs or proceedings for judicial review, have been unavailing, the only recourse open to one who seeks to set aside a court order is an action for review in the High Court where grounds for such a proceeding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Brown's Notice of Civil Claim suggests that a majority at the Federal Court of Appeal found that there was no reason for the C.R.A. to continue disallow the OETC. The evidence in this proceeding and the findings of Madam Justice Fitzpatrick in the 2013 Action suggests otherwise. Nevertheless, taking a generous approach, I take Mr. Brown's pleadings on face. Assuming the Notice of Civil Claim is correct, I am not prepared to state on this application that Mr. Brown's current action is a collateral attack on the Tax Court or the Federal Court of Appeal, since the decision of the Federal Court of Appeal was said to be in Mr. Brown's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However, it is clear to me that Mr. Brown's claim is a collateral attack on the decisions of both the Supreme Court of British Columbia and the Court of Appeal for British Columbia in the 2013 Action. The very issues that Mr. Brown raises in the present action were decided in the 2013 Action. The decisions in the 2013 Action were final and conclusive, and cannot now be attacked collaterally by way of this new action. To allow this action to go forward would call into question the integrity of the prior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take Mr. Brown's point that he now has new evidence in the form of a response to his Access to Information and Privacy Request. However, I am not satisfied that this new evidence provides grounds for Mr. Brown to challenge the results of the 2013 Action by way of a new proceeding. It would bring the administration of justice to a halt if unsuccessful litigants were allowed to recommence proceedings every time they discovered a new fact that might be relevant to a dispute that has already been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my view, the current action is a collateral attack on the outcome of the 2013 Action, and is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current action is both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an abuse of process. In the result, I strike Mr. Brown's pleadings and dismiss his claim pursuant to R. 9-5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doing so, I am sensitive to the fact that Mr. Brown believes he has been seriously aggrieved by the actions of the Canada Revenue Agency. He might consider whether to seek some redress in the political arena going forward. However, as I explained to him at the hearing of this application, he has had his opportunity before the courts and that opportunity is now exhausted. His remedy is not in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As the Court of Appeal for British Columbia informed Mr. Brown previously, the time has come for him to move on from his litigation strategy.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L.D. RUSSELL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2"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Bruno v. Canada, [2000] B.C.J. No. 281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Boyle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17,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Nos. S057345 and S057582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2 C.T.C. 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94 A.C.W.S. (3d) 879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Holly L. Bruno, plaintiff, and The Government of Canada, Office of the Prime Minister, Department of Justice and Attorney General of Canada, Minister of Canada Customs and Revenue Agency, Minister of National Revenue, N. Picketts - Revenue Canada Employee, John Purda - Director Revenue Canada, the Office of the Premier of British Columbia, Attorney General of British Columbia, Bank of Montreal - 6th Street, Pina McDonald - Manager, Customer Service, Bank of Montreal - Columbia Street, April Wilson - Manager, Lifestyles Canada Limited and David Drutz - Executive Vice President, defendants (New Westminster Registry No. S057345) And between Frank Bruno, plaintiff, and the Federal Government of Canada, the Prime Minister of Canada, Minister of Justice and Attorney General of Canada, Minister of National Revenue and Minister for Canada Customs and Revenue Agency, N. Picketts - Revenue Canada Employee, John Purda - Director Revenue Canada, Minister of Finance, the Provincial Government of British Columbia, the Premier of British Columbia, Attorney General of British Columbia, the Finance Minister for British Columbia, Bank of Montreal - 6th Street, Pina McDonald - Manager, Customer Service, B.C. Maritime Employers and Joy Talbot - Manager of Employee Services, defendants (New Westminster Registry No. S057582)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3"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7" w:name="Keywords_10"/>
      <w:bookmarkEnd w:id="77"/>
      <w:r>
        <w:rPr>
          <w:rFonts w:ascii="arial" w:eastAsia="arial" w:hAnsi="arial" w:cs="arial"/>
          <w:b/>
          <w:color w:val="000000"/>
          <w:sz w:val="20"/>
          <w:lang w:val="en-US" w:eastAsia="en-US" w:bidi="ar-SA"/>
        </w:rPr>
        <w:t>Constitutional law — Federal jurisdiction (s. 91) — Taxation — Powers of parliament and the legislatures — Limitations — Taxation.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8" w:name="Case Summary_10"/>
            <w:bookmarkEnd w:id="7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Two actions by the Brunos to set aside the Federal Income Tax Act, and for damages which allegedly arose from attempts made by Revenue Canada to collect arrears. The Brunos were being pursued for $56,620 in tax arrears. Holly Bruno brought an action against the Federal Revenue Department because it pursued her as a third party in its efforts to collect arrears. There were two actions, one by Holly Bruno and one by Frank Bruno. The Brunos asked that the court only hear the action of Frank Bruno. The two actions were virtually identical and were therefore heard together. The Brunos argued as that the government of Canada was without jurisdiction to impose the Income Tax Act on them because they were sovereign citizens of the sovereign province of British Columbia and hence subject to direct taxation only if it fell within the Constitution Act. Holly Bruno claimed that through deceit and fraud the government defendants misled the Brunos to believe that there existed a legitimate national debt, and that the premier of the province knew or ought to have known that the Income Tax Act was ultra vires the authority of Parliament.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9" w:name="Holdings of Court_10"/>
            <w:bookmarkEnd w:id="79"/>
            <w:r>
              <w:rPr>
                <w:rFonts w:ascii="arial" w:eastAsia="arial" w:hAnsi="arial" w:cs="arial"/>
                <w:color w:val="000000"/>
                <w:sz w:val="20"/>
                <w:lang w:val="en-US" w:eastAsia="en-US" w:bidi="ar-SA"/>
              </w:rPr>
              <w:t>HELD: Actions dismissed against all defendants.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Income Tax Act was within the proper power of the federal government. Canada and the provinces had sovereign powers but each had only those powers given by the Act. Sovereignty was divided by class of subject matter and pith and substance purpose. Most of the claims in each action were struck out. There was an absence of substance to the claims and the issue of law had long since been settled. The specific claims had no reasonable root in the pleadings. Many of the assertions were scandalous. The Brunos were allowed to amend their pleadings to read only Canada Customs and Revenue Agency as the sole defendant after striking out all the defendants currently on record.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0" w:name="Legislation Cited_9"/>
      <w:bookmarkEnd w:id="8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4"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North America Act, ss. 91, 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Income War Tax Act.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18"/>
                <w:lang w:val="en-US" w:eastAsia="en-US" w:bidi="ar-SA"/>
              </w:rPr>
              <w:t xml:space="preserve">[Quicklaw note: An Addendum to reasons for judgment was released December 14, 2000. See </w:t>
            </w:r>
            <w:hyperlink r:id="rId272" w:history="1">
              <w:r>
                <w:rPr>
                  <w:rFonts w:ascii="arial" w:eastAsia="arial" w:hAnsi="arial" w:cs="arial"/>
                  <w:i/>
                  <w:color w:val="0077CC"/>
                  <w:sz w:val="18"/>
                  <w:u w:val="single"/>
                  <w:shd w:val="clear" w:color="auto" w:fill="FFFFFF"/>
                  <w:lang w:val="en-US" w:eastAsia="en-US" w:bidi="ar-SA"/>
                </w:rPr>
                <w:t>[2000] B.C.J. No. 2681</w:t>
              </w:r>
            </w:hyperlink>
            <w:r>
              <w:rPr>
                <w:rFonts w:ascii="arial" w:eastAsia="arial" w:hAnsi="arial" w:cs="arial"/>
                <w:color w:val="000000"/>
                <w:sz w:val="18"/>
                <w:lang w:val="en-US" w:eastAsia="en-US" w:bidi="ar-SA"/>
              </w:rPr>
              <w:t>.]</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1" w:name="Counsel_10"/>
      <w:bookmarkEnd w:id="8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5"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 Ellis, for the plaintiffs. D. Kiselbach, G. Morley, K. Nevak and L. Terai, for the defendants, (Federal Crown) (Provincial Crown) (Bank of Montreal) (B.C. Maritimes &amp; J. Talbot).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2" w:name="Judgment_10"/>
      <w:bookmarkEnd w:id="82"/>
      <w:r>
        <w:pict>
          <v:line id="_x0000_s1086" style="position:absolute;z-index:25182310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3" w:name="BOYLE J."/>
            <w:bookmarkEnd w:id="83"/>
            <w:r>
              <w:rPr>
                <w:rFonts w:ascii="arial" w:eastAsia="arial" w:hAnsi="arial" w:cs="arial"/>
                <w:b/>
                <w:color w:val="000000"/>
                <w:sz w:val="30"/>
                <w:lang w:val="en-US" w:eastAsia="en-US" w:bidi="ar-SA"/>
              </w:rPr>
              <w:t>BOYLE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Two motions were heard on this application. One was a motion by the defendants to strike out the plaintiffs' claim on the ground it disclosed no reasonable cause of action. The other, brought by the plaintiffs, sought to enjoin garnishment of Frank Bruno's wages payable by the defendant, Maritime Employers.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are being pursued for $56,620 claimed as tax arrears from Frank Bruno. Holly Bruno's action comes about because the Federal Revenue Department has pursued her as a third party in its efforts to collect. In response, the plaintiffs seek to set aside at trial the federal Income Tax Act ("the Act"). Against the various defendants, they seek damages which they say arise from attempts made to collect those arrears.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are two actions (S057345 - Holly Bruno; and S05782 - Frank Bruno). The plaintiffs asked that the court proceed at this hearing only on S05782 (Frank Bruno). That request related to a question of timely notice. However, the two actions are virtually identical. I concluded nothing was to be gained - and a good deal of expense was to be lost - by proceeding one after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parties named by Frank Bruno include the Finance Minister for British Columbia and Mr. Bruno's employer B.C. Maritime Employers which are not included in the style of cause for Holly Bruno. In her action she names her employer, Lifestyles Canada Limited, its executive vice president, David Drutz, and April Wilson of the Bank of Montreal which the Frank Bruno action does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is some difference between the parties named in the two actions and there are some differences (not conflicts) in the material facts alleged by the plaintiffs but these are actions in which the particular is answered by the 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ask (incidentally, but interestingly to this application)that their claims be heard at trial before a "common law" jury of twelve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argue as their beacon to freedom that the government of Canada is without jurisdiction to impose the Income Tax Act on them because they are "sovereign" citizens of "the sovereign province" of British Columbia and hence subject to direct taxation only if it falls within s. 92(2) of the British North America Act (the Constitution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They say in something of a contradiction insofar as sovereignty is concerned, that the peace, order and good government jurisdiction of Canada under the Constitution Act does or should guarantee them the quiet enjoyment of their property, free of federal taxes and collection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They claim the province and Canada conspired to permit Canada to unlawfully enact and enforce the Income Tax Act, the successor to the Income War Tax of 1917.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paragraphs 55 - 57 of the plaintiff Holly Bruno's statement of claim, she says that "through deceit and or fraud and or misinformation all the defendants misled the plaintiff(s) to believe there exists a legitimate national debt. She asserts the debt arises because "93% of all the money" raised by taxes goes to the International Monetary Fund. The "hype of the national debt (is used) in order to justify the defendant Canada stealing the private fortunes of sovereigns". ("Sovereigns" being the plaintiffs' description of provincial citizens).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two statements of claim are not paragraph for paragraph or word for word, but the substance of each echoes the other symmetrically.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assert "the alleged national debt is a 'pact' the defendant Canada made with the banks".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say the premier of the province "Knows, knew or ought to have known that the Income Tax Act (Canada) is ultra vires the authority of Parliament." They assert that direct taxation is a right solely reserved to the province under the Act. They avoid confronting s. 91(3).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argue the province and Canada and the relevant ministers have joined in constructive treason.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claim, when put succinctly, is for damages in fraud, deceit, extortion, breach of fiduciary duty, negligent misrepresentation and for conspiracy. They claim for recovery of money paid and for interest. They claim for loss of reputation (including credit rating) humiliation and for embarrassment, mental stress and for suffering. (That list is a general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through their spokesperson (Ellis), have assembled an astonishing array of political, social/philosophical and legal reports and records in support of their position beginning in 1676. They might have a stronger persuasive quality had not the central issue been long since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centrepiece of their argument is The Attorney General of Nova Scotia and the Attorney General of Canada v. Lord Nelson Hotel Company Limited [1950] S.C.R.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issue in Nelson was the validity of a provincial Bill entitled "An Act respecting the delegation of jurisdiction from the Parliament of Canada to the Legislature of Nova Scotia and vice versa". The intent of the Bill was to enable Nova Scotia to delegate to and to withdraw from Parliament authority to make laws in relation to any matter relating to employment in any industry work or undertaking in respect of which such matter was, by s. 92 of the B.N.A. Act, exclusively within the jurisdiction of Nova Scotia.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either case of delegation Parliament or the Nova Scotia legislature would have been enabled to legislate concerning matters which had not been allocated to it but, instead, to the other by the B.N.A.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court's decision can be summarized from the opinion of Rinfret C.J.:</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Parliament of Canada and the legislatures of the several provinces are sovereign within their sphere defined by the Act but none of them has the unlimited capacity of an individual. They can exercise only the legislative powers respectively given to them by sections 91 and 92 of the Act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power of delegation is expressed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Neither legislative body, federal or provincial, possess any portion of the powers respectively vested in the other and they cannot receive it by delegation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applicants (defendants) on the motion to strike (carried by Mr. Kiselbach for all the defendants) founded their argument in large part on Caron v. The King </w:t>
      </w:r>
      <w:hyperlink r:id="rId273" w:history="1">
        <w:r>
          <w:rPr>
            <w:rFonts w:ascii="arial" w:eastAsia="arial" w:hAnsi="arial" w:cs="arial"/>
            <w:i/>
            <w:color w:val="0077CC"/>
            <w:sz w:val="20"/>
            <w:u w:val="single"/>
            <w:shd w:val="clear" w:color="auto" w:fill="FFFFFF"/>
            <w:lang w:val="en-US" w:eastAsia="en-US" w:bidi="ar-SA"/>
          </w:rPr>
          <w:t>[1924] A.C. 999</w:t>
        </w:r>
      </w:hyperlink>
      <w:r>
        <w:rPr>
          <w:rFonts w:ascii="arial" w:eastAsia="arial" w:hAnsi="arial" w:cs="arial"/>
          <w:color w:val="000000"/>
          <w:sz w:val="20"/>
          <w:lang w:val="en-US" w:eastAsia="en-US" w:bidi="ar-SA"/>
        </w:rPr>
        <w:t xml:space="preserve">. Caron was an appeal to the Privy Council from the Supreme Court of Canada, </w:t>
      </w:r>
      <w:hyperlink r:id="rId274" w:history="1">
        <w:r>
          <w:rPr>
            <w:rFonts w:ascii="arial" w:eastAsia="arial" w:hAnsi="arial" w:cs="arial"/>
            <w:i/>
            <w:color w:val="0077CC"/>
            <w:sz w:val="20"/>
            <w:u w:val="single"/>
            <w:shd w:val="clear" w:color="auto" w:fill="FFFFFF"/>
            <w:lang w:val="en-US" w:eastAsia="en-US" w:bidi="ar-SA"/>
          </w:rPr>
          <w:t>64 S.C.R. 255</w:t>
        </w:r>
      </w:hyperlink>
      <w:r>
        <w:rPr>
          <w:rFonts w:ascii="arial" w:eastAsia="arial" w:hAnsi="arial" w:cs="arial"/>
          <w:color w:val="000000"/>
          <w:sz w:val="20"/>
          <w:lang w:val="en-US" w:eastAsia="en-US" w:bidi="ar-SA"/>
        </w:rPr>
        <w:t xml:space="preserve">, which had affirmed a judgment of the Exchequer Court, </w:t>
      </w:r>
      <w:hyperlink r:id="rId275" w:history="1">
        <w:r>
          <w:rPr>
            <w:rFonts w:ascii="arial" w:eastAsia="arial" w:hAnsi="arial" w:cs="arial"/>
            <w:i/>
            <w:color w:val="0077CC"/>
            <w:sz w:val="20"/>
            <w:u w:val="single"/>
            <w:shd w:val="clear" w:color="auto" w:fill="FFFFFF"/>
            <w:lang w:val="en-US" w:eastAsia="en-US" w:bidi="ar-SA"/>
          </w:rPr>
          <w:t>21 EXCR 119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Caron action was based upon a claim that the Income War Tax Act of 1917 was ultra vires insofar as it purported to render the appellant liable to payment of tax on his salary earned as agriculture minister in Quebec. The appellant's argument was presented in the alternative. First that the entire Act was ultra vires; alternatively that his status exempted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federal crown succeeded at all levels on each 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whole matter turns on the construction and application of ss. 91 and 92 of the British North America Act of 1867, and their Lordships in determining it are assisted and guided by the mass of decisions on these two sections which have been previously given by the Board.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true that by the provisions of s. 92 the Legislature in each Province may exclusively make laws in relation to certain matters coming within the classes of subjects which are there enumerated, and that one of these classes of subjects is "direct taxation within the Province in order to (sic) the raising of a revenue for provincial purposes."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such particular direct taxation is reserved to the Province, to that extent there is some deduction to be made from the totality of power apparently given exclusively to the Dominion Parliament to raise money for any purpose by any mode or system of taxation.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Both sections of the Act of Parliament must be construed together; and it matters not whether the principle to be applied is that the particular provision in head 2 of s. 92 effects a deduction from the general provision in head 3 of s. 91, or whether the principle be that head 3 of s. 91 is confined to Dominion taxes for Dominion purposes.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Upon any view there is nothing in s. 92 to take away the power to impose any taxation for Dominion purposes which is prima facie given by head 3 of s. 91. It is not therefore ultra vires on the part of the Parliament of Canada to impose a Dominion income tax for Dominion purposes; and the first point must therefore be decided against the appellant.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found no case arriving at a decision contrary to Caron. It is not at odds with the Lord Nelson case. Lord Nelson was about an attempt to delegate or to withdraw powers allocated under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this case, as the courts have held consistently, Canada has exercised a power allocated to it under the Act. There is no delegation.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Joyal J. of the Federal Court summed it up in a different way in Giagnocavo v. Canada, </w:t>
      </w:r>
      <w:hyperlink r:id="rId276" w:history="1">
        <w:r>
          <w:rPr>
            <w:rFonts w:ascii="arial" w:eastAsia="arial" w:hAnsi="arial" w:cs="arial"/>
            <w:i/>
            <w:color w:val="0077CC"/>
            <w:sz w:val="20"/>
            <w:u w:val="single"/>
            <w:shd w:val="clear" w:color="auto" w:fill="FFFFFF"/>
            <w:lang w:val="en-US" w:eastAsia="en-US" w:bidi="ar-SA"/>
          </w:rPr>
          <w:t>[1995] F.C.J. No. 1312</w:t>
        </w:r>
      </w:hyperlink>
      <w:r>
        <w:rPr>
          <w:rFonts w:ascii="arial" w:eastAsia="arial" w:hAnsi="arial" w:cs="arial"/>
          <w:color w:val="000000"/>
          <w:sz w:val="20"/>
          <w:lang w:val="en-US" w:eastAsia="en-US" w:bidi="ar-SA"/>
        </w:rPr>
        <w:t xml:space="preserve"> at paras. 8 and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doubt, the applicant is absolutely convinced of his opinion and perfectly satisfied that his conclusions are unassailable. From a philosophical point of view, a case can no doubt be made that the impugned statute is cruel and inhuman, that it is a travesty of recognized moral values, that it constitutes an intrusion of the state not only in the bedrooms of the nation, as was said in another case, but in its piggy-banks as well. One could also say that a good number of citizens share the applicant's view in these matters, and would ring bells and dance in the streets if ever there were liberated from the unconscionable burden of taxation.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basic difficulty, however, is that the position taken by the applicant, although under the umbrella of judicial proceedings, is in fact a policy position over which courts and their judges have no jurisdiction. Policy issues are for legislators, and judicial issues only for judges. It is noted that the challenge here to the Act is not in respect of an individual or discrete section thereof, which might be challenged under the Charter, but seeks to have the whole statute set aside by reason of what might be termed the paramountcy of section 92(2) of the Constitution. Courts have been faced with many such challenges, few of which have been successful. Courts, like so many other human institutions, have rules; one of them is that the rule of law is paramount, and another is that jurisprudence must be respected.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Canada and the provinces have sovereign powers but, in each case, each has only those powers given by the Act. The plaintiff argued that none other than "Indians, immigrants and aliens" fall within the jurisdiction of the federal parliament, all else are sovereign citizens of each particular province. That is not so. Sovereignty is divided by class of subject matter and pith and substance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This court is bound by the many decisions that hold the Income Tax Act to be within the proper power of the federal government. That part of the plaintiffs' claim which contests that authority will be struck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Having found - on the basis of settled law - against the plaintiffs on their constitutional argument, the dependent claims against persons and institutions fall, as do the needles of a Christmas tree kept too long indoors. Nevertheless, the individual claims should be reviewed although, at this hearing the plaintiffs through their eloquent agent (Ellis) did not address those specific claims at any length, focussing only on federal and provincial powers.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plaintiffs sought relief in their statements of claim for:</w:t>
      </w:r>
      <w:r>
        <w:rPr>
          <w:rFonts w:ascii="arial" w:eastAsia="arial" w:hAnsi="arial" w:cs="arial"/>
          <w:sz w:val="20"/>
          <w:lang w:val="en-US" w:eastAsia="en-US" w:bidi="ar-SA"/>
        </w:rPr>
        <w:cr/>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against the defendants for fraudulent or negligent misrepresentation and for breach of fiduciary trust.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against the defendants for the loss of the original monies paid for income taxes.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against the defendants for loss of interest on the original monies paid for income taxes.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loss of Reputation, Humiliation, Embarrassment.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loss of credit rating.</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mental stress and suffering.</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leaving them penniless for 12/23 months.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sleeplessness and lassitude.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depression and loss of self worth.</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of deep sadness.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lack of motivation to work.</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Interest pursuant to Court Order Interest Act.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this action</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to this Honourable Court may deem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defendants agree that, on an application to strike out a statement of claim under Rule 19(24)(a), the court must accept (deemed to be proven) as fact the allegations in the plaintiffs' pleadings, Operation Dismantle v. The Queen et al, </w:t>
      </w:r>
      <w:hyperlink r:id="rId175"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Once the assertions that can be found in the pleadings are accepted, the court then must ask itself: is it "plain and obvious" that the statement of claim discloses no reasonable cause of action: Hunt v. Carey Can. Inc. </w:t>
      </w:r>
      <w:r>
        <w:rPr>
          <w:rFonts w:ascii="arial" w:eastAsia="arial" w:hAnsi="arial" w:cs="arial"/>
          <w:i/>
          <w:color w:val="000000"/>
          <w:sz w:val="20"/>
          <w:lang w:val="en-US" w:eastAsia="en-US" w:bidi="ar-SA"/>
        </w:rPr>
        <w:t>(1990), 49 B.C.L.R. (2d) 273</w:t>
      </w:r>
      <w:r>
        <w:rPr>
          <w:rFonts w:ascii="arial" w:eastAsia="arial" w:hAnsi="arial" w:cs="arial"/>
          <w:color w:val="000000"/>
          <w:sz w:val="20"/>
          <w:lang w:val="en-US" w:eastAsia="en-US" w:bidi="ar-SA"/>
        </w:rPr>
        <w:t xml:space="preserve"> (S.C.C.). A plaintiff is not to be driven by chance from the judgment seat but, if there is no chance, that is the end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One of the major problems the plaintiffs have is that it is difficult to find assertions of material fact in their pleadings. There is no application to amend the failure of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Turning specifically to the statement of claim of Holly Bruno, and dismissing the enumerated items seriatim, I concluded:</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Prime Minister's office, Revenue Canada employees and the Department of Justice are not legal entities (para. 2).</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Bank of Montreal and Lifestyle Canada were bound to accept and act upon the direction of the Revenue Minister under s. 224 of the Act to garnish. The plaintiff Holly Bruno is a third party under s. 160 of the Act, as are the Bank and Lifestyles. Third parties under the Act can be required to pay up to 100% in these circumstances (paras. 3 - 6).</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assertion the defendants wilfully and knowingly left Holly Bruno penniless for 23 (Frank Bruno for 12) months and refused to leave some money for the necessities of life, is not supported by material facts giving life to the assertions (by whom, when and how?) (paras. 7 and 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plain and obvious the above (1) to (3) disclose no cause of action.</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Holly Bruno asserts, without more, without particularity, Revenue Canada employees wilfully and knowingly placed a lien on her home. She offers no averment to show why that could be seen reasonably as providing a cause of action apart from the umbrella (folded in these reasons) ultra vires argument. Additionally, the employees are not, as a group, a legal entity. (Para. 9)</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Paragraphs 10 to 23, accepted for these purposes as true, do not contribute to formulation of a cause of action - given, particularly, the finding that the Act is intra vires. Paragraphs 19, 20 and 33 to 41 refer to the plaintiffs' argument that, without a valid Act, they can not be required as "sovereign" citizens to pay income tax unless they voluntarily execute a contract to do so which they have not done. Again, the validity of the Act defeats their argument. The requirement is statutory, not contractual.</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found the Act intra vires, it follows the Department of Revenue and its agents, under the Canada Custom and Revenue Agency Act, are authorized to pursue collection. Bare allegations of "threats ... intimidation ... coercion ... fear ... theft ... harassment" without more, do not found a reasonable and obvious cause of action. (Again, by whom, when and how?) (Para. 24).</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Paragraphs 26 -32, 44 - 45, 62 and 73 raise interesting social and philosophical observations but they are assertions of fact denied to the plaintiffs' argument by the consistent intra vires findings of the courts. They offer nothing of a plain and obvious nature to advance a reasonable claim given the finding the Act is intra vires. Once more the Act enables the tax and, insofar as it invades a citizen's sense of peace, order, good government and quiet enjoyment of property, there is no consolation in the general federal powers commonly known as "P.O.G.G.".</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Paragraphs 24, 43, 46, 48, 54, 55, 63, 77 and 78, are unsupported in their scandalous assertions.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Paragraphs 33 to 42 have no clear link to any claim advanced by the plaintiffs. Perhaps they are intended to be part of the plaintiffs' argument that there is only one "contract" between themselves as individuals and the federal government and that is a contract by which they owe allegiance to the state and, in return, the state is bound to protect their life, liberty and property. Again, the issue is statutory, not contractual.</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47 is rendered barren by the finding the Act is intra vires.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Paragraphs 49 to 53 are rendered nugatory by the finding the Act is intra vires.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Paragraphs 56 - 60 do not advance the plaintiffs' claim being social/political fulminations. Even if proven true, their place would be in the political-policy forum, not the court.</w:t>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61 is too broad and does not recognize statutory incursions into the common law - English or Canadian.</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Paragraphs 64 - 74 are a mixture of the irrelevant - being without assistance to the plaintiffs' claim - and of the scandalous, the former because of the finding of the Act's legitimacy, the latter because of the characterization.</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75 is probably true but it does not advance the plaintiffs' claim.</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76 becomes a political, not legal, observation when placed against the finding that the plaintiffs' claim that the Act is ultra vires has no substance.</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Paragraphs 79 to 85 are further political excursions or observations that ring the changes on what is claimed in the preceding paragraphs and have no reasonable prospect of advancing the plaintiffs' claim particularly, again, in light of the finding of intra vires.</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86 could be seen as scandalous ("deceptively induced") but, given the political/philosophical overtones of the claim, can be forgiven although it does not provide, alone or in concert, a reasonable basis for founding a cause of action.</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Paragraphs 87 and 88 of the Holly Bruno claim will not stand. The defendants properly rely on a deeming section - 44(16) - of the Act.</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Paragraphs 90 to the end of the claim trip over the finding the Act is intra vires but for paragraphs 97 and 99 which are just baffling.</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statement of claim of Frank Bruno is substantially the same as that of Holly Bruno. There are a few distinctions. One is that he refers in paragraphs 22 to 29 to the TD-1 Form as purporting to be a valid "single signature contract" but asserts it is not because it does not fully disclose its "nature". The plaintiff, Frank Bruno, must fail in this argument because the form emanates from the statute, not a contract.</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the statement of claim of Frank Bruno addresses any cause of action against the defendant, Joy Talbot.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the statement of claim of Holly Bruno:</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25 will stand. It appears to challenge quantification: "... debts allegedly owed by the plaintiff based on no consistent amount". The federal defendant, probably will argue: we've been all through that with the plaintiffs and that seems to be so but (without researching the statute), I assume there is a final appeal procedure.</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89 of her claim will stand although the present evidence suggests the plaintiff will have very little to stand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Otherwise all claims in each action except those in the two immediate paragraphs above, will be struck out under Rule 19(24). No reasonable basis for claim other than those is disclosed. There is an absence of substance. The fundamental issue of law has long since been settled. In the instance of the personal defendants, as well as the general finding, no reasonable claim has been brought home by specific allegations of fact.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fraudulent or negligent mis-representation - implicitly pleaded - have no reasonable root in the pleadings. Conspiracy, conversion, breach of fiduciary duty appear to be pleaded but there are labels only. There is no substance to the claims when read against the validity of the Act. Much of the latter assertions is scandalous.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summary, the actions are dismissed against all the defendants. However, the plaintiffs may amend their pleadings to read only Canada Customs and Revenue Agency (C.C.R.A.) as the sole defendant after striking out all the defendants current until these reasons. The C.C.R.A. is, I assume, the proper defendant in respect of the two subparagraphs set out at paragraph [35]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BOYLE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7"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83" w:history="1">
        <w:r>
          <w:rPr>
            <w:rFonts w:ascii="arial" w:eastAsia="arial" w:hAnsi="arial" w:cs="arial"/>
            <w:b/>
            <w:bCs/>
            <w:i/>
            <w:color w:val="0077CC"/>
            <w:kern w:val="32"/>
            <w:sz w:val="28"/>
            <w:szCs w:val="32"/>
            <w:u w:val="single"/>
            <w:shd w:val="clear" w:color="auto" w:fill="FFFFFF"/>
            <w:lang w:val="en-US" w:eastAsia="en-US" w:bidi="ar-SA"/>
          </w:rPr>
          <w:t>Buksh v. Dominion Lending Drake Entrust Mortgage Services Ltd., [2017] B.C.J. No. 121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Brown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26,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25,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S31137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121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Mustak Ahmed Gani Buksh Anita Buksh, Plaintiffs, and Dominion Lending Drake Entrust Mortgage Services Ltd., Entrust Mortgage Services Ltd., Dominion Lending Centres Drake Financial Drake Financial Services Ltd., Euro-Canadian Mortgage Corp., Elite Mortgage Corp., 0819583 B.C.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8"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4" w:name="Keywords_11"/>
      <w:bookmarkEnd w:id="84"/>
      <w:r>
        <w:rPr>
          <w:rFonts w:ascii="arial" w:eastAsia="arial" w:hAnsi="arial" w:cs="arial"/>
          <w:b/>
          <w:color w:val="000000"/>
          <w:sz w:val="20"/>
          <w:lang w:val="en-US" w:eastAsia="en-US" w:bidi="ar-SA"/>
        </w:rPr>
        <w:t>Civil litigation — Civil procedure — Pleadings — Striking out pleadings or allegations — Grounds — Res judicata — Application by defendants for order that Notice of Civil Claim be struck allowed — Parties entered into joint venture agreements in relation to construction of properties — Defendants commenced foreclosure proceedings against Buksh, and were awarded relief — In Notice of Civil Claim, Buksh claimed instances of fraud, misrepresentation to court, forgery of documents, and breaches of various parol agreements and/or joint venture agreements related to properties — It was plain and obvious that doctrine of estoppel by res judicata applied to plaintiffs' claims — Supreme Court Civil Rules, Rule 9-5(1) (b).</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5" w:name="Case Summary_11"/>
            <w:bookmarkEnd w:id="8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Dominion Lending Drake Entrust Mortgage Services Ltd., Dominion Lending Centres Drake Financial, Entrust Mortgage Services Ltd., Drake Financial Services Ltd., Euro-Canadian Mortgage Corp., Elite Mortgage Corp., and 0819583 B.C. Ltd. (collective, the "defendants") for an order that the Notice of Civil Claim be struck. Buksh was a realtor and mortgage broker. Parties entered into joint venture agreements in relation to property for the purpose of constructing the properties. Title was transferred to Buksh via mortgages over the properties, and after completing construction, Buksh was entitled to sell the properties and to retain the sale proceeds after payment of the mortgages. The Notice of Civil Claim alleged that the terms of the agreements were amended upon discovery of certain problems with the properties, such that the defendants would not foreclose on the mortgages so long as Buksh continued to work towards completing the construction and preparing the properties for sale. The defendants commenced foreclosure proceedings against Buksh, and were awarded relief. In the Notice of Civil Claim, Buksh claimed instances of fraud, misrepresentation to the court, forgery of documents, and breaches of various parol agreements and/or joint venture agreements related to the properties. The defendants submitted that the plaintiffs' present claims were considered and disposed of in the foreclosure proceedings and should be struck based on the doctrine of estoppel by res judicata.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6" w:name="Holdings of Court_11"/>
            <w:bookmarkEnd w:id="86"/>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Notice of Civil Claim was struck in its entirety. It was plain and obvious that the doctrine of estoppel by res judicata applied to the plaintiffs' claims. Considering the plaintiffs' pleadings, evidence, and submissions both in these proceedings and in the previous foreclosure proceedings, and in light of the clear and final conclusions reached in the foreclosure proceedings, it was clear that the court had already decided the issues and disposed of the claims Buksh now sought to advance. It would be an abuse of process to permit the plaintiffs to pursue a claim rejected in prior proceedings, alleging a joint venture contractual relationship, including a parol agreement, that prevented the defendants from enforcing the terms of mortgages that had been declared valid and enforceable. The current court was bound by that finding. That finding was also logically applicable to the plaintiffs' Notice of Civil Claim.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7" w:name="Legislation Cited_10"/>
      <w:bookmarkEnd w:id="8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9"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Limitation Act, </w:t>
      </w:r>
      <w:hyperlink r:id="rId284" w:history="1">
        <w:r>
          <w:rPr>
            <w:rFonts w:ascii="arial" w:eastAsia="arial" w:hAnsi="arial" w:cs="arial"/>
            <w:i/>
            <w:color w:val="0077CC"/>
            <w:sz w:val="20"/>
            <w:u w:val="single"/>
            <w:shd w:val="clear" w:color="auto" w:fill="FFFFFF"/>
            <w:lang w:val="en-US" w:eastAsia="en-US" w:bidi="ar-SA"/>
          </w:rPr>
          <w:t>S.B.C. 2012, c. 13, s. 8</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9-5(1)(b), Rule 9-5(1)(d)</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8" w:name="Counsel_11"/>
      <w:bookmarkEnd w:id="8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0" style="position:absolute;z-index:2517729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Appearing on their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W.R. Neufeld.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9" w:name="Judgment_11"/>
      <w:bookmarkEnd w:id="89"/>
      <w:r>
        <w:pict>
          <v:line id="_x0000_s1091" style="position:absolute;z-index:2518241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0" w:name="N. BROWN J."/>
            <w:bookmarkEnd w:id="90"/>
            <w:r>
              <w:rPr>
                <w:rFonts w:ascii="arial" w:eastAsia="arial" w:hAnsi="arial" w:cs="arial"/>
                <w:b/>
                <w:color w:val="000000"/>
                <w:sz w:val="30"/>
                <w:lang w:val="en-US" w:eastAsia="en-US" w:bidi="ar-SA"/>
              </w:rPr>
              <w:t>N. BROWN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ORDERS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Dominion Lending Drake Entrust Mortgage Services Ltd., Dominion Lending Centres Drake Financial, Entrust Mortgage Services Ltd., Drake Financial Services Ltd., Euro-Canadian Mortgage Corp., Elite Mortgage Corp., and 0819583 B.C. Ltd. have applied for the following orders:</w:t>
      </w:r>
      <w:r>
        <w:rPr>
          <w:rFonts w:ascii="arial" w:eastAsia="arial" w:hAnsi="arial" w:cs="arial"/>
          <w:sz w:val="20"/>
          <w:lang w:val="en-US" w:eastAsia="en-US" w:bidi="ar-SA"/>
        </w:rPr>
        <w:cr/>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Pursuant to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R. 9-5(1)(b), an order that the Notice of Civil Claim filed in this action be struck in its entirety as it is unnecessary, scandalous, frivolous, or a vexatious;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or in the alternative, pursuant to the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R. 9-5(1)(d), that the Notice of Civil Claim be struck in its entirety as it is otherwise an abuse of process of the court;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or in the alternative, that the plaintiff's claims against the defendant applicants be dismissed; 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After considering the information placed before the court and the parties' submissions, I find the plaintiffs' Notice of Civil Claim should be struck in its entirety and these proceedings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application is responsive to a civil claim filed by the plaintiffs, Mustak Ahmed Gani Buksh and Anita Buksh, in the British Columbia Supreme Court in Chilliwack on June 7, 2016, Action No. S31137. That claim is linked to foreclosure petitions brought by the defendants in December 2013, which resulted in pronouncement of various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and respondent, Mr. Buksh, is a realtor and mortgage broker of some 38 years' experience. He and his wife were respondents in foreclosure proceedings brought against them by the defendants in this Court and in the Court of Queen's Bench of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Notice of Civil Claim and supporting affidavit filed for this application allege that they entered into a joint venture agreement with the defendants regarding certain property in Alberta, which I will refer to as the "Wildwood property." Claims and allegations were also made with respect to another alleged joint venture agreement in relation to property at 3877 Vance Road, Cultus Lake, B.C. (the "Vance property"). Essentially, as set out in the Notice of Civil Claim, the plaintiffs claim that the agreements were "to complete construction on these properties, with a view to mutual profits." Title was transferred to Mr. Buksh via mortgages over the properties, and after completing construction, Mr. Buksh would be entitled to sell the properties and to retain the sale proceeds after payment of the mortgages. The Notice of Civil Claim alleges that the terms of these agreements were amended upon discovery of certain problems with the properties, such that the defendants would not foreclose on the mortgages so long as Mr. Buksh continued to work towards completing the construction and preparing the properties for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his affidavit sworn October 21, 2016, and in his oral submissions, Mr. Buksh alleged various instances of fraud, misrepresentation to the court, forgery of documents, and breaches of various parol agreements and/or joint venture agreements related not only to the Vance and Wildwood properties, but to other properties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his affidavit sworn October 21, 2016, Mr. Buksh also discusses joint venture agreements related to three lots in Kamloops and a property in Surrey. The plaintiffs state they became aware of these matters in March 2014, but at that time did not know how to go about establishing them. I note they were represented by counsel at the time of the alleged forgeries and misrepresentations, as well as throughout the rather convoluted foreclosure proceedings, to be discussed in due course. Furthermore, most, if not all, of the documents Mr. Buksh referred to in his submissions and materials were extant at the time. The plaintiffs say, however, their investigation is continuing and that they will have additional proof of these allegations at trial. Mr. Buksh's submissions, in short, anticipate protracted further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history of the litigation, considered broadly, suggests that the plaintiffs consistently took the position that at various times the defendants had assured them that the subject properties would not be liquidated as security for advances the defendants had made. The plaintiffs now seek the following relief, as set out at p. 16 of the Notice of Civil Claim:</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plaintiff, Mr. Buksh and the defendants are engaged in a joint venture with respect to the development of the Vance property.</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a declaration that the plaintiff, Mr. Buksh and the defendants entered into agreements with respect to the accrual of interest on and enforcement of a mortgage for the Vance property, which specifically included terms that interest would not accrue on the mortgage after August 2012 and the defendants would not foreclose provided that Mr. Buksh continued construction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following encapsulates the defendant's stated position:</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their entirety, the allegations made and the relief sought are in relation to certain properties colloquially referred to as the Vance and Wildwood Properties which properties were the subject of litigation in related foreclosure proceedings. Mr. Justice Jenkins ruled on all the allegations of fact and evidentiary matters raised in the within proceedings as they relate to the Vance Property and accordingly the matter is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Master MacNaughton [as she then was] ruled on all the allegations of fact and evidentiary matters raised in the within proceedings as they relate to the Wildwood Properties and accordingly the matter is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Master J.R. Farrington ruled specifically on the Wildwood Properties and as such that matter is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None of the Orders have been appealed and the appeal period has now lapsed.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defendants also submit that the plaintiffs' claim is barred by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History of foreclosure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Marlene Bernier, a legal assistant employed by Valley Law Group LLP, summarized the documented history of the foreclosure litigation in her affidavit sworn June 16,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From of the defendants' perspective, they face a shortfall of up to $2 million from various loans advanced to the plaintiffs and secured by the various subject properties. Counsel for the defendants described the foreclosure litigation as arduous, prolonged, and very expensive for the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Elite Foreclosure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record reveals that a foreclosure action was commenced by the defendant Elite Mortgage Corp. ("Elite") on December 20, 2013 at New Westminster Supreme Court, Action No. 157668 (the "Elite Action"). That action related to a mortgage over the three Kamloops properties and one Surrey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February 13, 2014, the defendants applied for alternative service of the petition documents in the Elite Action. Master Caldwell ordered this on February 27,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This was followed by an additional order for alternative service of the petition documents in the Elite Action on the plaintiff, Anita Buksh.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As stated in Ms. Bernier's affidavit, Elite then scheduled an </w:t>
      </w:r>
      <w:r>
        <w:rPr>
          <w:rFonts w:ascii="arial" w:eastAsia="arial" w:hAnsi="arial" w:cs="arial"/>
          <w:i/>
          <w:color w:val="000000"/>
          <w:sz w:val="20"/>
          <w:lang w:val="en-US" w:eastAsia="en-US" w:bidi="ar-SA"/>
        </w:rPr>
        <w:t>Order Nisi</w:t>
      </w:r>
      <w:r>
        <w:rPr>
          <w:rFonts w:ascii="arial" w:eastAsia="arial" w:hAnsi="arial" w:cs="arial"/>
          <w:color w:val="000000"/>
          <w:sz w:val="20"/>
          <w:lang w:val="en-US" w:eastAsia="en-US" w:bidi="ar-SA"/>
        </w:rPr>
        <w:t xml:space="preserve"> hearing for May 8, 2014. The matter was adjourned generally at the request of the plaintiffs and rescheduled to May 15,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contents of the affidavit sworn by Mr. Buksh on May 11, 2014 and filed in the Elite Action are repeated in the materials filed for this hearing. Mr. Buksh's affidavit sworn May 11, 2014 addressed the Wildwood property. He referred to repairs carried out to redress damage, to alleged discussions with a Mr. Merkel of Euro-Canadian Mortgage Corp., and to other related matters. At para. 16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the time of the completion of the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mortgage agreements, it was understood that the properties subject to the mortgages would not be foreclosed on until the Wildwood Property, and later the Vance property was sold. It was understood that the amounts owing under the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mortgages would be adjusted at the time of sale of both Wildwood and Vance properties in light of the respective latent defect disclosure issues. I would never have agreed to put up my properties as collateral if there was a chance they would be foreclosed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para. 17, he denied ever knowingly having signed or consented to the registration of the mortgage on the title of his personal residence in Surrey. He also denied his wife ever having knowingly signed or consented to the registration of the mortgage on title. The plaintiffs now seek to raise these same matters again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May 15, 2014 Master MacNaughton (as she then was) adjourned the matter to June 17, 2014. She also ordered the plaintiffs to provide Elite with a list for production of all the relevant documents they sought that were in the petitioner's possession no later than May 23,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June 17, 2014, Master Caldwell, on hearing counsel for the defendants and for the plaintiffs, ordered the parties to complete all examinations for discovery and produce all relevant documents no later than September 17, 2014, after which "the matter will be reset for the purposes of addressing and coordinating the conduct of this proceeding". At para. 2 of his affidavit sworn September 26, 2014, Mr. Buksh deposed to a purported Schedule "A" of the Contract of Purchase and Sale of the Vance property, asserting that the schedule referred to a different property, 42558 Yarrow Central Road, the defendant was allegedly also involved in. In his affidavit and submissions on this application, Mr. Buksh characterized this as part of the forgery he now alleges. He had counsel at that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Reasons of Master MacNaughton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petition was heard October 3, 2014. At that time, Master MacNaughton gave oral reasons for her decision (</w:t>
      </w:r>
      <w:r>
        <w:rPr>
          <w:rFonts w:ascii="arial" w:eastAsia="arial" w:hAnsi="arial" w:cs="arial"/>
          <w:i/>
          <w:color w:val="000000"/>
          <w:sz w:val="20"/>
          <w:lang w:val="en-US" w:eastAsia="en-US" w:bidi="ar-SA"/>
        </w:rPr>
        <w:t>Elite Mortgage Corp. v. Buksh</w:t>
      </w:r>
      <w:r>
        <w:rPr>
          <w:rFonts w:ascii="arial" w:eastAsia="arial" w:hAnsi="arial" w:cs="arial"/>
          <w:color w:val="000000"/>
          <w:sz w:val="20"/>
          <w:lang w:val="en-US" w:eastAsia="en-US" w:bidi="ar-SA"/>
        </w:rPr>
        <w:t xml:space="preserve"> (October 3, 2014), New Westminster H157668 (B.C.S.C.)). It is evident from reading her reasons that she had considered submissions regarding an alleged joint venture between the defendants and Mr. Buksh, particularly his central claim that there was a side agreement whereby Elite agreed not to foreclose on the properties which were the subject of that decision until certain other mortgaged properties were sold. The reasons are brief enough, provide relevant background information that directly address the plaintiff's position then (and substantially as it is now) and are relevant to the issue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such that I will reproduce paras. 1-35: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THE COURT: These are foreclosure proceedings brought by Elite Mortgage Corp. under a Deed of Mortgage dated September 28, 2010 (the "Mortgage") and signed by the respondent, Mustak Ahmed Gani Buksh, also known as Mustak Ahmed Buksh ("Mr. Buksh") and Anita Buksh ("Ms. Buksh").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 Elite seeks an </w:t>
      </w:r>
      <w:r>
        <w:rPr>
          <w:rFonts w:ascii="arial" w:eastAsia="arial" w:hAnsi="arial" w:cs="arial"/>
          <w:i/>
          <w:color w:val="000000"/>
          <w:sz w:val="20"/>
          <w:lang w:val="en-US" w:eastAsia="en-US" w:bidi="ar-SA"/>
        </w:rPr>
        <w:t>order nisi</w:t>
      </w:r>
      <w:r>
        <w:rPr>
          <w:rFonts w:ascii="arial" w:eastAsia="arial" w:hAnsi="arial" w:cs="arial"/>
          <w:color w:val="000000"/>
          <w:sz w:val="20"/>
          <w:lang w:val="en-US" w:eastAsia="en-US" w:bidi="ar-SA"/>
        </w:rPr>
        <w:t>, a one-day redemption period, personal judgments, and an order for conduct of sale.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The addresses of the various properties which are subject to the Mortgage, and their legal descriptions, are in the materials before me but need not be set out for the purposes of these reasons.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According to his discovery evidence, Mr. Buksh is a real estate agent, a mortgage broker, a licenced property manager, and has acted as a real estate agent for about 35 years.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In about either 2007, according to his response to the petition, or 2009 according to his discovery evidence, Mr. Buksh began working as a mortgage broker with a group of mortgage companies, then called "The Mortgage Centre". The manager of the Centre, which I understand has undergone a number of name changes, was an individual called Warren Merkel, and Mr. Buksh began working with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Although he describes Mr. Merkel as his boss, it appears that, in fact, it was some kind of a contractual arrangement. Mr. Buksh's mortgage broker's licence was apparently transferred to the Centre.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The Mortgage was placed to secure financing for Mr. Buksh's investment in a property known as the "Wildwood Property" in Alberta. Briefly, Mr. Buksh purchased the Wildwood Property from Euro Canadian Mortgage Corp. which had obtained it through earlier foreclosure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In addition to his role with Elite, Mr. Merkel had a role with Euro Canadian and Mr. Buksh alleges that Mr. Merkel introduced him to the opportunity of purchasing Wildwood and made certain representations with respect to the property. At the time, the two dwellings on Wildwood were partially completed. Mr. Buksh's intention was to complete the dwellings and sell Wildwood for a profit. He obtained financing from Euro Canadian to complete the purchase.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After the closing of the transaction on August 11, 2009, Mr. Buksh discovered that Wildwood had been vandalized and had experienced flooding. He alleges that Mr. Merkel had been aware of the flooding difficulty on the property and did not disclose it to him. As a result of these problems with Wildwood, the time and cost to completion exceeded Mr. Buksh's expectations. He needed additional financing to complete the work which was secured by the Mortgage.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Elite first brought its foreclosure application on May 15, 2014. At that time, the parties appeared before me and I adjourned the application generally because Mr. Buksh's responding affidavit materials raised issues about whether there had been an oral side agreement with respect to the mortgage which might be characterized either as a forbearance agreement or another oral amendment which the Bukshs said affected Elite's right to enforce its mortgage security through foreclosure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The Bukshs said that, pursuant to a verbal agreement, the foreclosure proceeding could move forward until three other properties owned by Mr. Buksh, and financed by Euro Canadian, were sold. Mr. Buksh said that Euro Canadian agreed not to foreclose on Wildwood, and other properties he owned in Chilliwack, until an agreement was reached with respect to the amount of compensation he was to receive as a result of Mr. Merkel's misrepresentations.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Mr. Buksh alleges that only after the sale of Wildwood and the Chilliwack properties could adequate compensation be assessed and a compromise of Elite's claims under the Mortgage be worked 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For the most part, the oral side agreements were alleged to have involved representations from Mr. Merkel. Briefly, Mr. Buksh alleged that Mr. Merkel had misled him with respect to the condition of Wildwood and with respect to another property in Chilliwack. Mr. Buksh's allegations, if proven, would amount to a parol evidence variation of a written and signed mortgage.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I ordered that certain disclosure be made by Elite after a formal request for certain documents was provided by Mr. Buksh's counsel.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After the disclosure, and on June 17, 2014, Elite brought its petition before Master Caldwell seeking directions. Master Caldwell made certain orders to expedite these proceedings requiring that the parties be examined for discovery and allowing the Bukshs to apply to examine further witnesses if they wished to do so by no later than September 17, 2014.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The September 17 date passed. Only Mr. Buksh and a representative of Elite were examined. Although the Bukshs made enquiries about the availability of Mr. Merkel to be examined, some of the dates proposed by his counsel post-dated the deadline in Master Caldwell's order and no date was ever set.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On September 10, Mr. Merkel advised that, without a court order, he would not agree to be examined. Mr. Buksh's counsel did not seek an order to secure Mr. Merkel's attendance or to examine any other person, prior to the deadline in Master Caldwell's order, nor did his counsel seek to vary Master Caldwell's order to extend that deadline.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This is particularly of note because the Buksh's entire response to this foreclosure proceeding is based on their allegation of unwritten assurances and representations that were made by Mr. Merkel. Mr. Merkel's evidence would be key in that regard.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Foreclosure proceedings have apparently been commenced with respect to Wildwood and the Chilliwack properties but have been effectively held in abeyance because of the allegations made by Mr. Buksh concerning statements made by Mr. Merkel and/or Elite. As a result, none of the six properties financed by Mr. Buksh, all of which are in some process of foreclosure, have been liquidated.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According to Elite's submissions and not disputed by Mr. Buksh's counsel, slightly more than 2.737 million dollars remains outstanding to Elite and to Euro under the subject Mortgages. The appraised values for all six properties totals just over 2.1 million dollars. If all of the properties were sold at their appraised value, there would be a significant shortfall and, in fact, the shortfall is likely to be greater because Mr. Buksh has Wildwood listed at less than the appraised value on which the total values are based.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Mr. Buksh does not specify the assurances that he says he received from Mr. Merkel regarding compensation for misrepresentations Mr. Merkel is alleged to have made to him about Wildwood and the Chilliwack properties.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materials before me include the various questions and answers that were put to Mr. Buksh in that regard at his examination for discovery. I do not intend to repeat the numbers of the questions or answers for the purposes of these reasons; they are in the Chambers briefs that were provided to me by Elite's counsel.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In essence, he says that he was not pressured into buying Wildwood. He expected to make a profit on it which he did not intend to share with Euro Canadian. It would receive only the Mortgage interest rate and nothing further.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As set out above, Mr. Buksh's evidence is that once the Wildwood transaction closed, he immediately encountered problems with the property, including the vandalism and flooding which I have referred 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With respect to the vandalism, his evidence was that this could have taken place after he purchased the property but there were also the flooding issues which he addressed with Elite and which were apparently resolved if not to his satisfaction.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Mr. Buksh's evidence at his examination for discovery was that he received relief from making mortgage payments in compensation for Mr. Merkel failing to warn him about the flooding issue and the vandalism, and he never pursued the matter further for fear of losing his job. The mortgage payments were not forgiven, but accrued to be adjusted on the sale of Wildwood. He was told that if there was any further compensation it would require the approval of the Board of Directors and apparently there was no such approval.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The Bukshs do not dispute that they signed the Mortgage. In her affidavit, Ms. Buksh said that she never knowingly did so but does not dispute that it is her signature that appears on the Mortgage. The Buksh's say in their affidavit materials that they elicited the assurances from Mr. Merkel that the Kamloops and Surrey properties, which are also subject to the mortgage, would not be sold in foreclosure until Wildwood and the Chilliwack properties were sold, and that the Bukshs never knowingly put their Surrey property up as security for the loan.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That latter position was resiled from on the examination for discovery when Mr. Buksh was asked questions about whether the Surrey property had been offered as security. He acknowledged that, albeit reluctantly, he agreed to put up the Surrey property as security for the subject loans.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In submissions before me today, his counsel said that he did not understand what he was signing but that allegation did not form the basis of the response to this petition, it is not in his affidavit, and lacks any foundation in any evidentiary material filed thus far by Mr. Buksh. It would be surprising if a real estate agent of 35 years, and a practicing mortgage broker for at least the last five, did not understand a mortgage document he was asked to sign.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Mr. Buksh has not presented any evidence of his central allegations with the exception of his previous affidavit evidence. He has not pointed to anything in the extensive disclosure I ordered which supports his position, nor has he taken court proceedings to obtain Mr. Merkel's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Today in her submissions, Mr. Buksh's counsel said that Mr. Buksh intended to apply to convert this proceeding to an action, he intended to take steps to compel Mr. Merkel's evidence, and intended to apply for further disclosure, but the fact is that Mr. Buksh has taken none of those steps despite Master Caldwell's deadline, despite my orders, and despite having had months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In addition, even if Mr. Buksh is able to demonstrate that he suffered damages as a result of Mr. Merkel's or Elite's actions, those damages would have to exceed $850,000 before any set-off claim would exceed the value of Elite's mortgage security, and Mr. Buksh has never argued that his claim had any priority over Elite's Mortgage.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In all the circumstances, I have concluded that the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Mortgage is a valid mortgage against the Kamloops and Surrey properties and that in light of the default after demand under the Mortgage, </w:t>
      </w:r>
      <w:r>
        <w:rPr>
          <w:rFonts w:ascii="arial" w:eastAsia="arial" w:hAnsi="arial" w:cs="arial"/>
          <w:i/>
          <w:color w:val="000000"/>
          <w:sz w:val="20"/>
          <w:lang w:val="en-US" w:eastAsia="en-US" w:bidi="ar-SA"/>
        </w:rPr>
        <w:t>order nisi</w:t>
      </w:r>
      <w:r>
        <w:rPr>
          <w:rFonts w:ascii="arial" w:eastAsia="arial" w:hAnsi="arial" w:cs="arial"/>
          <w:color w:val="000000"/>
          <w:sz w:val="20"/>
          <w:lang w:val="en-US" w:eastAsia="en-US" w:bidi="ar-SA"/>
        </w:rPr>
        <w:t xml:space="preserve"> should be granted.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The appraisal evidence indicates that Elite will suffer a shortfall if the properties sell for the appraised value and as a result a shortened redemption period of one day is appropriate. Elite shall have immediate conduct of sale.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All other terms of this </w:t>
      </w:r>
      <w:r>
        <w:rPr>
          <w:rFonts w:ascii="arial" w:eastAsia="arial" w:hAnsi="arial" w:cs="arial"/>
          <w:i/>
          <w:color w:val="000000"/>
          <w:sz w:val="20"/>
          <w:lang w:val="en-US" w:eastAsia="en-US" w:bidi="ar-SA"/>
        </w:rPr>
        <w:t>order nisi</w:t>
      </w:r>
      <w:r>
        <w:rPr>
          <w:rFonts w:ascii="arial" w:eastAsia="arial" w:hAnsi="arial" w:cs="arial"/>
          <w:color w:val="000000"/>
          <w:sz w:val="20"/>
          <w:lang w:val="en-US" w:eastAsia="en-US" w:bidi="ar-SA"/>
        </w:rPr>
        <w:t xml:space="preserve"> to be in the usual form with the exception of the quantum of the judgment against Mr. Buksh. I refer that matter for trial. Once the quantum of any shortfall under the Mortgage is settled, a trial will sort out the compensation, if any, payable to Mr. Buksh. The parties may proceed either to the trial list or may succeed on the basis of a summary trial application with respect to the issue of the 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Master MacNaughton's resulting orders are clear. Paragraph 2 states that the plaintiffs have "made default under the Mortgage and that all money secured by the Mortgage is charged upon the Mortgaged Properties and is due and owing to the Petitioner." Paragraph 3 of the order adjourned the matter for the purposes of determining the amount of money required to redeem the Mortgaged Properties and the amount of money due and owing under the Mortgage. October 4, 2014 was the last date for redemption (para.4). Elite was granted costs at Scale B (para. 7). Paragraph 10 granted Elite exclusive conduct of the sale of the Kamloops and Surrey properties, with liberty to list them for sale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Applications for orders to approve the sale of the two Kamloops properties were scheduled for December 18, 2014. Mr. Buksh had retained new counsel and the matter was adjourned to December 23,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December 23, 2014, Master Scarth approved in separate orders the sale of two Kamloops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January 28, 2015, Mr. Justice Jenkins ordered the sale of the Surrey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February 25, 2015, Master Scarth approved the sale of another Kamloops property, referred to in the order as the "Poplar property".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Euro-Canadian Foreclosure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December 2013, the defendant Euro-Canadian Mortgage Corp. ("Euro") commenced two foreclosure proceedings against the plaintiffs: one in the Court of Queen's Bench of Alberta, Action No. 1301-14878, in respect of the Wildwood property, and one in New Westminster Supreme Court, Action No. 157463, regarding the Vance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will deal with the Alberta foreclosure matter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Buksh's son, Elijah Buksh swore an affidavit dated April 8, 2014. Likewise, Mr. Buksh filed an affidavit on April 14, 2014. The contents of these affidavits are practically identical to the plaintiff's assertions on this application insofar as they touch on the same subject matter and assertions. They were evidently intended to indicate the nature of the evidence to be called at the trial of this matter, should it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Following a hearing at which Mr. Buksh was represented by counsel, Alberta Master J.R. Farrington ordered as follow on July 8, 2015:</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mortgage on the Wildwood property was a valid and enforceable mortgage over the mortgage lands.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outstanding, due and owing to the plaintiff (Euro-Canadian mortgage Corp.) under the mortgage the sum of $1,069,113.15, plus costs on a solicitor and client basis on a full indemnity basis, plus interest thereafter at the mortgage rate, plus other amounts chargeable under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addition to the usual terms found in a foreclosure order, the court ordered sale of the property if the indebted amount was not repaid by the redemption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Turning now to the Vance property foreclosure: in his affidavit dated April 23, 2014, attached as Exhibit "R" to Ms. Bernier's affidavit, Mr. Buksh restated the same assertions he had made in previous affidavits and, in effect, in the materials filed for this application. Also attached as Exhibit "S" to Ms. Bernier's affidavit is a copy of Mr. Buksh's December 8, 2014 affidavit in relation to the Vance property foreclosure proceeding. The contents again effectively repeat the plaintiffs' assertions at the hearing of this matter, and in significant measure, the contents of his April 23, 2014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application originally scheduled for April 24, 2014 was adjourned generally to January 15, 2015. Jenkins J. presided over that hearing.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Reasons of Justice Jenkins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reasonable length, comprehensiveness, and relevance of Jenkins J.'s March 25, 2015 reasons [</w:t>
      </w:r>
      <w:r>
        <w:rPr>
          <w:rFonts w:ascii="arial" w:eastAsia="arial" w:hAnsi="arial" w:cs="arial"/>
          <w:i/>
          <w:color w:val="000000"/>
          <w:sz w:val="20"/>
          <w:lang w:val="en-US" w:eastAsia="en-US" w:bidi="ar-SA"/>
        </w:rPr>
        <w:t>Euro-Canadian Mortgage Corp. v. Buksh</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2015 BCSC 454</w:t>
        </w:r>
      </w:hyperlink>
      <w:r>
        <w:rPr>
          <w:rFonts w:ascii="arial" w:eastAsia="arial" w:hAnsi="arial" w:cs="arial"/>
          <w:color w:val="000000"/>
          <w:sz w:val="20"/>
          <w:lang w:val="en-US" w:eastAsia="en-US" w:bidi="ar-SA"/>
        </w:rPr>
        <w:t xml:space="preserve">] to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warrants setting them out in full as well: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In this foreclosure proceeding, the petitioner, Euro-Canadian Mortgage Corp. ("Euro-Canadian") applies for an order nisi of foreclosure with a redemption period of one day on the basis that the amount owed on the mortgage, which is not in dispute, well exceeds the value of the subject property. The petitioner also seeks standard ancillary relief, which is common in foreclosure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The respondent, Mr. Buksh, opposes the application for an Order Nisi and seeks an order that this proceeding be transferred to the trial list, that Mr. Merkel, the petitioner's previous manager, attend an examination for discovery and seeks production of email correspondence that Mr. Buksh sent between January 1, 2009 and the date his relationship as a mortgage broker with the petitioner was terminated.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There have been seven different properties in foreclosure between the petitioner and its related companies against properties owned by the respondent, Mr. Buksh, and companies controlled by him. I will refer to the property in issue in this proceeding, which is located in Chilliwack, B.C., as the "Vance Property".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Factual Background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The petitioner sold the Vance Property to Mr. Buksh in March of 2011. At that time, Mr. Buksh had been working with the petitioner and its parent company as a mortgage broker. Mr. Buksh had considerable prior experience as a realtor, mortgage broker and developer. He entered into the agreement to purchase the Vance Property with the intention of completing construction of the partly completed residence located on the Vance Property. To finance the purchase, Mr. Buksh granted a mortgage back to the petitioner, which is the subject of these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Upon completion of the construction of the residence, it was Mr. Buksh's intention to register the Vance Property under the New Home Warranty Program of B.C. (the "Program") and then to sell the property on the open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Difficulties were encountered in completing renovations of the residence and securing its registration with the Program. Mr. Buksh required financial assistance to be able to complete the residence, which could not be offered to the general public without registration under the Program.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Mr. Buksh deposed that he then entered into an agreement to sell the Vance Property as a completed residence in April 2011 to a Mr. Khan.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Mr. Buksh took the position that if he had known of the Homeowner's Protection Office's requirement to remediate portions of the residence and obtain home warranty coverage before registration in the Program could be concluded, he would not have purchased the Vance Property. He deposed at para. 13 of his affidavit, made December 8, 2014:</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Euro-Canadian did not alert me to this issue at the time that I entered into the Contract of Purchase and Sale. As a result of this difficulty with the HPO over [the] Vance Property, I lost the Khan Sale. The Khan Sale, had it completed, would be seen both me and Euro-Canadian paid for the Vance Property. If I had known about this HPO issue before I signed the Contract of Purchase and Sale, I would not have agreed to buy the Vance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Subsequently, Mr. Buksh approached Euro-Canadian for financial assistance to allow him to complete the residence. Negotiations between the parties resulted in a "Settlement Agreement and Mutual Release" (the "Settlement") dated August 24, 2011. That agreement related specifically to the Vance Property in Chilliwack and a "settlement, compromise and resolution of the issues resulting from the impediments raised from the New Home Warranty Issue". The Settlement stated as follows:</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Company [Euro-Canadian], while denying all liability, has agreed to pay by way of ex-gratia payment in respect of the New Home Warranty Issue the sum of $110,000.00 in full settlement of all claims of Ahmed [Mr. Buksh] arising out of the New Home Warranty Issue or Ahmed's purchase of the Property;</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to this Agreement acknowledge that the Company will not be responsible for any matters arising or in connection with the New Home Warranty Issue at the Property after payment of the sum referenced in paragraph E above or any other claims related to Ahmed's purchase of the Property. Any and all costs going forward with respect to the Property will be the sole responsibility of Ahmed.</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to this Agreement further agree that interest owing on the mortgage granted by Ahmed to the Company against the Property is waived from the date the mortgage was granted. However, interest will be charged as set out in the mortgage from the date that this Agreement is executed. More particularly, the interest rate, term, amortization schedule, and monthly payments will be identical to the registered mortgage against the Property save and except for the postponement provisions set out in this Agreement with the mortgage term and any other terms being extended for the same period for which they were postponed.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remaining provisions of the Settlement include a full mutual release, a statement that there were no collateral agreements, representations or warranties other than those contained in the Settlement and that the Settlement did not constitute an admission of liability on the part of either party.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Clause 1 of the Settlement constitutes the mutual release, and states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NOW THEREFORE THIS SETTLEMENT AGREEMENT AND MUTUAL RELEASE WITNESSES that the Parties agree as follows:</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Parties, and each of them, on their own behalf and on behalf of their current and former employees, representatives, companies, corporations, business entities, officers, directors, shareholders, partners, joint venturers, insurers, trustees, executors, creditors, agents, attorneys, heirs, dependents, predecessors, successors, assigns, parents, subsidiaries, affiliates, related companies, and controlling persons, past and present, and each of them, </w:t>
      </w:r>
      <w:r>
        <w:rPr>
          <w:rFonts w:ascii="arial" w:eastAsia="arial" w:hAnsi="arial" w:cs="arial"/>
          <w:i/>
          <w:color w:val="000000"/>
          <w:sz w:val="20"/>
          <w:lang w:val="en-US" w:eastAsia="en-US" w:bidi="ar-SA"/>
        </w:rPr>
        <w:t>hereby release and forever discharge the other Parties</w:t>
      </w:r>
      <w:r>
        <w:rPr>
          <w:rFonts w:ascii="arial" w:eastAsia="arial" w:hAnsi="arial" w:cs="arial"/>
          <w:color w:val="000000"/>
          <w:sz w:val="20"/>
          <w:lang w:val="en-US" w:eastAsia="en-US" w:bidi="ar-SA"/>
        </w:rPr>
        <w:t>, and each of their respective current and former employees, representatives, companies, corporations, business entities, officers, directors, shareholders, partners, joint venturers, insurers, trustees, executors, creditors, agents, attorneys, heirs, dependents, predecessors, successors, assigns, parents, subsidiaries, affiliates, related companies, and controlling persons, past and present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Clause 1 is unusual in that the clause does not specifically state what claims each party is releasing. It is only when one reads the Settlement in its entirety, specifically recital F reproduced above, that clause 1 refers to the "New Home Warranty Issue...or any other claims related to Ahmed's purchase of the Property" to indicate what claims may be released between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Upon execution of the Settlement, the sum of $110,000.00 was paid by Euro-Canadian to the respondent as contemplated in the Settlement.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The respondent failed to make payments under the mortgage and after demand, this foreclosure proceeding was commenced on December 13, 2013.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In an affidavit in response to the petition, Mr. Buksh deposed that he was never aware of the existence of portions of the original Agreement of Purchase and Sale, and that the appendix to the Agreement of Purchase and Sale includes Mr. Buksh's forged signature of. Mr. Buksh also alleged there was an agreement that he did not have to make payments on the mortgage of the Vance Property and that Euro-Canadian would return post-dated cheques he had provided to Euro-Canadian for monthly payments that were to come due. Mr. Buksh further deposed that Euro-Canadian agreed that until the Vance Property was sold, there would be no interest accruing on the mortgage. Finally, Mr. Buksh seeks an order to examine under oath Warren Merkel, the petitioner's previous manager.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Mr. Buksh also deposed that as of December 8, 2014, the Vance Property did not have HPO coverage, the effect of which is that the Vance Property could not be sold.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The amount claimed to be due under the mortgage is not in dispute. The principal balance and interest to December 12, 2013, the date of issuance of the petition in this proceeding, is $959,550.17, together with interest thereafter in an amount of $301.03 per diem and costs. The total amount owing on the mortgage is easily in excess of $1,000,000 at the present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The only evidence of the Vance Property's market value is contained in a "Residential Drive-By Report" prepared by an appraiser employed by of Fraser Valley Appraisals Ltd. dated March 19, 2014, which appraised the market value as between $725,000 and $800,000. The stated reason why only a "Drive-By" report was available was a statement by the appraiser that Mr. Buksh "would not allow access to the property". In the report, the appraiser relied in part upon the details of a previous listing of the Vance Property in 2013 and research of comparable properties.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I also make brief reference to the other properties owned by Mr. Buksh which are secured by mortgages held by Euro-Canadian and companies associated with Euro-Canadian, all of which have been or continue to be in foreclosure.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Conclusion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w:t>
      </w:r>
      <w:r>
        <w:rPr>
          <w:rFonts w:ascii="arial" w:eastAsia="arial" w:hAnsi="arial" w:cs="arial"/>
          <w:color w:val="000000"/>
          <w:sz w:val="20"/>
          <w:u w:val="single"/>
          <w:lang w:val="en-US" w:eastAsia="en-US" w:bidi="ar-SA"/>
        </w:rPr>
        <w:t>The Settlement is a complete answer to the allegations raised by the respondent. In spite of the unusual wording of clause 1 of the Settlement, which does not specify what is being released between the parties, reading the Settlement as a whole leads to the only logical conclusion I can come to, which is that it was intended to be a release of any and all claims relating to the new "Home Warranty Issue", a defined term in the Settlement, and "Ahmed's [Mr. Buksh's] purchase of the Property". All of Mr. Buksh's allegations relate to the "New Home Warranty Issue" and to the purchase of the Vance Property. Accordingly, I conclude that he Settlement was an all-inclusive settlement of those claims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The petitioner is entitled to the relief claimed in the statement of relief sought filed in support of this application, which includes an order nisi with a one-day period of redemption, costs on Scale B and a judgment against the respondent in the sum of $959,587.16 plus interest to the date of judgment at $301.03 per diem from December 13, 2013.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[21] The relief sought by the respondent in the notice of application filed January 8, 2015 seeking to transfer this proceeding to the trial list, an examination for discovery of Mr. Merkel and for production of specified email correspondence is dismissed for the same reason: that the Settlement is a complete defence and answer to the allegations raised by the respondent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In terms of costs, I find that the petitioner is entitled to its costs under Scale B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As mentioned, the defendants' primary position is that the plaintiffs' present claims were considered and disposed of in the aforementioned foreclosure proceedings and should be struck based on the doctrine of estoppel by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Rule 9-5(1)(d) of the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xml:space="preserve"> applies to applications to strike pleadings on this basis: see </w:t>
      </w:r>
      <w:r>
        <w:rPr>
          <w:rFonts w:ascii="arial" w:eastAsia="arial" w:hAnsi="arial" w:cs="arial"/>
          <w:i/>
          <w:color w:val="000000"/>
          <w:sz w:val="20"/>
          <w:lang w:val="en-US" w:eastAsia="en-US" w:bidi="ar-SA"/>
        </w:rPr>
        <w:t>Lehndorff Management Ltd. v. L.R.S. Development Enterprises Ltd.</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[1980] B.C.J. No. 2</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Lehndorff Management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World Wide Treasure Adventures Inc. v. Trivia Games Inc.</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[1996] B.C.J. No. 21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World Wide Treasure Adventures</w:t>
      </w:r>
      <w:r>
        <w:rPr>
          <w:rFonts w:ascii="arial" w:eastAsia="arial" w:hAnsi="arial" w:cs="arial"/>
          <w:color w:val="000000"/>
          <w:sz w:val="20"/>
          <w:lang w:val="en-US" w:eastAsia="en-US" w:bidi="ar-SA"/>
        </w:rPr>
        <w:t>]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Lehndorff Management</w:t>
      </w:r>
      <w:r>
        <w:rPr>
          <w:rFonts w:ascii="arial" w:eastAsia="arial" w:hAnsi="arial" w:cs="arial"/>
          <w:color w:val="000000"/>
          <w:sz w:val="20"/>
          <w:lang w:val="en-US" w:eastAsia="en-US" w:bidi="ar-SA"/>
        </w:rPr>
        <w:t xml:space="preserve"> at paras. 14-16, Mr. Justice Carrothers described the principles that govern applications to strike claims on the basis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If the maxim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applies in the circumstances of this case, that is, the judicial decision and order in the foreclosure proceedings deal with the very causes and issues in the present action and, except on appeal, cannot be contradicted, the order ought to go striking out the endorsement on the writ of summons and the statement of claim and dismissing the present action either on the ground that the present action "is unnecessary, scandalous, frivolous or vexatious" (Supreme Court Rule 19 (24(b)) or on the ground that the present action "is otherwise an abuse of process of the Court" (Supreme Court Rule 19 (24) (d)), or on both grounds. The rule is designed for the preliminary elimination of claims unsupportable in law: </w:t>
      </w:r>
      <w:r>
        <w:rPr>
          <w:rFonts w:ascii="arial" w:eastAsia="arial" w:hAnsi="arial" w:cs="arial"/>
          <w:i/>
          <w:color w:val="000000"/>
          <w:sz w:val="20"/>
          <w:lang w:val="en-US" w:eastAsia="en-US" w:bidi="ar-SA"/>
        </w:rPr>
        <w:t>British Columbia Power Corporation Limited v. Attorney-General of British Columbia et al</w:t>
      </w:r>
      <w:r>
        <w:rPr>
          <w:rFonts w:ascii="arial" w:eastAsia="arial" w:hAnsi="arial" w:cs="arial"/>
          <w:color w:val="000000"/>
          <w:sz w:val="20"/>
          <w:lang w:val="en-US" w:eastAsia="en-US" w:bidi="ar-SA"/>
        </w:rPr>
        <w:t xml:space="preserve">. (1962) 38 W.W.R. 657 at 675. However, a review of the authorities is necessary to ascertain the applicability in this case of the principle or defence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This problem is not new. In 1843, Vice-Chancellor Wigram had this to say about it, as settled law at that distant time, in </w:t>
      </w:r>
      <w:r>
        <w:rPr>
          <w:rFonts w:ascii="arial" w:eastAsia="arial" w:hAnsi="arial" w:cs="arial"/>
          <w:i/>
          <w:color w:val="000000"/>
          <w:sz w:val="20"/>
          <w:lang w:val="en-US" w:eastAsia="en-US" w:bidi="ar-SA"/>
        </w:rPr>
        <w:t>Henderson v. Henderson</w:t>
      </w:r>
      <w:r>
        <w:rPr>
          <w:rFonts w:ascii="arial" w:eastAsia="arial" w:hAnsi="arial" w:cs="arial"/>
          <w:color w:val="000000"/>
          <w:sz w:val="20"/>
          <w:lang w:val="en-US" w:eastAsia="en-US" w:bidi="ar-SA"/>
        </w:rPr>
        <w:t xml:space="preserve"> (1843) 3 Hare 100 at 114-5; 67 E.R. 313: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believe I state the rule of the Court correctly when I say that, where a given matter becomes the subject of litigation in, and of adjudication by, a Court of competent jurisdiction, the Court requires the parties to that litigation to bring forward their whole case, and will not (</w:t>
      </w:r>
      <w:r>
        <w:rPr>
          <w:rFonts w:ascii="arial" w:eastAsia="arial" w:hAnsi="arial" w:cs="arial"/>
          <w:i/>
          <w:color w:val="000000"/>
          <w:sz w:val="20"/>
          <w:lang w:val="en-US" w:eastAsia="en-US" w:bidi="ar-SA"/>
        </w:rPr>
        <w:t>except under special circumstances</w:t>
      </w:r>
      <w:r>
        <w:rPr>
          <w:rFonts w:ascii="arial" w:eastAsia="arial" w:hAnsi="arial" w:cs="arial"/>
          <w:color w:val="000000"/>
          <w:sz w:val="20"/>
          <w:lang w:val="en-US" w:eastAsia="en-US" w:bidi="ar-SA"/>
        </w:rPr>
        <w:t xml:space="preserve">) permit the same parties to open the same subject of litigation in respect of matter which might have been brought forward as part of the subject in contest, but which was not brought forward, only because they have,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inadvertence, or even accident, omitted part of their case. The plea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applies, </w:t>
      </w:r>
      <w:r>
        <w:rPr>
          <w:rFonts w:ascii="arial" w:eastAsia="arial" w:hAnsi="arial" w:cs="arial"/>
          <w:i/>
          <w:color w:val="000000"/>
          <w:sz w:val="20"/>
          <w:lang w:val="en-US" w:eastAsia="en-US" w:bidi="ar-SA"/>
        </w:rPr>
        <w:t>except in special cases</w:t>
      </w:r>
      <w:r>
        <w:rPr>
          <w:rFonts w:ascii="arial" w:eastAsia="arial" w:hAnsi="arial" w:cs="arial"/>
          <w:color w:val="000000"/>
          <w:sz w:val="20"/>
          <w:lang w:val="en-US" w:eastAsia="en-US" w:bidi="ar-SA"/>
        </w:rPr>
        <w:t>, not only to points upon which the court was actually required by the parties to form an opinion and pronounce a judgment, but to every point which properly belonged to the subject of litigation, and which the parties, exercising reasonable diligence, might have brought forward at the time.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This passage has been much quoted with approval and followed in the Courts of England and Canada. These subsequent decisions appear to explain the "special circumstances" or "special cases" which render the principle of res judicata inoperative as those where the question of law or fact, which is the subject of the later litigation, is not identical with, or inextricably involved with, the question of law or fact previously decided. The maxim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does not apply to distinct causes of action (</w:t>
      </w:r>
      <w:r>
        <w:rPr>
          <w:rFonts w:ascii="arial" w:eastAsia="arial" w:hAnsi="arial" w:cs="arial"/>
          <w:i/>
          <w:color w:val="000000"/>
          <w:sz w:val="20"/>
          <w:lang w:val="en-US" w:eastAsia="en-US" w:bidi="ar-SA"/>
        </w:rPr>
        <w:t>Hall v. Hall and Hall's Feed &amp; Grain Ltd</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(1959) 15 D.L.R. (2d) 638</w:t>
        </w:r>
      </w:hyperlink>
      <w:r>
        <w:rPr>
          <w:rFonts w:ascii="arial" w:eastAsia="arial" w:hAnsi="arial" w:cs="arial"/>
          <w:color w:val="000000"/>
          <w:sz w:val="20"/>
          <w:lang w:val="en-US" w:eastAsia="en-US" w:bidi="ar-SA"/>
        </w:rPr>
        <w:t>), but it does apply where the second action arises out of the same relationship, and the same subject matter, as the adjudicated action although based upon a different legal conception of the relationship between the parties (</w:t>
      </w:r>
      <w:r>
        <w:rPr>
          <w:rFonts w:ascii="arial" w:eastAsia="arial" w:hAnsi="arial" w:cs="arial"/>
          <w:i/>
          <w:color w:val="000000"/>
          <w:sz w:val="20"/>
          <w:lang w:val="en-US" w:eastAsia="en-US" w:bidi="ar-SA"/>
        </w:rPr>
        <w:t>Morgan Power Apparatus Ltd. v. Flanders Installations Ltd</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(1972) 27 D.L.R. (3d) 249</w:t>
        </w:r>
      </w:hyperlink>
      <w:r>
        <w:rPr>
          <w:rFonts w:ascii="arial" w:eastAsia="arial" w:hAnsi="arial" w:cs="arial"/>
          <w:color w:val="000000"/>
          <w:sz w:val="20"/>
          <w:lang w:val="en-US" w:eastAsia="en-US" w:bidi="ar-SA"/>
        </w:rPr>
        <w:t xml:space="preserve"> B.C.C.A.). It also applies not only to points on which the Court in the first action was actually required by the parties to form an opinion and pronounce a judgment, but to every point which properly belonged to the subject of the first litigation and which the parties, exercising reasonable diligence, might have brought forward at the time (</w:t>
      </w:r>
      <w:r>
        <w:rPr>
          <w:rFonts w:ascii="arial" w:eastAsia="arial" w:hAnsi="arial" w:cs="arial"/>
          <w:i/>
          <w:color w:val="000000"/>
          <w:sz w:val="20"/>
          <w:lang w:val="en-US" w:eastAsia="en-US" w:bidi="ar-SA"/>
        </w:rPr>
        <w:t>Winter v. Dewar</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[1929] 2 W.W.R. 518</w:t>
        </w:r>
      </w:hyperlink>
      <w:r>
        <w:rPr>
          <w:rFonts w:ascii="arial" w:eastAsia="arial" w:hAnsi="arial" w:cs="arial"/>
          <w:color w:val="000000"/>
          <w:sz w:val="20"/>
          <w:lang w:val="en-US" w:eastAsia="en-US" w:bidi="ar-SA"/>
        </w:rPr>
        <w:t xml:space="preserve"> B.C.C.A.). The principle of res judicata would also apply if the issue in the present action was one of the several issues essential for the determination of the whole of the first case, though merely a step in that decision rather than the main point of it (</w:t>
      </w:r>
      <w:r>
        <w:rPr>
          <w:rFonts w:ascii="arial" w:eastAsia="arial" w:hAnsi="arial" w:cs="arial"/>
          <w:i/>
          <w:color w:val="000000"/>
          <w:sz w:val="20"/>
          <w:lang w:val="en-US" w:eastAsia="en-US" w:bidi="ar-SA"/>
        </w:rPr>
        <w:t>Fidelitas Shipping Co. Ltd. v. V/O Exportchleb</w:t>
      </w:r>
      <w:r>
        <w:rPr>
          <w:rFonts w:ascii="arial" w:eastAsia="arial" w:hAnsi="arial" w:cs="arial"/>
          <w:color w:val="000000"/>
          <w:sz w:val="20"/>
          <w:lang w:val="en-US" w:eastAsia="en-US" w:bidi="ar-SA"/>
        </w:rPr>
        <w:t xml:space="preserve"> (1965) 2 All E.R.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World Wide Treasure Adventures</w:t>
      </w:r>
      <w:r>
        <w:rPr>
          <w:rFonts w:ascii="arial" w:eastAsia="arial" w:hAnsi="arial" w:cs="arial"/>
          <w:color w:val="000000"/>
          <w:sz w:val="20"/>
          <w:lang w:val="en-US" w:eastAsia="en-US" w:bidi="ar-SA"/>
        </w:rPr>
        <w:t xml:space="preserve">, Mr. Justice Hinds reviewed </w:t>
      </w:r>
      <w:r>
        <w:rPr>
          <w:rFonts w:ascii="arial" w:eastAsia="arial" w:hAnsi="arial" w:cs="arial"/>
          <w:i/>
          <w:color w:val="000000"/>
          <w:sz w:val="20"/>
          <w:lang w:val="en-US" w:eastAsia="en-US" w:bidi="ar-SA"/>
        </w:rPr>
        <w:t>Lendhorff Management</w:t>
      </w:r>
      <w:r>
        <w:rPr>
          <w:rFonts w:ascii="arial" w:eastAsia="arial" w:hAnsi="arial" w:cs="arial"/>
          <w:color w:val="000000"/>
          <w:sz w:val="20"/>
          <w:lang w:val="en-US" w:eastAsia="en-US" w:bidi="ar-SA"/>
        </w:rPr>
        <w:t xml:space="preserve"> and numerous other authorities in relation to the correct test to be applied in determining an application to strike out a statement of claim as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under the previous Rule 19(24)(d). At para. 37, he concluded that the test is whether it is plain and obvious that the doctrine applies, with the burden resting on the applicant to establish its applicability.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 agree with the position of the defendants. In my view, it is plain and obvious that the doctrine of estoppel by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applies to the plaintiffs' claims. Considering the plaintiffs' pleadings, evidence, and submissions both in these proceedings and in the previous foreclosure proceedings, and in light of the clear and final conclusions reached by Master MacNaughton, Master Farrington, and Jenkins J., it is clear that the court has already decided the issues and disposed of the claims the plaintiffs now seek to advance. It would be an abuse of process, in my view, to permit the plaintiffs to pursue a claim rejected in prior proceedings, alleging a joint venture contractual relationship, including a parol agreement, that prevents the defendants from enforcing the terms of mortgages that have been declared valid and enforceable -- particularly in the face of Jenkins J.'s conclusion that the settlement stands as a complete answer to the plaintiffs' allegations. In my view, I am bound by that finding. In any event, it is logically applicable to the plaintiffs'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Even if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did not apply to the plaintiffs' claims, they are in any event statute-barred by operation of the two-year basic limitation period in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The plaintiffs essentially argue that the defendants breached the terms of the joint venture agreements (as amended) when they began foreclosure proceedings in this province and in Alberta. Those proceedings commenced in December of 2013. Given the circumstances surrounding the alleged breach of contract, including the fact that the plaintiffs were represented by counsel in the foreclosure proceedings, there is no question that the alleged breach would have been immediately discovered pursuant to s. 8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As mentioned, the Notice of Civil Claim in these proceedings was filed in June 2016, thus six months after the limitation period expired. The plaintiffs' claims of fraud, misrepresentation, and forgery are equally statute-barred. The plaintiffs admittedly had concerns by March 2014 with respect to the authenticity of some of the documents related to the sale and purchase of the Vance property. Mr. Buksh sought to excuse the delay by stating he did not know how to go about proving the fraud. However, as noted earlier, he was represented by counsel at the material time, and the documents on which he now relies were extant then as well. He advised the court that his investigation is ongoing and that he would have more information available by trial. I do not find that submission persuasive. Mr. Buksh is a very experienced realtor and has had extensive experience in litigation matters, having been involved in approximately 12 other Supreme Court matters. I accordingly find that the plaintiffs' claims are statute-barred in any event by operation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defendants' applications to strike the plaintiffs' Notice of Civil Claim in its entirety as an abuse of the court's process and to dismiss the plaintiffs' claims against the defendants are granted. The defendants are entitled to their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BROWN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2"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91"/>
          <w:headerReference w:type="default" r:id="rId292"/>
          <w:footerReference w:type="even" r:id="rId293"/>
          <w:footerReference w:type="default" r:id="rId294"/>
          <w:headerReference w:type="first" r:id="rId295"/>
          <w:footerReference w:type="first" r:id="rId29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97" w:history="1">
        <w:r>
          <w:rPr>
            <w:rFonts w:ascii="arial" w:eastAsia="arial" w:hAnsi="arial" w:cs="arial"/>
            <w:b/>
            <w:bCs/>
            <w:i/>
            <w:color w:val="0077CC"/>
            <w:kern w:val="32"/>
            <w:sz w:val="28"/>
            <w:szCs w:val="32"/>
            <w:u w:val="single"/>
            <w:shd w:val="clear" w:color="auto" w:fill="FFFFFF"/>
            <w:lang w:val="en-US" w:eastAsia="en-US" w:bidi="ar-SA"/>
          </w:rPr>
          <w:t>Cameron v. Insurance Corp. of British Columbia, [2000] B.C.J. No. 99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Boyle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29, 30, December 1 and 2, 1999.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10,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S032867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 C.C.L.I. (3d) 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94 A.C.W.S. (3d) 356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Richard Ross Cameron, plaintiff, and Insurance Corporation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3"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1" w:name="Keywords_12"/>
      <w:bookmarkEnd w:id="91"/>
      <w:r>
        <w:rPr>
          <w:rFonts w:ascii="arial" w:eastAsia="arial" w:hAnsi="arial" w:cs="arial"/>
          <w:b/>
          <w:color w:val="000000"/>
          <w:sz w:val="20"/>
          <w:lang w:val="en-US" w:eastAsia="en-US" w:bidi="ar-SA"/>
        </w:rPr>
        <w:t>Insurance — Automobile insurance — Action by insured against insurer, defences — Deliberate act by insured — Burden of proof.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2" w:name="Case Summary_12"/>
            <w:bookmarkEnd w:id="9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action by Cameron to recover under an insurance policy. Cameron's truck went off the road, across a small plateau and off a cliff and was destroyed. Cameron gave various stories as to how the truck came to veer off the road and over a cliff without him in it. He said he was looking for a bear or had seen a bear, and he also said the truck left the road after it hit a rock. Cameron also gave different reasons as to why he was on this isolated road at the time of the accident. He said he was driving at 24 kilometres per hour when he lost control of the vehicle. The I.C.B.C.'s expert examined the scene of the accident and spoke to those who had come on the scene shortly after the incident. The plaintiff's expert did not go to the scene. The I.C.B.C.'s expert said the road was so rough as to generally allow a maximum speed of 10 kilometres per hour. At that speed on the road at the place near the cliff, a driver would generally be able to recover from hitting a rock and get back on the road, according to the expert. Alternatively, the expert testified that it was unlikely Cameron would have been able to get out of the vehicle before it went over the cliff if it left the road at 24 kilometres per hour as Cameron testified. Cameron needed money and had tried to sell the vehicle, but had failed. He purchased short-term insurance to cover the vehicle, and then the accident occurred.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3" w:name="Holdings of Court_12"/>
            <w:bookmarkEnd w:id="93"/>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I.C.B.C. met its high onus of showing that the claim was likely a fraudulent one. Cameron's various versions of events, while not sufficient on their own to demonstrate fraud, supported a conclusion that the claim was not genuine. Further, Cameron's motive to falsify the crash was evident from his need for money, his unsuccessful attempts to sell the vehicle and his purchasing of short-term insurance for the relevant period. The I.C.B.C. expert's evidence was preferable to that of the plaintiff's expert because it was derived from credible information from a site visit. None of the appellant's versions of events were likely to have occurred, according to the expert's evidence accepted by the court. Cameron would have been able to correct his problem if he were driving slowly or he would have gone over the cliff with his vehicle if driving at the speed he claimed.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4" w:name="Legislation Cited_11"/>
      <w:bookmarkEnd w:id="9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4"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Insurance (Motor Vehicle) Act, s. 19.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5" w:name="Counsel_12"/>
      <w:bookmarkEnd w:id="9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5" style="position:absolute;z-index:2517739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 Dykstra and J.A. Miner, for the plaintiff. J.J. Beggs,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6" w:name="Judgment_12"/>
      <w:bookmarkEnd w:id="96"/>
      <w:r>
        <w:pict>
          <v:line id="_x0000_s1096" style="position:absolute;z-index:2518251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7" w:name="BOYLE J._0"/>
            <w:bookmarkEnd w:id="97"/>
            <w:r>
              <w:rPr>
                <w:rFonts w:ascii="arial" w:eastAsia="arial" w:hAnsi="arial" w:cs="arial"/>
                <w:b/>
                <w:color w:val="000000"/>
                <w:sz w:val="30"/>
                <w:lang w:val="en-US" w:eastAsia="en-US" w:bidi="ar-SA"/>
              </w:rPr>
              <w:t>BOYLE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1993 Dodge pick-up went off a forest service access road near Hope August 25,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It was damaged beyond usefulness but retained some value for (I presume) parts. That presumption is based upon later sale of the wrecked vehicle by the plaintiff for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It was insured by the defendant under a "Limited Depreciation Policy". In brief, that policy provides for recovery of the total purchase price where a wrecked vehicle is beyond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has denied liability upon its assertion that the plaintiff deliberately dispatched the pick-up over a cliff in order to make a fraudulent claim of loss. The defendant relies upon s. 19 of the Insurance (Motor Vehicle) Act (then s. 18) ("the Act"). That section provides:</w:t>
      </w:r>
      <w:r>
        <w:rPr>
          <w:rFonts w:ascii="arial" w:eastAsia="arial" w:hAnsi="arial" w:cs="arial"/>
          <w:sz w:val="20"/>
          <w:lang w:val="en-US" w:eastAsia="en-US" w:bidi="ar-SA"/>
        </w:rPr>
        <w:cr/>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insured commits a fraud in respect of this Act, or</w:t>
      </w:r>
    </w:p>
    <w:p>
      <w:pPr>
        <w:numPr>
          <w:numId w:val="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insured makes a wilfully false statement with respect to a claim under a plan,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all claims by or in respect of the applicant or the insured are rendered invalid, and his or her right and the right of a person claiming through or on behalf of or as a dependent of the applicant or the insured to benefits and insurance money is forfeited.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is a hunter.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He gave different reasons at various times for being on the road in the early evening. All were related to hunting. They were: to see if the road was passable; to scout for bears; to locate a campsite.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truck went over the edge to its right at a narrow point of the very rough (Hicks Creek) access road. It was at the site of a recently cleared slide. A bulldozer had cut a path through the slide about one metre above the original route so that the truck, on leaving the roadway, descended one metre down a sharp slope to another very narrow level stretch before going over the cliff. The plaintiff testified he saw nothing but air under him but was able to jump free just as the truck went over. He, himself, did not tumble down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offered different explanations at different times in and out of court for the incident. He went backward and forward from momentary inattention, looking for bear, seeing a bear, simply being too close to the edge and hitting a rock which threw the front wheels off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was no mention of looking for or of belief in having spotted a bear in police records of the event. Those notes (combined) indicate a report of driving too close to the edge, hitting a rock and "sliding" off the edge. (I have not weighed as admissible the Dial-A-Claim operator's notes but have the R.C.M.P. dispatcher's record. Those R.C.M.P. notes were not formally proven but were not challenged and are kept as part of the record openly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revisited the scene with a tow truck driver (Modersbach) in the evening of the day the truck went over the cliff. The driver testified the plaintiff told him the truck had hit a rock. He told an I.C.B.C. investigator (Loos) the same 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 endorsed the insurance claim form which stated he had seen a bear.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inconsistent versions of the event must be assessed as going to the credibility and/or reliability of the plaintiff's evidence. The question is: are the versions sufficiently distinct as to show the unlikelihood of truth, or are the different explanations probably part and parcel of a single explanation, each explanation omitting some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Given the stringent test (see below) required for proof of fraud, the different accounts do not immediately destroy the plaintiff's credibility because one does not necessarily exclude another. That conclusion leaves the expert evidence critical to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to cause, the defendant offered the expert evidence of a professional engineer, Timothy Leggett.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also offered expert engineering evidence (Jeffrey Nielsen).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accepted the factual evidence of the expert for the defendant wherever it was inconsistent with the evidence at trial of the expert for the plaintiff. A principle reason for that conclusion was that the former - some weeks after the event - had visited the scene accompanied by the tow truck operator who had been present when the plaintiff's vehicle was recovered and who had been there in the evening of the day the truck went over the cliff. (On that first evening the tow truck operator did no more than look over the scene, climb down to the wreck and determine two trucks would be required for the lift.) Mr. Nielsen did not visit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conclusions reached by the plaintiff's expert were largely based upon assumptions made from photographs. Those assumptions in turn were based upon a conclusion he reached that no relevant tire tracks were apparent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were relevant tire tracks. Both the engineer for the defendant and the tow truck operator attested to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Leggett's initial report assumed a speed of 10 k.p.h., based upon his own experience of driving up the "nearly impassible" road - more trail than road. His evidence (in my summary) was that, at 10 k.p.h., there would be time to correct a sudden, inadvertent change in the direction of travel. In his opinion, the truck had gone off the road at 55 [degrees] - its maximum turning radius. He testified it was impossible that hitting a rock would cause the maximum change in direction - as if there had been a one-and-three-quarters turn of the steering wheel.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Alternatively, Mr. Leggett testified that, if the plaintiff had been travelling in the 24 k.p.h. range, as the plaintiff asserted he had, then the plaintiff would not have had time to jump clear. That opinion was based upon a perception/response table (Olsen) accepted by each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Leggett's conclusion was that the truck fell in a direct line from the road edge. He reached that conclusion by assessing the turn radius shown by the tire tracks and by following the line of debris down the bank. He concluded those indicators were consistent with the truck having been driven over the cliff, not with it having slid over from a sudden lurching of the front wheels to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One photo exhibited at trial suggested - from a mark indicating the truck's final resting place to the left of the debris - that the line of fall might not have been direct but I preferred the eye witness site evidence of Mr. Leggett.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accepted the evidence of Mr. Leggett that, based on the tire marks, the truck left the road in a manner not commensurate with the event as described by the plaintiff of the steering wheel having been jerked from his hands or of the vehicle simply drifting over the edge as he looked around. Mr. Leggett's evidence was that, had the wheel been left free, there would have been a tendency for the truck to correct any veering to the right with the consequence that the truck would have followed a path less than directly down the cliff.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Leggett found no evidence of counter-steering, no evidence of braking. Each expert agreed braking would be the anticipated instant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described a minor injury. It was not supported by medical evidence. His own evidence was that he was able to walk quickly to the more travelled Silver Skagit Road where he thumbed a ride. His clothes were not damaged or unduly dirty.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is reason to find motive. The plaintiff had earlier put his truck up for sale without success. He had an offer of $22,000, perhaps $3,000 more on a trade-in.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After a regular programme of payments following purchase, in the few months preceding the truck going over the bank he had run into financial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limited depreciation policy was due to expire September 16, 1995, about three weeks from the truck's demise.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had been able to afford re-insurance for the usual collision loss and protection for a limited period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would be unsafe to draw any conclusions from evidence that certain parts and equipment were missing from the truck after it was recovered and placed in a storage yard. That is so because there was an indication that someone unknown visited the wreck between the time it was seen by the tow truck operator on the night it went over the bank and the next day when it was recovered. Further, it was in two salvage yards soon after so, all in all, any suspicion has to be put aside by other reasonable possibilities despite the evidence of a qualified mechanic (Bowering) that the nature of the structural damage would have been different if the now missing parts and attachments had been in place at the time of the plunge.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evidence does not support a finding of the speed the vehicle was travelling as it went off the road but that is not a matter essential to decision. If it was travelling at about 10 k.p.h., there would have been time to correct or to make an effort to correct which would have been observable from the tire tracks but there was no such indication. If it was travelling at 24 k.p.h., there would not have been time to jump unless planned (Leggett).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No question was put in cross-examination directly to the plaintiff such as: "Isn't it true that you deliberately sent your truck over the bank?" or "Isn't it true that your right front wheel never hit a rock that caused you to lose control and that your statements were false?" Questions of that kind may be pro forma but they should be asked so that a plaintiff has a chance to answer but, in this instance, despite that omission, the evidence leaves a high degree of probability that the truck was steered deliberately and did not go over the cliff by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That leaves the defendant's assertion of fraud to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standard of proof, where fraud is raised as a defence in a civil case, has been set out in terms which call for no fresh trial court definition although the test is troublesome and is not precise.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Edwards v. Insurance Corporation of British Columbia, </w:t>
      </w:r>
      <w:hyperlink r:id="rId298" w:history="1">
        <w:r>
          <w:rPr>
            <w:rFonts w:ascii="arial" w:eastAsia="arial" w:hAnsi="arial" w:cs="arial"/>
            <w:i/>
            <w:color w:val="0077CC"/>
            <w:sz w:val="20"/>
            <w:u w:val="single"/>
            <w:shd w:val="clear" w:color="auto" w:fill="FFFFFF"/>
            <w:lang w:val="en-US" w:eastAsia="en-US" w:bidi="ar-SA"/>
          </w:rPr>
          <w:t>[1995] B.C.J. No. 2091</w:t>
        </w:r>
      </w:hyperlink>
      <w:r>
        <w:rPr>
          <w:rFonts w:ascii="arial" w:eastAsia="arial" w:hAnsi="arial" w:cs="arial"/>
          <w:color w:val="000000"/>
          <w:sz w:val="20"/>
          <w:lang w:val="en-US" w:eastAsia="en-US" w:bidi="ar-SA"/>
        </w:rPr>
        <w:t>, by Holmes J. of this court put it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defences of fraud and arson are of the most serious allegations that can arise in civil proceedings. The standard of proof to be applied is a balance of probabilities (Haines v. Wawanesa, </w:t>
      </w:r>
      <w:hyperlink r:id="rId299" w:history="1">
        <w:r>
          <w:rPr>
            <w:rFonts w:ascii="arial" w:eastAsia="arial" w:hAnsi="arial" w:cs="arial"/>
            <w:i/>
            <w:color w:val="0077CC"/>
            <w:sz w:val="20"/>
            <w:u w:val="single"/>
            <w:shd w:val="clear" w:color="auto" w:fill="FFFFFF"/>
            <w:lang w:val="en-US" w:eastAsia="en-US" w:bidi="ar-SA"/>
          </w:rPr>
          <w:t>[1963] S.C.R. 154</w:t>
        </w:r>
      </w:hyperlink>
      <w:r>
        <w:rPr>
          <w:rFonts w:ascii="arial" w:eastAsia="arial" w:hAnsi="arial" w:cs="arial"/>
          <w:color w:val="000000"/>
          <w:sz w:val="20"/>
          <w:lang w:val="en-US" w:eastAsia="en-US" w:bidi="ar-SA"/>
        </w:rPr>
        <w:t xml:space="preserve">), however, the degree of proof will vary with the gravity of the allegations contained in the defence to the action. Mr. Justice Macfarlane in Hanlon v. The Insurance Corporation of British Columbia, </w:t>
      </w:r>
      <w:hyperlink r:id="rId300" w:history="1">
        <w:r>
          <w:rPr>
            <w:rFonts w:ascii="arial" w:eastAsia="arial" w:hAnsi="arial" w:cs="arial"/>
            <w:i/>
            <w:color w:val="0077CC"/>
            <w:sz w:val="20"/>
            <w:u w:val="single"/>
            <w:shd w:val="clear" w:color="auto" w:fill="FFFFFF"/>
            <w:lang w:val="en-US" w:eastAsia="en-US" w:bidi="ar-SA"/>
          </w:rPr>
          <w:t>[1983] B.C.J. No. 675</w:t>
        </w:r>
      </w:hyperlink>
      <w:r>
        <w:rPr>
          <w:rFonts w:ascii="arial" w:eastAsia="arial" w:hAnsi="arial" w:cs="arial"/>
          <w:color w:val="000000"/>
          <w:sz w:val="20"/>
          <w:lang w:val="en-US" w:eastAsia="en-US" w:bidi="ar-SA"/>
        </w:rPr>
        <w:t xml:space="preserve"> (B.C.C.A.), considered the applicable standard and summarized it 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do not question for a moment that the standard of proof is proof on a balance of probabilities, but the degree of proof required to meet that standard varies with the gravity of the offence involved in the defence of the civil action ... and with the seriousness of the consequences of such a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Justice Macfarlane took pains to reaffirm: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regard such an approach as a departure from the standard of proof based on a balance of probabilities nor as supporting a shifting standard.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in all civil cases is what evidence with what weight that is accorded to it will move the court to conclude that proof on a balance of probabilities has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Bater v. Bater, [1950] 2 All E.R. 458 at 459 (cited in Hanes), Lord Denning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civil court, when considering a charge of fraud, will naturally require a higher degree of probability than that which it would require if considering whether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established. It does not adopt so high a degree as a criminal court ... but still it does require a degree of probability which is commensurate with the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Cowan J. in A.K. v. Dominion of Canada General Insurance Co. </w:t>
      </w:r>
      <w:hyperlink r:id="rId301" w:history="1">
        <w:r>
          <w:rPr>
            <w:rFonts w:ascii="arial" w:eastAsia="arial" w:hAnsi="arial" w:cs="arial"/>
            <w:i/>
            <w:color w:val="0077CC"/>
            <w:sz w:val="20"/>
            <w:u w:val="single"/>
            <w:shd w:val="clear" w:color="auto" w:fill="FFFFFF"/>
            <w:lang w:val="en-US" w:eastAsia="en-US" w:bidi="ar-SA"/>
          </w:rPr>
          <w:t>[1997] B.C.J. No. 576</w:t>
        </w:r>
      </w:hyperlink>
      <w:r>
        <w:rPr>
          <w:rFonts w:ascii="arial" w:eastAsia="arial" w:hAnsi="arial" w:cs="arial"/>
          <w:color w:val="000000"/>
          <w:sz w:val="20"/>
          <w:lang w:val="en-US" w:eastAsia="en-US" w:bidi="ar-SA"/>
        </w:rPr>
        <w:t>, found a defendant insurer had established that an insured plaintiff was an arsonist to his (Cowan J.'s) "reasonable satisfaction" and so dismissed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evidence in this case establishes the defendant's claim of fraud to the level of "reasonable satisfaction". It includes:</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calculations and observations of the engineer, Leggett;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going to motive;</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conflict in the plaintiff's explanations of the cause of the incident, (none of which are consistent with Mr. Leggett's observations or conclusions.) Seen first as unreliable, the plaintiff's evidence becomes without credit and without the indices of true belief when weighed against the evidence of Mr. Leggett. The differing explanations for the purpose of the out-of-the-way trip have the same consequence.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plaintiff's claim is dismissed under s. 19(1)(d) and (e)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Costs at Scale Three.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BOYLE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7"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08" w:history="1">
        <w:r>
          <w:rPr>
            <w:rFonts w:ascii="arial" w:eastAsia="arial" w:hAnsi="arial" w:cs="arial"/>
            <w:b/>
            <w:bCs/>
            <w:i/>
            <w:color w:val="0077CC"/>
            <w:kern w:val="32"/>
            <w:sz w:val="28"/>
            <w:szCs w:val="32"/>
            <w:u w:val="single"/>
            <w:shd w:val="clear" w:color="auto" w:fill="FFFFFF"/>
            <w:lang w:val="en-US" w:eastAsia="en-US" w:bidi="ar-SA"/>
          </w:rPr>
          <w:t>C.A.M.J.R. v. P.R.S., [2001] B.C.J. No. 2280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A.F. Wilson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January 22 - 26, 29 - 31, February 1 - 2 and</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March 14 - 15, 2001.</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September 21, 2001.</w:t>
      </w:r>
    </w:p>
    <w:p>
      <w:pPr>
        <w:spacing w:before="120" w:line="260" w:lineRule="atLeast"/>
        <w:jc w:val="center"/>
        <w:rPr>
          <w:lang w:val="en-US" w:eastAsia="en-US" w:bidi="ar-SA"/>
        </w:rPr>
      </w:pPr>
      <w:r>
        <w:rPr>
          <w:rFonts w:ascii="arial" w:eastAsia="arial" w:hAnsi="arial" w:cs="arial"/>
          <w:color w:val="000000"/>
          <w:sz w:val="20"/>
          <w:lang w:val="en-US" w:eastAsia="en-US" w:bidi="ar-SA"/>
        </w:rPr>
        <w:t>New Westminster Registry Nos. S017903, S025376</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[2001] B.C.J. No. 2280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2001 BCSC 1324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109 A.C.W.S. (3d) 536</w:t>
      </w:r>
    </w:p>
    <w:p>
      <w:pPr>
        <w:spacing w:before="120" w:line="260" w:lineRule="atLeast"/>
        <w:rPr>
          <w:lang w:val="en-US" w:eastAsia="en-US" w:bidi="ar-SA"/>
        </w:rPr>
      </w:pPr>
      <w:r>
        <w:rPr>
          <w:rFonts w:ascii="arial" w:eastAsia="arial" w:hAnsi="arial" w:cs="arial"/>
          <w:color w:val="000000"/>
          <w:sz w:val="20"/>
          <w:lang w:val="en-US" w:eastAsia="en-US" w:bidi="ar-SA"/>
        </w:rPr>
        <w:t>Between C.A.M.J.R., plaintiff, and P.R.S. and A.P.S., defendants (New Westminster Registry No. S017903) And between S.S. and L.S., plaintiffs, and P.R.S. and A.P.S., defendants (New Westminster Registry No. S025376)</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98" style="position:absolute;z-index:25167257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98" w:name="Keywords_13"/>
      <w:bookmarkEnd w:id="98"/>
      <w:r>
        <w:rPr>
          <w:rFonts w:ascii="arial" w:eastAsia="arial" w:hAnsi="arial" w:cs="arial"/>
          <w:b/>
          <w:color w:val="000000"/>
          <w:sz w:val="20"/>
          <w:lang w:val="en-US" w:eastAsia="en-US" w:bidi="ar-SA"/>
        </w:rPr>
        <w:t>Torts — Trespass — Trespass to person — Assault and battery — Sexual assault — Burden of proof.</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99" w:name="Case Summary_13"/>
            <w:bookmarkEnd w:id="99"/>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CR and SS for damages arising from alleged sexual abuse by their brother, PS, when they were children. The parties were from a family of ten children. PS was the oldest child. The family lived in somewhat cramped circumstances, on social assistance. CR and SS claimed that PS regularly masturbated in front of them, and that he compelled them to masturbate him. CR also said that she agreed to his requests for fellatio, which acts she recalled when having oral sex with her husband. Neither woman recalled sexual intercourse with PS, although SS deduced that it might have taken place from the fact that she did not seem to be a virgin in adulthood and her mother told her she had fallen on a stick. PS admitted to walking around the house in his underwear and that his sisters sometimes were on his bed and those of his brothers. He denied any sexual contact with his sisters and said that he frequently was away working on a ferry during the times CR and SS accused him of assaulting them. </w:t>
            </w:r>
            <w:r>
              <w:rPr>
                <w:lang w:val="en-US" w:eastAsia="en-US" w:bidi="ar-SA"/>
              </w:rPr>
              <w:cr/>
            </w:r>
          </w:p>
          <w:p>
            <w:pPr>
              <w:spacing w:before="120" w:line="260" w:lineRule="atLeast"/>
              <w:ind w:left="240"/>
              <w:jc w:val="both"/>
              <w:rPr>
                <w:lang w:val="en-US" w:eastAsia="en-US" w:bidi="ar-SA"/>
              </w:rPr>
            </w:pPr>
            <w:bookmarkStart w:id="100" w:name="Holdings of Court_13"/>
            <w:bookmarkEnd w:id="100"/>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While CR and SS honestly believed the allegations and the court suspected that some sexual assault took place, the sisters had not proved their case on the high degree of probability necessary. There were too many discrepancies, inferences and inconsistencies in their evidence that exceed normal discrepancies when adults revisited their childhoods. CR and SS seemed to have elaborated on or exaggerated the memories. </w:t>
            </w:r>
            <w:r>
              <w:rPr>
                <w:lang w:val="en-US" w:eastAsia="en-US" w:bidi="ar-SA"/>
              </w:rPr>
              <w:cr/>
            </w:r>
          </w:p>
          <w:p>
            <w:pPr>
              <w:rPr>
                <w:lang w:val="en-US" w:eastAsia="en-US" w:bidi="ar-SA"/>
              </w:rPr>
            </w:pPr>
          </w:p>
        </w:tc>
      </w:tr>
    </w:tbl>
    <w:p>
      <w:pPr>
        <w:jc w:val="both"/>
        <w:rPr>
          <w:lang w:val="en-US" w:eastAsia="en-US" w:bidi="ar-SA"/>
        </w:rPr>
      </w:pPr>
      <w:bookmarkStart w:id="101" w:name="Counsel_13"/>
      <w:bookmarkEnd w:id="10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99" style="position:absolute;z-index:25172377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D.W. Harvey, for the plaintiffs, C.A.M.J. and S.S. H. Maier, for the defendant, P.R.S.</w:t>
      </w:r>
      <w:r>
        <w:rPr>
          <w:lang w:val="en-US" w:eastAsia="en-US" w:bidi="ar-SA"/>
        </w:rPr>
        <w:cr/>
      </w:r>
    </w:p>
    <w:p>
      <w:pPr>
        <w:spacing w:after="240"/>
        <w:rPr>
          <w:lang w:val="en-US" w:eastAsia="en-US" w:bidi="ar-SA"/>
        </w:rPr>
      </w:pPr>
      <w:bookmarkStart w:id="102" w:name="Judgment_13"/>
      <w:bookmarkEnd w:id="102"/>
      <w:r>
        <w:pict>
          <v:line id="_x0000_s1100" style="position:absolute;z-index:25177497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03" w:name="A.F. WILSON J."/>
            <w:bookmarkEnd w:id="103"/>
            <w:r>
              <w:rPr>
                <w:rFonts w:ascii="arial" w:eastAsia="arial" w:hAnsi="arial" w:cs="arial"/>
                <w:b/>
                <w:color w:val="000000"/>
                <w:sz w:val="30"/>
                <w:lang w:val="en-US" w:eastAsia="en-US" w:bidi="ar-SA"/>
              </w:rPr>
              <w:t>A.F. WILSON J.</w:t>
            </w:r>
          </w:p>
        </w:tc>
      </w:tr>
    </w:tbl>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w:t>
            </w:r>
          </w:p>
        </w:tc>
        <w:tc>
          <w:tcPr>
            <w:tcW w:w="860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INTRODUCTION</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these two actions, tried together by the consent of the parties, the plaintiffs, C.A.M.J.R. and S.S., claim damages arising from sexual abuse, alleged to have occurred during their childhood, by their brother, P.R.S. In the action commenced by Ms. C.A.M.J.R. ("the R. action") there were also claims of sexual abuse made against another brother, A.P.S. However, an order was entered on January 18th, 2001, consenting to the dismissal of the proceeding against him. In the action in which Ms. S.S. is one of the plaintiffs ("the S. action") there are also claims by a third sister, L.S., against A.P.S., but those were also dismissed, by consent, by an order entered January 18th, 2001. The remaining claims are thus those of Ms. C.A.M.J.R. and Ms. S.S. against Mr. P.R.S.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II</w:t>
            </w:r>
          </w:p>
        </w:tc>
        <w:tc>
          <w:tcPr>
            <w:tcW w:w="860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FAMILY BACKGROUND</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For convenience, I will refer to each of the S. children by the name he or she was known in the family.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were ten children in the S. family. The oldest is P.R.S., who was born on July 31st, 1941, in Montreal. He lives in Surrey, and is employed by Seaspan International, which bought out the ferry portion of C.P. Rail, for which P.R.S. had worked since 1958. P.R.S. married S.P. on September 23rd, 1967. They have two adult children, and live in Surrey. Next was D., who was born November 5th, 1942. She married in 1966 and is now D.K. She has two children, and lives in Delta. Next was A.P.S., known as T., who was born on September 30th, 1947. Next was C.L., who was born on February 2nd, 1950. She married B.L., has two children, and lives in Port McNeil. Next was S.S., who was born on October 1st, 1951. She is married to F.S., her second marriage, and lives in Fort St. John. She has three children from her previous marriage with J.H. Another child, D., died in 1977. The next children were D. and J., who took no part in this proceeding. The eighth child was C.A.M.J.R., who was born on November 5th, 1955. She was married to N.R., and they had one son. Mr. N.R. died on October 13th, 1999. She lives in Cloverdale, and has been a collection officer for the Fraser Valley Credit Union for the last ten years. The next child was H., who also took no part in this matter. The youngest child was L.S., born January 29th, 1958. She married R.S. approximately ten years ago, her second marriage, and has three children. She lives in Langley, and is self-employed, running a family daycare centre at home.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family lived in Quebec until 1956, when they moved to British Columbia. Mr. S. had a heart condition, and was not able to work while the children were growing up. Mrs. S. did not work outside the home. The family was thus on social assistance, supplemented by Mr. S. collecting, fixing up and selling scrap, and raising animals, including rabbits and guinea pigs. Mrs. S. died in 1989, and Mr. S. in 1997.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Before the move to British Columbia, the family lived on a farm in Rodeo, Quebec. They then moved to a house in Vancouver, where they remained for a few months. They then moved to a small house in Cloverdale, near the fairgrounds. They were only there for a few months, then moved to a house on #10 Highway, between Surrey and Cloverdale. They were there for about one year, then moved to a home near Queen Elizabeth High School in Surrey. After being there about a year, they moved to a house on Pacific Highway in Cloverdale, near the fairgrounds. They were there in or around the years of 1959 to 1961. The family then moved to a house Mr. and Mrs. S. had built on 105A Avenue in Surrey, near the Guildford Mall.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Apart from one incident when S.S. was about 5, the sexual abuse is alleged to have started at the house on Pacific Highway. That house had two levels. On the main level was the living room, kitchen, a room occupied by C.L. and D.K. at one end, and their parents at the other end. On the upper floor there were two rooms, one where the other three sisters slept, and the other where the five boys slept. The house on 105A Avenue also had two levels. On the upper level, as well as a living room and kitchen, there were three bedrooms. C.A.M.J.R. and L.S. occupied one of them. There was one bedroom downstairs occupied by the three younger boys, and a family room, where the television was, where P.R.S. and A.P.S. had Murphy beds.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III CREDIBILITY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As in every civil case, the onus is on the plaintiffs to prove their respective cases on the balance of probabilities. However, where the claims allege criminal acts, such as sexual abuse, a higher degree of probability within the civil standard is applicable. This was considered by Prowse J.A. in B.(M.) v. British Columbia </w:t>
      </w:r>
      <w:hyperlink r:id="rId309" w:history="1">
        <w:r>
          <w:rPr>
            <w:rFonts w:ascii="arial" w:eastAsia="arial" w:hAnsi="arial" w:cs="arial"/>
            <w:i/>
            <w:color w:val="0077CC"/>
            <w:sz w:val="20"/>
            <w:u w:val="single"/>
            <w:shd w:val="clear" w:color="auto" w:fill="FFFFFF"/>
            <w:lang w:val="en-US" w:eastAsia="en-US" w:bidi="ar-SA"/>
          </w:rPr>
          <w:t>(2001), 87 B.C.L.R. (3d) 12</w:t>
        </w:r>
      </w:hyperlink>
      <w:r>
        <w:rPr>
          <w:rFonts w:ascii="arial" w:eastAsia="arial" w:hAnsi="arial" w:cs="arial"/>
          <w:color w:val="000000"/>
          <w:sz w:val="20"/>
          <w:lang w:val="en-US" w:eastAsia="en-US" w:bidi="ar-SA"/>
        </w:rPr>
        <w:t xml:space="preserve"> at para. 25:</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am unable to agree that Madam Justice Levine failed to apply the correct standard of proof to the evidence before her in coming to the conclusion that Mr. P. had sexually assaulted the plaintiff. She was fully alive to the fact that the allegations before her were of a criminal nature, and she stated (at para. 69 of her reasons) that she found the relevant facts to be proved "on a standard of 'a high probability' commensurate with the occasion." This standard was referred to by Lord Denning in Bater v. Bater, [1950] 2 All E.R. 458 (Eng. C.A.) in the following passage at p. 459:</w:t>
      </w:r>
    </w:p>
    <w:p>
      <w:pPr>
        <w:spacing w:before="120" w:line="260" w:lineRule="atLeast"/>
        <w:ind w:left="1080"/>
        <w:rPr>
          <w:lang w:val="en-US" w:eastAsia="en-US" w:bidi="ar-SA"/>
        </w:rPr>
      </w:pPr>
      <w:r>
        <w:rPr>
          <w:rFonts w:ascii="arial" w:eastAsia="arial" w:hAnsi="arial" w:cs="arial"/>
          <w:color w:val="000000"/>
          <w:sz w:val="20"/>
          <w:lang w:val="en-US" w:eastAsia="en-US" w:bidi="ar-SA"/>
        </w:rPr>
        <w:t xml:space="preserve">The case may be proved by a preponderance of probability, but there may be degrees of probability within that standard. The degree depends on the subject matter. A civil court, when considering a charge of fraud, will naturally require a higher standard of probability than that which it would require considering whether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established. It does not adopt so high a degree as a criminal court, even when it is considering a charge of a criminal nature, but it still does require a degree of probability which is commensurate with the occasion.</w:t>
      </w:r>
    </w:p>
    <w:p>
      <w:pPr>
        <w:spacing w:before="120" w:line="260" w:lineRule="atLeast"/>
        <w:ind w:left="720"/>
        <w:rPr>
          <w:lang w:val="en-US" w:eastAsia="en-US" w:bidi="ar-SA"/>
        </w:rPr>
      </w:pPr>
      <w:r>
        <w:rPr>
          <w:rFonts w:ascii="arial" w:eastAsia="arial" w:hAnsi="arial" w:cs="arial"/>
          <w:color w:val="000000"/>
          <w:sz w:val="20"/>
          <w:lang w:val="en-US" w:eastAsia="en-US" w:bidi="ar-SA"/>
        </w:rPr>
        <w:t>In my view, this statement is consistent with the general proposition that, while there are only two standards of proof known to our law: the civil standard of proof on a balance of probabilities, and the criminal standard of proof beyond a reasonable doubt, there are degrees of probability within the civil standard to take cognizance of the seriousness of the allegations at stake.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a case such as this, involving activities alleged to have been carried on in private, the matter turns largely on credibility. Before commenting on the evidence, I wish to refer to a number of cases which have assisted me in assessing credibility in this case, particularly in view of the fact that both C.A.M.J.R. and S.S. were young at the time the events were alleged to have occurred. Although these actions are civil, rather than criminal, approaches set out in criminal cases, particularly dealing with sexual assaults, are of assistance.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Regarding the assessment of the credibility of child witnesses, the first in a line of cases in the Supreme Court of Canada is R. v. B.(G) </w:t>
      </w:r>
      <w:hyperlink r:id="rId310" w:history="1">
        <w:r>
          <w:rPr>
            <w:rFonts w:ascii="arial" w:eastAsia="arial" w:hAnsi="arial" w:cs="arial"/>
            <w:i/>
            <w:color w:val="0077CC"/>
            <w:sz w:val="20"/>
            <w:u w:val="single"/>
            <w:shd w:val="clear" w:color="auto" w:fill="FFFFFF"/>
            <w:lang w:val="en-US" w:eastAsia="en-US" w:bidi="ar-SA"/>
          </w:rPr>
          <w:t>(1990), 56 C.C.C. (3d) 200</w:t>
        </w:r>
      </w:hyperlink>
      <w:r>
        <w:rPr>
          <w:rFonts w:ascii="arial" w:eastAsia="arial" w:hAnsi="arial" w:cs="arial"/>
          <w:color w:val="000000"/>
          <w:sz w:val="20"/>
          <w:lang w:val="en-US" w:eastAsia="en-US" w:bidi="ar-SA"/>
        </w:rPr>
        <w:t>. At pp. 207-208, Wilson J. referred to the decision of Wakeling J.A. of the Saskatchewan Court of Appeal,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Wakeling, J.A. also added some general comments regarding the testimony of youthful witnesses. He was of the opinion that the trial judge erred in utilizing and applying a strictly adult standard when assessing the credibility of the young people who appeared before him. He stated at page 150,</w:t>
      </w:r>
    </w:p>
    <w:p>
      <w:pPr>
        <w:spacing w:before="120" w:line="260" w:lineRule="atLeast"/>
        <w:ind w:left="1080"/>
        <w:rPr>
          <w:lang w:val="en-US" w:eastAsia="en-US" w:bidi="ar-SA"/>
        </w:rPr>
      </w:pPr>
      <w:r>
        <w:rPr>
          <w:rFonts w:ascii="arial" w:eastAsia="arial" w:hAnsi="arial" w:cs="arial"/>
          <w:color w:val="000000"/>
          <w:sz w:val="20"/>
          <w:lang w:val="en-US" w:eastAsia="en-US" w:bidi="ar-SA"/>
        </w:rPr>
        <w:t>Although the cross-examination was conducted quite reasonably in these trials (but sometimes by as many as three counsel), I find it unremarkable that the youthful witness would eventually find shelter in silence or simple agreement with counsel's suggestions. Nor do I find it difficult to understand that the trauma resulting from the incidents of assault would prevent a witness from having an accurate and detailed recall of the event, even if it were being recalled on the day it occurred. In the same way that adult standards would not be suitable to gauge the conducts of youths in physical and mental, social or other aspects of human activity, it is equally unacceptable that such a standard be applied without modification when measuring the credibility of their testimony.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At pp. 219-220, Wilson J.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Dealing first with Wakeling J.A.'s comments regarding the credibility of child witnesses, it seems to me that he was simply suggesting that the judiciary should take a common sense approach when dealing with the testimony of young children and not impose the same exacting standard on them as it does on adults. However, this is not to say that the Court should not carefully assess the credibility of child witnesses, and I do not read his reasons as suggesting that the standard of proof must be lowered when dealing with children, as the appellant submits. Rather, he was expressing concern that a flaw, such as a contradiction in a child's testimony, should not be given the same effect as a similar flaw in the testimony of an adult. I think his concern is well-founded and his comments entirely appropriate. While children may not be able to recount precise details and communicate the when and where of an event with exactitude, this does not mean that they have misconceived what happened to them and who did it. In recent years we have adopted a much more benign attitude to children's evidence, lessening the strict standards of oath-taking and corroboration, and I believe that this is a desirable development. The credibility of every witness who testifies before the courts must of course be carefully assessed, but the standard of the "reasonable adult" is not necessarily appropriate in assessing the credibility of young children.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That statement was adopted by McLachlin J. in R. v. W.(R.) </w:t>
      </w:r>
      <w:r>
        <w:rPr>
          <w:rFonts w:ascii="arial" w:eastAsia="arial" w:hAnsi="arial" w:cs="arial"/>
          <w:i/>
          <w:color w:val="000000"/>
          <w:sz w:val="20"/>
          <w:lang w:val="en-US" w:eastAsia="en-US" w:bidi="ar-SA"/>
        </w:rPr>
        <w:t>(1992), 74 C.C.C. (3d) 134</w:t>
      </w:r>
      <w:r>
        <w:rPr>
          <w:rFonts w:ascii="arial" w:eastAsia="arial" w:hAnsi="arial" w:cs="arial"/>
          <w:color w:val="000000"/>
          <w:sz w:val="20"/>
          <w:lang w:val="en-US" w:eastAsia="en-US" w:bidi="ar-SA"/>
        </w:rPr>
        <w:t xml:space="preserve"> (S.C.C.) at pp. 143-144. She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second change in the attitude of the law toward the evidence of children in recent years is a new appreciation that it may be wrong to apply adult tests for credibility to the evidence of children. One finds emerging a new sensitivity to the peculiar perspectives of children. Since children may experience the world differently from adults, it is hardly surprising that details important to adults, like time and place, may be missing from their recollection.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She then referred to the decision of Wilson J. in B.(G.), and went on:</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As Wilson J. emphasized in B.(G.), these changes in the way the Courts look at the evidence of children do not mean that the evidence of children should not be subject to the same standard of proof as the evidence of adult witnesses in criminal cases. Protecting the liberty of the accused and guarding against the injustice of the conviction of an innocent person requires a solid foundation for a verdict of guilt, whether the complainant be an adult or a child. What the changes do mean is that we approach the evidence of children not from their perspective of rigid stereotypes, but on what Wilson J. called a "common sense" basis, taking into account the strength and weaknesses which characterize the evidence offered in a particular case. It is neither desirable nor possible to state hard and fast rules as to when a witness's evidence should be assessed by reference to "adult" or "child" standards. To do so would be to create a new stereotype, potentially as rigid and unjust as those which the recent developments in the law's approach to children's evidence has been designed to dispel. Every person giving testimony in court, of whatever age, is an individual whose credibility and evidence must be assessed by reference to the criteria appropriate to her mental development, understanding and ability to communicate. I would add this. In general, where an adult is testifying as to events which occurred when she was a child, her credibility should be assessed according to criteria applicable to her as an adult witness. Yet, with regard to her evidence pertaining to events which occurred in childhood, the presence of inconsistencies, particularly as to peripheral matters, such as time and location, should be considered in the context of the age of the witness at the time of the events to which she is testifying.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That will also relate to such matters as delay in disclosure and incompleteness of disclosure, as pointed out by the Supreme Court of Canada, in R. v. L.(W.K.) </w:t>
      </w:r>
      <w:r>
        <w:rPr>
          <w:rFonts w:ascii="arial" w:eastAsia="arial" w:hAnsi="arial" w:cs="arial"/>
          <w:i/>
          <w:color w:val="000000"/>
          <w:sz w:val="20"/>
          <w:lang w:val="en-US" w:eastAsia="en-US" w:bidi="ar-SA"/>
        </w:rPr>
        <w:t>(1991), 64 C.C.C. (3d) 321</w:t>
      </w:r>
      <w:r>
        <w:rPr>
          <w:rFonts w:ascii="arial" w:eastAsia="arial" w:hAnsi="arial" w:cs="arial"/>
          <w:color w:val="000000"/>
          <w:sz w:val="20"/>
          <w:lang w:val="en-US" w:eastAsia="en-US" w:bidi="ar-SA"/>
        </w:rPr>
        <w:t>, as something common and to be expected.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IV</w:t>
            </w:r>
          </w:p>
        </w:tc>
        <w:tc>
          <w:tcPr>
            <w:tcW w:w="860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EVIDENCE OF SEXUAL ABUSE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S.S.'s first recollection of what may have been sexual abuse occurred when she was about five years old. She recalled going berry picking with the family, including P.R.S. and her mother. She remembers neither of them having clothes on, that her mother grabbed them both, took them to the house, and spanked them on the 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Her next recollection was in the house on Pacific Highway. P.R.S. asked her to go to the room occupied by D.K. and C.L. He closed the door, pulled down his pants, and made her "jerk him off". She said that when P.R.S. ejaculated, she got sick, and went upstairs and "wanted to die".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She said that when they moved to the house on 105A Avenue, several incidents occurred when she was cleaning the boys' rooms. P.R.S. grabbed her, exposed his erect penis, and masturbated, or had her do it. She said that happened several times, and, as a result, she told her mother that she did not want to go downstairs to clean the rooms, but did not tell her why. She said she was afraid to do so, as if she "said something out of line, I would get a smack or a punch in the mouth". She also recalled that the only bathroom was upstairs, and that P.R.S. would come out with an erection, and masturbate in her view. She said that P.R.S. was away for work for periods of time, but when he was there, the abuse would occur about once a week. She said she had "lots of memories" of having to touch him. She also recalled that he would bend her fingers back, causing her to scream. She said there may have been sexual intercourse when she was young. She has no recollection of it, but concludes that from the fact that when she did have sexual intercourse for the first time she is aware of, she did not bleed, that she asked her mother about that, and that her mother said that she fell on a stick when she was age 3, which she felt to be a strange thing for her mother to remember. She initially said there were no sexual acts other than masturbation, and being required to touch him. However, in response to the question if there was any sexual touching of her, she said she recalled him touching her on the breasts, and trying to touch her "down below". S.S. said the sexual abuse continued until P.R.S. moved out, when she was about 15. However, by the time she was 13, she was able to fight him off. She said he still masturbated in front of her, and made comments like, "I sure would like to put that in you". S.S. said that P.R.S. sometimes gave her candy and loose change, so that she felt bought, like a prostitute, that she felt dirty, that she was participating because she was paid.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S.S. also gave evidence of seeing C.A.M.J.R. on P.R.S.'s bed, and L.S. on A.P.S.'s, when they were very young. She said she asked what they were doing, and told them to get out of there. Sometimes they did, and other times they ignored her. She recalled the boys sometimes telling the girls to scratch the boys' backs.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S.S. said she made no disclosure of the abuse at the time, because she didn't trust people. She said she first disclosed it to her first husband, J.H., and then to her doctor, Dr. Blackman. She said the disclosure to Mr. J.H. was in the early 1970's, at a time when they were having difficulties with their sexual relationship. However, she said he did not want to discuss it much. The next disclosure was to Dr. Blackman, her family doctor, in about January, 1985.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cross-examination, S.S. repeated her allegation that P.R.S. had touched her in the vaginal area as well as on the breasts. She admitted that when she was interviewed by Dr. Adams, the psychologist who has provided psychological assessments of both her and C.A.M.J.R., she told him that P.R.S. had touched only her breasts. However, she denied that she was exaggerating when she said that P.R.S. touched her vaginal area, saying she remembered more as the matter goes along, and that she had "put it in the back of [her] mind". She said she was not able to say the number of incidents of sexual abuse.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S.S. was referred to para. 24 of the statement of claim, in which it is stated that the frequency of the sexual assaults by P.R.S. "is estimated to have occurred once per week between the years of 1954 and 1966 inclusive". She said it did happen once a week in the time that P.R.S. was at home, but he was away from home for a time working on the ferry. However, she did not remember him being gone for long periods of time, her recollection being that he was only gone "a couple weeks", although she was not certain of this.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S.S. said she did not report the sexual abuse to her mother, as she was afraid that she would get in trouble, and she was embarrassed about the sexual abuse. S.S. also gave evidence of a rift in the family between P.R.S. and his wife and the rest of the family after their wedding, although did not know what had caused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With respect to the specific incidents, on cross-examination, S.S. said she had no recollection of sexual touching during the incident when both she and P.R.S. were naked. However, she assumed that there had been sexual molestation, based on what she said P.R.S. did later on. She gave evidence of walking down the hallway, that P.R.S. would pull down his underwear, and masturbate with his penis directed towards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her direct evidence, C.A.M.J.R. said that she remembered little of the Cloverdale residence, but did remember the one on 105A Avenue. She remembered P.R.S. being around a lot, although she said she knew he was working on a boat. She said as she got older, he seemed to be around less. She recalled P.R.S. bending back S.S.'s fingers, although said he never did that to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C.A.M.J.R.'s evidence was that her first recollection of sexual abuse by P.R.S. was in the home in Cloverdale. She recalled being in the bed which she shared with S.S., that P.R.S. came in, lifted off the bedclothes, lifted up her nightie, and began to fondle her body. She said he tried to put his hands between her legs, but she kept them tightly closed, and pretended to be asleep. She believes he then left. She said that when she was laying in bed she heard heavy footsteps coming up the stairs, which instilled fear in her, so she thinks similar incidents may have happened before. However, she has no specific recollection of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C.A.M.J.R. says her next specific memory was when they were in the home on 105A Avenue. She said the family was downstairs watching television, including her mother and the other children. She went upstairs to go to the bathroom, and P.R.S. was standing naked in the hallway, with an erection. He signaled her to come into the bathroom, which she did. She said he put her hands on his penis, and wanted her to masturbate him. She said she had touched a penis before, that of another brother, and knew what he wanted her to do. However, he told her to put his penis in her mouth, which she did, which was the first time that had happened to her. She said she was about 7 or 8 at the time. She said she then went back to the t.v. room, and P.R.S. remained in the bathroom. She said she felt ill, and was afraid she was going to get caught. She thought this incident was in the late afternoon, after school.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C.A.M.J.R. said she had other memories which occurred in the early morning in the t.v. room. She said that she was a bed wetter, and that she would get up and get changed early in the morning, then go downstairs to watch t.v. to get warm. She said P.R.S. was in his bed, a Murphy bed. He lifted the blanket and signaled her to come into bed. When he lifted the blanket he was naked and had an erection. She said he put her head under the covers, wanted her to masturbate him, then put his penis in her mouth.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C.A.M.J.R. said that she had a specific recollection of that incident, but general recollections after that time. Because of the bedwetting, she was up early every morning, and would turn on the t.v., and wake P.R.S. up. He would put her hands on his penis, and want to be masturbated. She said there was never sexual intercourse, and she was never in his bed without her pajamas on as far as she can recall. She also recalled occasions when L.S. was in A.P.S.'s bed, when she was in P.R.S.'s. She said that continued until P.R.S. left home to get married.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C.A.M.J.R. said that when P.R.S. was at home, she knew he came and went with his work, but did not recall the length of time he was away. She said when he was home, incidents would happen daily, weekly, or sometimes less frequently. She said she felt extreme guilt, shame and fear as a result of this, that each time P.R.S. told her not to tell anyone, and not to tell their mother, as she would get mad at C.A.M.J.R. She said she felt shame as she felt responsible, because she was participating. She said that she did not receive any physical enjoyment, as nothing physical was happening to her, but admitted enjoying the excitement of it. However, she did not like P.R.S., there was no enjoyment of being close to him, and she feared him. She also said P.R.S. gave her money all the time, although did not know if she considered it as a reward. She said she feared her mother finding out about it, as "she would be really mad at me". She said it did not occur to her that P.R.S. would get into trouble.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C.A.M.J.R. said she first disclosed the sexual abuse to her family doctor, Dr. Smales, in May, 1986. She said that was after D.K. came to L.S.'s residence, where she was visiting, and advised that S.S. had disclosed sexual abuse by P.R.S., and asked if she or L.S. had been sexually abused. She said at the time they both denied it. She said she did not disclose the sexual abuse she was involved in as she felt that she was a participant in it, and felt responsible for it. She disclosed the sexual abuse to Dr. Smales at the time she was being treated for depression. She then disclosed the abuse to her husband, N.R., as recommended by Dr. Smales.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cross-examination, C.A.M.J.R. was questioned about a journal she prepared during the course of her counselling. In it, in referring to the incident when a person came into her room and touched her, she said "someone sneaking into my room while I pretended to be asleep. I think it was P.R.S. He lifted my nightie and touched me all over. I remember being scared before the door even opened." That does appear to express some doubt as to whether the person was in fact P.R.S. She was also referred to a statement that the incidents when P.R.S. brought her into bed were on Saturdays and Sundays in the mornings, rather than every day of the week, as she had said in direct examination. She said when he put her hands on his penis, it probably occurred with some of the other children present. She was also referred to paragraph 24 of the statement of claim in her action, in which it is stated, "The combined frequency of the sexual assault activity by P.R.S. and A.P.S. against the plaintiff is estimated to have occurred at least once a week between the years of 1959 and 1967 inclusive." She said that was accurate, with both P.R.S. and A.P.S. She remembered P.R.S. coming and going because of work, but did not remember him being away for extended periods of time, such as three months. She had no recollection of seeing P.R.S. masturbate without her being involved. It was noted that in her journal, unlike in her direct evidence, she indicated that the incident in the bathroom occurred when she was age 7 to 8, after the first incident of P.R.S. taking her into her bed, which she said occurred at age 5 to 7. With respect to the allegations that P.R.S. made her put his penis in her mouth, that is not mentioned in her journal entry with respect to the first time he brought her into his bed. Later in cross-examination, she said that an experience of having oral sex with her husband, N.R., triggered the memory of oral sex with P.R.S., as she remembered the scent. On re-examination, C.A.M.J.R. said that the latter portion of the journal, which includes the comment that she did not know if she ever had P.R.S.'s penis in her mouth, was likely written about 1990 or 1991. She said that was her first attempt to write anything about the sexual abuse. She said that after that, she had the experience of oral sex with her husband which brought back the memory of the scent of oral sex with P.R.S. She then wrote the pages describing the various incidents, as quoted above, in 1994, for the purpose of providing a history for her lawyer.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C.A.M.J.R. also confirmed a falling out between P.R.S. and his wife after their marriage, but did not know the reason for that. C.A.M.J.R. also confirmed that others were present in the room where sexual assaults occurred, particularly L.S., C.L., S.S. and A.P.S. She also said that it was likely that her mother was in the house on 105A Avenue when these sexual assaults occurred. C.A.M.J.R. also acknowledged that on her examination for discovery, she had said that P.R.S. spent a lot of time masturbating, walking around in his underwear with an erection, openly in the house, when their mother and father were present.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Two of the other sisters, C.L. and L.S., were called to support S.S. and C.A.M.J.R.'s allegation of sexual abuse.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C.L. gave evidence of being in the t.v. room, and seeing C.A.M.J.R. and L.S., one on each of the beds of P.R.S. and A.P.S., although she could not remember who was on each bed. She said it was in the morning, and P.R.S. and A.P.S. were in bed. She asked the girls what they were doing, and they said they were tickling the boys' backs. She said she thought nothing of it, and did nothing. She remained in the room for a short while, but could not say what any of the others were doing. She also gave evidence of one incident of taking coffee down to P.R.S., that he would not let her leave, and wanted her to kiss his penis, which she did. She then asked to be let out, and P.R.S. released her. She said she was about 11 when that occurred. She said she had forgotten about that incident until she was asked in the mid-1980's if P.R.S. or A.P.S. had done anything to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cross-examination, C.L. said that in the morning on weekends it was normal for the girls to go downstairs to watch cartoons on t.v. She also said that she never saw any sexual behaviour between P.R.S. and any of her sisters.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L.S. also recalled being in one bed with A.P.S., while C.A.M.J.R. was in the other bed with P.R.S., in the family room downstairs in the home on 105A Avenue. She said she was about 6 or 7 at the time, C.A.M.J.R. was 8 or 9, A.P.S. 16 or 17 and P.R.S. 19 or 20. She could not remember how the girls had ended up in the boys' beds, but said it occurred more than once over a number of years from her age of approximately 6 to 9 or 10. She did not know what was going on in P.R.S.'s bed, only in A.P.S.'s. She did not recall any other members of the family in the room, nor did she recall any other incidents involving P.R.S. and C.A.M.J.R. In cross-examination, she said that there had been no sexual abuse of herself by P.R.S. She recalled C.A.M.J.R. being under the covers in P.R.S.'s bed, with her head on the pillow. She admitted that she did not know what was going on between P.R.S. and C.A.M.J.R. L.S. did remember P.R.S. running around the house in his underwear, but did not recall him having an erection.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S.S., C.A.M.J.R. and L.S. were all seen by Dr. Douglas Adams, a consulting psychologist, for psychological assessments, after these actions were commenced. He saw C.A.M.J.R. and S.S. together in his office on October 31st, then had a lengthy meeting with S.S. alone. Psychological tests were administered to S.S. on November 1st, or were marked on that date and administered the day before. He then saw C.A.M.J.R. on November 9th, when psychological tests were also administered. He said the information contained in the reports may thus have been obtained from any of the three sisters. With respect to C.A.M.J.R., Dr. Adams concluded: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C.A.M.J.R. is a woman who has experienced numerous problems in her life. Leading to these problems, she appears to have suffered from a certain amount of parental neglect, and from sexual abuse by her brothers. The primary difficulty appears to have been the sexual abuse, however. Her symptomatology is similar to that of many others who have also been sexually abused in their childhood. The frequency, and the lengthy duration of the abuse likely served to make her symptoms more severe. Similarly, the actual sexual contact, as opposed to non-contact sexual abuse is related to higher severity of symptoms. Finally, the manipulation of her apparent "cooperation" also served to erode her self-esteem and make her symptoms more severe. Doubtlessly, her psychological development and her lifestyle would have been less problematic had she not been sexually abused.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With respect to S.S., he concluded: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S.S. presents as a woman with numerous problems. She is overweight, she has chronically low self-esteem, she suffers from anxiety and depression frequently, she periodically has suicidal ideation, she has difficulties sleeping, her relationships with men are frustrated by her provocations of her partners and difficulties with sexual intimacy. She indicates that these problems arise in large part from the sexual abuse she suffered at the hand of her much older brother, P.R.S. She was also sexually assaulted as an adolescent and her behaviour in this episode of abuse is suggestive of an individual who has been previously sexually abused. Her symptoms are consistent with those expected of someone who has experienced a lengthy and traumatic history of sexual abuse.</w:t>
      </w:r>
    </w:p>
    <w:p>
      <w:pPr>
        <w:spacing w:before="120" w:line="260" w:lineRule="atLeast"/>
        <w:ind w:left="720"/>
        <w:rPr>
          <w:lang w:val="en-US" w:eastAsia="en-US" w:bidi="ar-SA"/>
        </w:rPr>
      </w:pPr>
      <w:r>
        <w:rPr>
          <w:rFonts w:ascii="arial" w:eastAsia="arial" w:hAnsi="arial" w:cs="arial"/>
          <w:color w:val="000000"/>
          <w:sz w:val="20"/>
          <w:lang w:val="en-US" w:eastAsia="en-US" w:bidi="ar-SA"/>
        </w:rPr>
        <w:t>That this sexual abuse has limited her in her development is certain. The sexual abuse has had a notable impact on her relationships, and her choices of men, on her self-esteem, and on her various emotional problems. It has also undoubtedly impacted her poor vocational development.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Apart from his conclusions that the symptoms of each are consistent with a history of sexual abuse in childhood, Dr. Adams' reports are of little assistance in determining whether the abuse in fact occurred, as they are based on the history of abuse provided to him by each of C.A.M.J.R. and S.S. He did consider that each produced a "valid profile", which he said meant that they were believable, neither understating nor exaggerating their reports. However, that is ultimately a decision for the court, and I give no weight to those opinions.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his defence, P.R.S. denied all of the allegations of sexual impropriety. In fact, while admitting to masturbating at home as a teenager, he said that he stopped masturbating when he started going out with his wife-to-be, S.P., and started a sexual relationship with her. He said that was in 1963. He was married on September 23rd, 1967, and moved out of home at that time. In cross-examination, he qualified that, saying that he meant that he stopped masturbating at home, although he still did when on the ship. He thus denies that he was even masturbating at home in the period when S.S. and C.A.M.J.R. say the sexual abuse occurred. When asked specifically about the allegations, he said he "no recollection" of masturbating in the presence of S.S. or C.A.M.J.R.; that he "didn't recall" touching any of the sisters in a sexual way. However, when asked to clarify what he meant by not recalling, he said he meant that it did not happen. He specifically denied forcing any of his sisters to touch him in a sexual way, and said that he never asked or had any of his sisters perform oral sex on him. He did admit walking around the house wearing only his underwear, but denied exposing his erect penis, saying "it never happened".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P.R.S. also raised an alibi defence, that he could not have done the acts alleged by C.A.M.J.R. and S.S., because he was away working on ships for a considerable part of that time. P.R.S. said he started working for C.P. Rail, on its ferries, when he was 17 years old. He produced his Seaman's Identification Certificate, issued on August 4th, 1958. He said when he started work for C.P. Rail, he worked 8 hours on, and 16 hours off, but lived, ate and slept on the ship, sometimes for months at a time. He said he did not go to his parents' home often, never during the week, and only sometimes on the weekends; he estimated, on average, once every one and one half months. He produced his Continuous Certificate of Discharge, which showed how long he was registered as being on the ship. The ships he was on at that time were the Princess Marguerite, which ran from Vancouver to Victoria to Seattle, and the Princess Vancouver, which ran from Vancouver to Nanaimo. The Continuous Certificate of Discharge shows, for example, that his first period was on the Princess Marguerite from July 27th, 1958 to September 28th, 1958. He said in that period that the ship was at sea, operating 24 hours a day, working continuously. However, he did concede he would have been off the ship for "a couple weekends". His second trip was from May 3rd to July 25th, 1959. He said the ship had been tied up in Victoria for refitting from September, 1958, until May, 1959. During that time, he worked and lived on the ship, although conceding that he did come home for weekends every one and one half months or so. After that, the Continuous Certificate of Discharge shows that he was registered as being on the vessel for the entire period from May 3rd, 1959 to March 19th, 1962, with one trip right after another. I do not accept, however, that he was on the ship that whole time, except for the occasional weekend off, as that would have been almost three years without any holidays. After that, he is registered as being on the vessel from March 23rd through to November 6th, 1962. Similarly, the Continuous Certificate of Discharge indicates lengthy periods in which he was registered as being on the vessel, except for when the ship was in for refitting. There are other periods with trips registered back to back, for example, from July 20th, 1965 through to August 12th, 1966 and from September 12th, 1966 to August 15th, 1967. On cross-examination, P.R.S. conceded that he could leave the ship on his days off, and that would not be reflected in the Continuous Certificate of Discharge. He conceded that the Continuous Certificate of Discharge would not tell when he was at home, or otherwise off the ship. He admitted using the bedroom at home "a few times during the week" after he started work for C.P. Rail. But later, in the course of cross-examination, he denied that. He did acknowledge that, at times, "the kids" sat on his bed or A.P.S.'s. He also denied using violence towards any of his siblings, and, in particular, denied grabbing and bending back S.S.'s fingers.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Some corroboration for P.R.S.'s alibi was provided by his wife, S.P. She said when they started dating, P.R.S. was a seaman, and would be away from home for six weeks or more. However, on cross-examination, she said that when he was on shore leave, he slept at the S. home.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second oldest child, D.K., was also called on behalf of P.R.S. She denied ever seeing P.R.S. masturbating in the hallways, or exposing an erect penis. She never observed any activity involving sexual encounters between any of her sisters and P.R.S., nor was she aware of any activity of P.R.S.'s consistent with sexual abuse of his sisters. However, she does show either some bias, or lack of recollection, in saying that once P.R.S. became employed with C.P. Rail he was gone for weeks at a time, lived on the boat, and did not return home at all. That is contrary even to the evidence of P.R.S., that he did return home on weekends periodically. That bias also showed up in her cross-examination. She admitted giving a statement to Don Webber in October, 1994, in which she told him of a recollection of P.R.S. being found in the barn with C.L., and her being "disgusted". However, in giving her evidence, she said she did not know why she was disgusted, as she did not see them doing anything of a sexual nature.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A.P.S. was not called to give evidence by any of the parties.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V</w:t>
            </w:r>
          </w:p>
        </w:tc>
        <w:tc>
          <w:tcPr>
            <w:tcW w:w="860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FINDINGS REGARDING ALLEGATIONS OF SEXUAL ABUSE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With the standard of proof of misconduct by the defendant towards the plaintiffs in a case such as this, where there are allegations of sexual assault, I am not satisfied that the evidence establishes "a high degree of probability commensurate with the occasion".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J.L.M. v. P.H., </w:t>
      </w:r>
      <w:hyperlink r:id="rId311" w:history="1">
        <w:r>
          <w:rPr>
            <w:rFonts w:ascii="arial" w:eastAsia="arial" w:hAnsi="arial" w:cs="arial"/>
            <w:i/>
            <w:color w:val="0077CC"/>
            <w:sz w:val="20"/>
            <w:u w:val="single"/>
            <w:shd w:val="clear" w:color="auto" w:fill="FFFFFF"/>
            <w:lang w:val="en-US" w:eastAsia="en-US" w:bidi="ar-SA"/>
          </w:rPr>
          <w:t>[1997] B.C.J. No. 477</w:t>
        </w:r>
      </w:hyperlink>
      <w:r>
        <w:rPr>
          <w:rFonts w:ascii="arial" w:eastAsia="arial" w:hAnsi="arial" w:cs="arial"/>
          <w:color w:val="000000"/>
          <w:sz w:val="20"/>
          <w:lang w:val="en-US" w:eastAsia="en-US" w:bidi="ar-SA"/>
        </w:rPr>
        <w:t>, February 24, 1997, Vancouver Registry No. F940728 (B.C.S.C.), at para. 121, Stromberg-Stein J. made a useful distinction between the "credibility" of the complainant, referring to whether the plaintiff truly believed all the incidents she described took place as she recollected, and the "reliability" of her recollection of those events. This case raises similar problems. I am satisfied that both C.A.M.J.R. and S.S. are "credible", in the sense that they honestly believe that the events with respect to which they gave evidence occurred. However, while I have a suspicion that some sexual assaults took place, I am not satisfied, on the high degree of probability applicable, that the case of either plaintiff has been properly established.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There were discrepancies in the evidence of both C.A.M.J.R. and S.S. with respect to dates and the order of events. There were also delays in disclosing the abuse. However, I consider those are precisely the type of frailties in the evidence of adults, relating to events which occurred when they were children, which are to be expected. Of more significance, I find that there was exaggeration by both C.A.M.J.R. and S.S. regarding both the nature and the frequency of incidents, so that I am left uncertain as to the truth of any of the allegations. Although I do not accept P.R.S.'s evidence, in direct examination, that he was not at home for months at a time, I do accept his evidence that, during most of the relevant period, he was working and living on the ships, and was not at home frequently. That makes the number, and frequency, of the incidents complained of by S.S. and C.A.M.J.R. not possible. Another example of exaggeration is the allegation by S.S. that P.R.S. was an alcoholic. In that regard, I accept the evidence of P.R.S., S.P. and C.L. that there was very little alcohol consumed in the S. home, and that P.R.S. never was a heavy drinker. There are also other discrepancies giving serious concern with respect to the evidence of both plaintiffs. S.S., in particular, appeared willing to make assumptions about improper sexual conduct by P.R.S. based on very weak grounds. For example, she suggested there may have been sexual intercourse when she was young, not because she has any recollection of it, but from the fact that when she had sexual intercourse for the first time she is aware of, she did not bleed, and that her mother said she fell on a stick when she was age 3, which she felt to be strange. There are also discrepancies as to whether the assaults involved sexual touching of her. When she was interviewed by Dr. Adams she told him that P.R.S. had touched only her breasts. It was only later than she recalled being touched in the vaginal area. C.A.M.J.R., in her evidence, also said that her recollections increased as time went on. The most obvious example is with respect to the allegation that P.R.S. made her put his penis in her mouth on the first occasion he brought her into his bed. That was not mentioned in her initial journal entry with respect to that. She said the memory was only triggered as a result of having oral sex with her husband some years later. That memory cannot be considered to be reliable. Both S.S. and C.A.M.J.R. gave evidence of P.R.S. walking around in his underwear with an erection, with C.A.M.J.R. saying that was done openly in the house, when their mother and father were present. However, even the sisters who were called to support the allegations of sexual abuse, C.L. and L.S., gave no evidence of that occurring. D.K. denied ever seeing P.R.S. masturbating in the hallways, or exposing an erect penis, and never observed any activity involving sexual encounters.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summary, I find that the discrepancies and inconsistencies in the evidence of both S.S. and C.A.M.J.R. go beyond what may be considered to be normal for an adult with respect to events occurring in childhood. I find that there are exaggerations and assumptions made without proper bases which render the evidence of both S.S. and C.A.M.J.R. not sufficiently reliable to meet the high degree of probability required in a case of this nature. I should note that I do not find that the memories of either C.A.M.J.R. or S.S. were induced, or came about in any way as a result of their counselling. However, I find that in attempting to resurrect their childhood memories, both have elaborated on, and exaggerated, those memories to such an extent that I cannot determine, with any reliability, what did occur.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VI</w:t>
            </w:r>
          </w:p>
        </w:tc>
        <w:tc>
          <w:tcPr>
            <w:tcW w:w="860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CONCLUSION</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For the reasons as set out above, the claims of both C.A.M.J.R. and S.S. against P.R.S. are dismissed, with costs to the defendant, P.R.S.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A.F. WILSON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261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18" w:history="1">
        <w:r>
          <w:rPr>
            <w:rFonts w:ascii="arial" w:eastAsia="arial" w:hAnsi="arial" w:cs="arial"/>
            <w:b/>
            <w:bCs/>
            <w:i/>
            <w:color w:val="0077CC"/>
            <w:kern w:val="32"/>
            <w:sz w:val="28"/>
            <w:szCs w:val="32"/>
            <w:u w:val="single"/>
            <w:shd w:val="clear" w:color="auto" w:fill="FFFFFF"/>
            <w:lang w:val="en-US" w:eastAsia="en-US" w:bidi="ar-SA"/>
          </w:rPr>
          <w:t>Canadian Union of Public Employees, Local 561 v. British Columbia (Labour Relations Board), [2005] B.C.J. No. 2082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15,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28,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L041395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2082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1366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116 C.L.R.B.R. (2d) 281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49 B.C.L.R. (4th) 312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35 Admin. L.R. (4th) 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143 A.C.W.S. (3d) 597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2295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Canadian Union of Public Employees, Local 561, petitioner, and British Columbia Labour Relations Board, Brad Larson, and The Board of School Trustees of School District No. 43 (Coquitlam),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2"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4" w:name="Keywords_14"/>
      <w:bookmarkEnd w:id="104"/>
      <w:r>
        <w:rPr>
          <w:rFonts w:ascii="arial" w:eastAsia="arial" w:hAnsi="arial" w:cs="arial"/>
          <w:b/>
          <w:color w:val="000000"/>
          <w:sz w:val="20"/>
          <w:lang w:val="en-US" w:eastAsia="en-US" w:bidi="ar-SA"/>
        </w:rPr>
        <w:t>Labour law — Unions — Duties — Representation of members — Fair representation — Application by Union for judicial review of decisions by Labour Relations Board finding that Union had breached duty of fair representation dismissed — Union withdrew grievance before taking it to arbitration, based on a legal opinion it obtained that indicated the grievance was unlikely to succeed — In relying entirely upon a legal opinion that did not consider grievor's long discipline-free history, Union failed to turn its mind to all relevant factors, and breached s. 12 of Labour Relations Code — Labour Relations Code, s. 12.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Administrative law — Natural justice — Application by Union for judicial review of decisions by Labour Relations Board finding that Union had breached duty of fair representation dismissed — Union withdrew grievance before taking it to arbitration, based on a legal opinion it obtained that indicated the grievance was unlikely to succeed — It was not a breach of natural justice when the Board made findings of fact contrary to those submitted by the Union; the evidence was capable of supporting the Board's findings — Where, as here, credibility was central, it was questionable whether reliance on a legal opinion, that had the effect of pre-empting due process, would ever accord with the principles of fundamental justice.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Administrative law — Boards and tribunals — Powers — Delegation of — Application by Union for judicial review of decisions by Labour Relations Board finding that Union had breached duty of fair representation dismissed — Union withdrew grievance before taking it to arbitration, based on a legal opinion it obtained that indicated the grievance was unlikely to succeed — Board crafted remedy that involved Union obtaining second legal opinion — Board did not improperly delegate its authority to the lawyer providing the second legal opinion; in crafting this remedy, Board merely gave Union explicit guidance as to level of advice required to satisfy Union's duty of fair representation.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5" w:name="Case Summary_14"/>
            <w:bookmarkEnd w:id="10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Union for judicial review of three decisions by the B.C. Labour Relations Board -- School Board had employed Larson as caretaker for seven years, and he had a discipline-free record -- Larson was accused of making serious inappropriate sexual comments and gestures and his employment was terminated -- Union filed a grievance, but before hearing, Union obtained legal opinion that grievance was not likely to succeed, and withdrew grievance -- Larson filed complaint with Labour Relations Board, which found that Union had breached its duty of fair representation under s. 12 of the Labour Relations Code by failing to consider all relevant factors when deciding not to take Larson's grievance to arbitration -- Specifically, it found that the legal opinion failed to consider Larson's discipline-free record -- Union was ordered to either take the grievance to arbitration, or obtain another legal opinion -- A second clarification decision appointed the specific lawyer who was to provide the opinion -- A third reconsideration decision confirmed the original finding that the Union's decision not to proceed to arbitration was wrongly based on a flawed legal opinion -- Union argued that Board acted outside its jurisdiction when it assessed the "correctness" of a legal opinion -- HELD: Application dismissed -- Board had jurisdiction to find, and correctly found, that relying on the legal opinion as the entire basis for withdrawing the grievance breached s. 12 of Act because the legal opinion was incomplete in that it failed to address the factor of long discipline-free service -- Board had not improperly delegated its authority to the lawyer providing the second legal opinion; in crafting this remedy, Board merely gave Union explicit guidance as to level of advice required to satisfy Union's duty of fair representation -- There was no breach of natural justice when the Board made findings of fact contrary to those submitted by the Union; the evidence was capable of supporting the Board's findings -- Where, as in this case, the heart of the controversy was the relative credibility of two opposing versions of events, it was questionable whether reliance on a legal opinion, that had the effect of pre-empting due process, would ever accord with the principles of fundamental justice.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6" w:name="Legislation Cited_12"/>
      <w:bookmarkEnd w:id="10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3"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Administrative Tribunals Act, </w:t>
      </w:r>
      <w:hyperlink r:id="rId319" w:history="1">
        <w:r>
          <w:rPr>
            <w:rFonts w:ascii="arial" w:eastAsia="arial" w:hAnsi="arial" w:cs="arial"/>
            <w:i/>
            <w:color w:val="0077CC"/>
            <w:sz w:val="20"/>
            <w:u w:val="single"/>
            <w:shd w:val="clear" w:color="auto" w:fill="FFFFFF"/>
            <w:lang w:val="en-US" w:eastAsia="en-US" w:bidi="ar-SA"/>
          </w:rPr>
          <w:t>S.B.C. 2004, c. 45, s. 58</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Labour Relations Code, </w:t>
      </w:r>
      <w:hyperlink r:id="rId320" w:history="1">
        <w:r>
          <w:rPr>
            <w:rFonts w:ascii="arial" w:eastAsia="arial" w:hAnsi="arial" w:cs="arial"/>
            <w:i/>
            <w:color w:val="0077CC"/>
            <w:sz w:val="20"/>
            <w:u w:val="single"/>
            <w:shd w:val="clear" w:color="auto" w:fill="FFFFFF"/>
            <w:lang w:val="en-US" w:eastAsia="en-US" w:bidi="ar-SA"/>
          </w:rPr>
          <w:t>R.S.B.C. 1996, c. 244, s. 12</w:t>
        </w:r>
      </w:hyperlink>
      <w:r>
        <w:rPr>
          <w:rFonts w:ascii="arial" w:eastAsia="arial" w:hAnsi="arial" w:cs="arial"/>
          <w:color w:val="000000"/>
          <w:sz w:val="20"/>
          <w:lang w:val="en-US" w:eastAsia="en-US" w:bidi="ar-SA"/>
        </w:rPr>
        <w:t>, s. 115, s. 141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School Act, </w:t>
      </w:r>
      <w:r>
        <w:rPr>
          <w:rFonts w:ascii="arial" w:eastAsia="arial" w:hAnsi="arial" w:cs="arial"/>
          <w:i/>
          <w:color w:val="000000"/>
          <w:sz w:val="20"/>
          <w:lang w:val="en-US" w:eastAsia="en-US" w:bidi="ar-SA"/>
        </w:rPr>
        <w:t>R.S.B.C. 1996, c. 412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7" w:name="Counsel_14"/>
      <w:bookmarkEnd w:id="10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4" style="position:absolute;z-index:2517760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 P. Dickie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B.C. Labour Relations Board: E. Miller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Board of School Trustees of School District No. 43 (Coquitlam): A. Wills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8" w:name="Judgment_14"/>
      <w:bookmarkEnd w:id="108"/>
      <w:r>
        <w:pict>
          <v:line id="_x0000_s1105" style="position:absolute;z-index:25182720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9" w:name="McEWAN J."/>
            <w:bookmarkEnd w:id="109"/>
            <w:r>
              <w:rPr>
                <w:rFonts w:ascii="arial" w:eastAsia="arial" w:hAnsi="arial" w:cs="arial"/>
                <w:b/>
                <w:color w:val="000000"/>
                <w:sz w:val="30"/>
                <w:lang w:val="en-US" w:eastAsia="en-US" w:bidi="ar-SA"/>
              </w:rPr>
              <w:t>McEWAN J.</w:t>
            </w:r>
          </w:p>
        </w:tc>
      </w:tr>
    </w:tbl>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petitioner (CUPE) seeks judicial review of three decisions made by the British Columbia Labour Relations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CUPE is a trade union within the meaning of the Labour Relations Code of British Columbia (</w:t>
      </w:r>
      <w:r>
        <w:rPr>
          <w:rFonts w:ascii="arial" w:eastAsia="arial" w:hAnsi="arial" w:cs="arial"/>
          <w:i/>
          <w:color w:val="000000"/>
          <w:sz w:val="20"/>
          <w:lang w:val="en-US" w:eastAsia="en-US" w:bidi="ar-SA"/>
        </w:rPr>
        <w:t>R.S.B.C. 1996, c. 244</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Board is an administrative tribunal constituted under section 115 of the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Board of School Trustees of School District No. 43 (Coquitlam) is constituted under Part 6 of the School Act, </w:t>
      </w:r>
      <w:r>
        <w:rPr>
          <w:rFonts w:ascii="arial" w:eastAsia="arial" w:hAnsi="arial" w:cs="arial"/>
          <w:i/>
          <w:color w:val="000000"/>
          <w:sz w:val="20"/>
          <w:lang w:val="en-US" w:eastAsia="en-US" w:bidi="ar-SA"/>
        </w:rPr>
        <w:t>R.S.B.C. 1996, c. 412</w:t>
      </w:r>
      <w:r>
        <w:rPr>
          <w:rFonts w:ascii="arial" w:eastAsia="arial" w:hAnsi="arial" w:cs="arial"/>
          <w:color w:val="000000"/>
          <w:sz w:val="20"/>
          <w:lang w:val="en-US" w:eastAsia="en-US" w:bidi="ar-SA"/>
        </w:rPr>
        <w:t>. It employed the respondent, Brad Larson, as a caretaker at times material to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Brad Larson was a member of CUPE while he was employed by the school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August 1, 2001, Mr. Larson was accused of making inappropriate sexual comments and gestures, including sitting unclothed in an empty classroom, in the presence of the complainant, Cindy Shannon. Ms. Shannon was a casual employee of the School Board. The alleged incident occurred when she and Mr. Larson were working together. No one else was present. Mr. Larson denies the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School Board investigated the complaint and on August 8, 2001, suspended Mr. Larson without pay. After further consideration, his employment was terminated on August 14,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Union filed a grievance on August 21, 2001. Informal attempts to settle the matter failed.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Union sought legal advice as to its prospects of success on the grievance, and on December 7, 2001, it received an opinion from a solicitor, Allison Matacheskie. She conducted a series of interviews with various witnesses and provided an extensive opinion which ultimately predicted that an arbitrator would be more likely to believe Ms. Shannon than Mr. Larson.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Larson was given an opportunity to respond to the opinion. On December 14, 2001, Ms. Matacheskie wrote to say that the concerns raised by Mr. Larson would not alter her view that he would not be believed and the grievance was not likely to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opinion ended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conclusion, it is our opinion that the grievance is highly unlikely to succeed. It is our opinion that the arbitrator is highly likely to accept Ms. Shannon's version of events as more credible. As stated above, the arbitrator does not have to come to a conclusive decision that the misconduct in fact occurred. The arbitrator simply has to determine on a balance of probabilities which version is to be believed.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considered all of the factors set out above that assist arbitrators in determining matters of credibility. In this case, two factors are most persuasive. First, it is my opinion the arbitrator would likely rely heavily on the fact that there are three witnesses who provide corroborative evidence that is consistent with Ms. Shannon's version of events.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Secondly, an arbitrator would find Ms. Shannon's version to be more realistic or probable on its face. It is our opinion that an arbitrator would not likely accept Mr. Larson's version of events, as it does not make sense for Ms. Shannon to fabricate the serious allegations. There is no past history between her and Mr. Larson and she was only scheduled to work with him for a short term. There is no known or hypothetical motivation for Ms. Shannon to make such serious allegations. As well, in order for Mr. Larson's version to be the most plausible or realistic, the testimony of Mr. Wurtel must be explained. It is unlikely that an arbitrator will accept that Ms. Shannon set out on a premeditated plan to fabricate these allegations that included lying to her friend, Mr. Wurtel. It is also unlikely that an arbitrator will accept the alternative possibility that Mr. Wurtel agreed to lie for Ms. Shannon and, in essence, conspired with her to make allegations against Mr. Larson.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Therefore, it is our opinion that the grievance is highly unlikely to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December 17, 2001, the Union withdrew the grievance.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May 12, 2002, Mr. Larson filed a complaint with the Board under section 12 of the Labour Relations Code. The section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12(1) A trade union or council of trade unions must not act in a manner that is arbitrary, discriminatory or in bad faith</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representing any of the employees in an appropriate bargaining unit, or</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referral of persons to employment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whether or not the employees or persons are members of the trade union or a constituent union of the council of trade unions.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x x x</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employers' organization must not act in a manner that is arbitrary, discriminatory or in bad faith in representing any of the employers in the group appropriate for collective bargaining.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parties made written submissions. On February 21, 2003, the Panel, Labour Relations Board Vice-Chair, Mr. G.J. Mullaly, invited the Union and the School Board to make further submissions on a point raised by Mr. Larson in his Reply. This was a submission that nowhere in Ms. Matacheskie's opinion "[did] she consider [Larson's] record of employment or how that would affect the decision to dismiss."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April 22, 2003, following further submissions, Mr. Mullaly issued his decision, ruling that he was in a position to do so without an oral hearing. He found that the Union had breached section 12 of the Labour Relations Code "by failing to consider all of the relevant factors when deciding not to take Larson's grievance to arbitration". The factor he identified was Mr. Larson's long discipline-free work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Mullaly's comments included, under the heading "Analysis and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12 requires that a union not act in bad faith or in a manner that is arbitrary or discriminatory when representing employees in a bargaining unit. For a union to avoid being found to have acted arbitrarily it "... must take a reasonable view of the problem before it and arrive at a thoughtful judgement about what to do after considering the various relevant and conflicting considerations": Rayonier Canada (B.C.) Ltd., BCLRB No. 40/75, </w:t>
      </w:r>
      <w:hyperlink r:id="rId321" w:history="1">
        <w:r>
          <w:rPr>
            <w:rFonts w:ascii="arial" w:eastAsia="arial" w:hAnsi="arial" w:cs="arial"/>
            <w:i/>
            <w:color w:val="0077CC"/>
            <w:sz w:val="20"/>
            <w:u w:val="single"/>
            <w:shd w:val="clear" w:color="auto" w:fill="FFFFFF"/>
            <w:lang w:val="en-US" w:eastAsia="en-US" w:bidi="ar-SA"/>
          </w:rPr>
          <w:t>[1975] 2 Can LRBR 196</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facts of this case are in some ways similar to the facts in Richard Derksen, BCLRB No. B257/99. In that case an employee had been terminated for allegedly assaulting another employee. The union representative, Brown, investigated the grievance and got several written statements from witnesses. Brown discovered that Derksen's account of what had happened was not "in concert" with what others had told him and he concluded that Derksen was not telling the whole truth. Brown took the issue of what to do with Derksen's grievance to the union's executive board: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[Brown] explained the circumstances and showed them the written reports. The Executive was aware of Derksen's age and seniority. Brown stated that as far as he knew Derksen had a clean disciplinary record. Brown indicated his belief that Derksen's honesty was a problem.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Executive was not impressed with Derksen's actions and concerned about safety and violence in the workplace. It decided not to proceed to arbitration. (paras. 23-4)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Board's reasons for finding that the union had breached its duty of fair representation are found in the following passages from its decision: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Board's policy is to place a higher onus on the union in cases of termination: Gordon Peacock, IRC No. C20/90, Donato Franco, supra. In a case of discharge, part of the higher onus on a union is the consideration of mitigating circumstances. The Union argues that several factors were taken into account in its decision-making including Derksen's seniority, age, past disciplinary record and apology. This is an assertion that is not borne out by the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specifically asked Brown whether the Executive Board, who made the final decision on whether to arbitrate, considered the first three of these factors. Brown acknowledged that they were aware of these factors. He also indicated that the Executive's primary concern was violence in the workplace. While the Executive was aware of these factors, there is no evidence that the Executive placed any weight on them in coming to its decision.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find that the Union has acted in an arbitrary manner in breach of Section 12. There is no evidence before me that the Union turned its mind to the weight to be given to the possible mitigating factors, the surrounding circumstances and made a "reasoned decision" or a thoughtful judgement on whether to arbitrate this grievance. The higher standard required of a union in a termination case has not been met, as the Union has not demonstrated that it took into consideration all of the relevant factors in determining whether the Employer had "just cause" for dismissal. This does not suggest that a union must be correct in its decision as to whether to arbitrate a termination. Rather it must demonstrate that it has turned its mind to all of the factors that would be considered by an arbitrator under the tests set out in Wm. Scott &amp; Company Ltd., BCLRB No. 46/76, </w:t>
      </w:r>
      <w:hyperlink r:id="rId322" w:history="1">
        <w:r>
          <w:rPr>
            <w:rFonts w:ascii="arial" w:eastAsia="arial" w:hAnsi="arial" w:cs="arial"/>
            <w:i/>
            <w:color w:val="0077CC"/>
            <w:sz w:val="20"/>
            <w:u w:val="single"/>
            <w:shd w:val="clear" w:color="auto" w:fill="FFFFFF"/>
            <w:lang w:val="en-US" w:eastAsia="en-US" w:bidi="ar-SA"/>
          </w:rPr>
          <w:t>[1977] 1 Can. LRBR 1</w:t>
        </w:r>
      </w:hyperlink>
      <w:r>
        <w:rPr>
          <w:rFonts w:ascii="arial" w:eastAsia="arial" w:hAnsi="arial" w:cs="arial"/>
          <w:color w:val="000000"/>
          <w:sz w:val="20"/>
          <w:lang w:val="en-US" w:eastAsia="en-US" w:bidi="ar-SA"/>
        </w:rPr>
        <w:t>. (paras. 32-3 and 38)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there has been no oral hearing. However, if I accept what the Union asserts in its submissions (which I do for the purposes of this decision) I am not able to find that in deciding not to arbitrate Larson's grievance it considered all the relevant and conflicting considerations. While it asserts that it was "conscious" that Larson had a discipline free record "when reviewing all the circumstances of the case" it does not assert that it regarded that fact to be a relevant factor, and weighed it, when deciding what to do. This is understandable given the Union's acknowledgement that it acted "in accordance with the opinion" and the Opinion does not provide any indication that its author considered Larson's discipline free record to be relevant to the issue of the prospects of his grievance. Instead, the Opinion focuses exclusively on the issue of whose version of events - Larson's or Shannon's - an arbitrator would likely accept to be true.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regard, I do not accept the Union's submission that I should infer from two references in the Opinion to the charges against Larson as "serious" that the Lawyer considered Larson's record when concluding that his grievance was highly unlikely to succeed.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Nor do I accept the Employer's submission that Larson's record was "irrelevant" in the circumstances of this case. While an employee's long discipline free record may not always be a determining factor in an arbitrator's "especially searching" evaluation of an employer's decision to discharge an employee, it will always be a relevant factor: Wm. Scott &amp; Company Ltd. (1976), BCLRB No. 46/76, </w:t>
      </w:r>
      <w:hyperlink r:id="rId322" w:history="1">
        <w:r>
          <w:rPr>
            <w:rFonts w:ascii="arial" w:eastAsia="arial" w:hAnsi="arial" w:cs="arial"/>
            <w:i/>
            <w:color w:val="0077CC"/>
            <w:sz w:val="20"/>
            <w:u w:val="single"/>
            <w:shd w:val="clear" w:color="auto" w:fill="FFFFFF"/>
            <w:lang w:val="en-US" w:eastAsia="en-US" w:bidi="ar-SA"/>
          </w:rPr>
          <w:t>[1977] 1 CLRBR 1</w:t>
        </w:r>
      </w:hyperlink>
      <w:r>
        <w:rPr>
          <w:rFonts w:ascii="arial" w:eastAsia="arial" w:hAnsi="arial" w:cs="arial"/>
          <w:color w:val="000000"/>
          <w:sz w:val="20"/>
          <w:lang w:val="en-US" w:eastAsia="en-US" w:bidi="ar-SA"/>
        </w:rPr>
        <w:t xml:space="preserve"> at p.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Under the heading "Conclusion", Mr. Mullaly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the Union breached its duty of fair representation by failing to consider all the relevant factors when deciding not to take Larson's grievance to arbitration. To remedy this breach I order that, unless the Union now agrees to arbitrate Larson's grievance, it must pay for the production of another legal opinion. The opinion will address the question of whether, considering all the various relevant and conflicting considerations, Larson's grievance has a reasonable prospect of success. In the course of doing so, the author of the new legal opinion will not be bound by any of the conclusions reached by the Lawyer regarding whose version of events an arbitrator is likely to prefer. (In this regard I stress that this is not an issue I have decided, and nothing in this decision should be construed as an expression of either agreement, or disagreement, with any of the conclusions the Lawyer reached.)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new legal opinion will be prepared by counsel agreed to by Larson and the Union. If they are unable to agree, I retain jurisdiction to deal with the appointment of such legal counsel.</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May 6, 2003, the Union sought an order staying this decision and applied for Leave and Reconsideration. The application for a Stay was dismissed June 17,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June 18, 2003, the Union wrote seeking clarification of the remedial portion of Mr. Mullaly's decision. It had elected not to arbitrate the grievance.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December 31, 2003, Mr. Mullaly issued a Clarification. He directed the appointment of a specific lawyer to provide an opinion, set out the meaning of a "reasonable prospect of success" as either a close call' or likely to succeed', and made it clear that while the Union was being directed to pay for the opinion, the opinion was not privileged because it is not "legal advice" but only an assessment of the "prospects of success of Larson's grievance".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January 15, 2004, the Union sought reconsideration of the Clarification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March 25, 2004, Mr. Somjen, the lawyer appointed in the Clarification Decision, provided an opinion. He made the following observation about the methodology of the first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 case of discipline such as this, the legal framework is well defined by the William Scott case. The first question is whether the alleged misconduct was worthy of discipline. The second question is, if the conduct is worthy of some discipline, is the discipline excessive in all of the circumstances? Lastly, if the answer to that is "yes", then a third question must be answered: What is an appropriate penalty taking into account all of the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Opinion reached the conclusion that the version of events presented by Ms. Shannon was the more likely to be accepted by an arbitrator and, therefore, the grievance would likely fail. The effect of this was that the analysis compressed the three William Scott questions into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Somjen said that even assuming the first opinion's assessment of credibility was correct, it would not end the issue. He then went on to list aggravating and mitigating factors. The mitigating factors included Mr. Larson's long service and discipline free record. He also noted the consequences of termination of employment. The opinion was somewhat circular however, in that, as to these factors, Mr. Somjen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conclude that if the arbitrator were to find Ms. Shannon's version of the events of August 1, 2001 to be credible, it is likely that the discharge would be upheld considering all of the surrounding and mitigating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That, it seems to me, is to say that although Ms. Matacheskie's opinion did not formally go through the three step process, the assumption that appears to underlie it - that the conduct alleged against Mr. Larson, if proved, was of such a nature that would overwhelm all other considerations - was, in Mr. Somjen's opinion, correct. Mr. Somjen went on to observe that he was unable to say which of the two versions would probably be accepted by an arbitrator, based on his own investigations and on new information Ms. Matacheskie did not have. He summarized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the likely outcome of an arbitration in this matter would be:</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clear that an arbitrator would find Ms. Shannon's version of the events of August 1, 2001 to be more believable than Mr. Larson's version. The decision on that issue could go either way. If he did find the alleged incidents of August 1, 2001 did occur, discipline would certainly be found appropriate.</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arbitrator found in favour of discipline, on the second William Scott question, the arbitrator would likely conclude that the discharge should be upheld, notwithstanding the griever's long service and clean discipline record.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therefore, recommend this case proceed to arbitration, in accordance with the decisions of the Labour Relations Board.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April 15, 2004, the Labour Relations Board reconsidered both the Original and the Clarification decisions of Mr. Mullaly under section 141 of the Labour Relations Code: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141(1) On application by any party affected by a decision of the board, the board may grant leave to that party to apply for reconsideration of the decision.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Leave to apply for reconsideration of a decision of the board may be granted if the party applying for leave satisfies the board that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not available at the time of the original decision has become available, or</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decision of the board is inconsistent with the principles expressed or implied in this Code or in any other Act dealing with labour relations.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x x x</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reconsideration under this section the board may vary or cancel the decision that is the subject of reconsideration or may remit the matter to the original panel.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x x 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After granting the Union leave, the Board made the following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effect of the Board's jurisprudence cited by the Union is that, while a legal opinion is not in itself a complete defence to a Section 12 complaint, obtaining a legal opinion suggests that a Union has turned its mind to the merits of a grievance and made a thoughtful judgment about what to do, as required by the statutory duty of fair representation. Accordingly, we were initially troubled by the original panel's conclusion that, notwithstanding the Union had in good faith obtained a legal opinion and based its decision not to proceed to arbitration on that opinion, the Union had breached Section 12 in its handling of Larson's grievance.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on a close reading of the Original Decision, we find this conclusion should be upheld. It is evident that the original panel found the Union decided to turn the questions of whether the grievance had merit and should be arbitrated entirely over to its lawyer. The lawyer produced an opinion on this question which, on its face, does not consider Larson's discipline-free record. We find the original panel did not err in holding that a long discipline-free record is always a relevant factor in a termination grievance. Accordingly, we find it was open to the original panel to conclude that the opinion was flawed in this respect. Moreover, it was a factor the Union should have considered in deciding what to do about Larson's grievance.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Union argues that there was evidence the Union was aware or conscious that Larson was a good employee or had a positive work history. We find it was open to the original panel to conclude that, while the Union may have been aware of these facts, it did not specifically consider those factors when deciding whether to pursue or abandon Larson's grievance. It was open to the original panel to conclude that the Union based its decision about what to do entirely on a legal opinion that on its face fails to consider or give weight to a necessary relevant factor.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Failing to consider a necessary relevant factor when deciding whether to pursue a termination grievance can constitute a breach of Section 12. Accordingly, it was open to the original panel to conclude that the Union failed to turn its mind to a necessary relevant factor and therefore breached Section 12. However, in the circumstances of this case, it is clear that the breach was of a nature ordering on the sort of "mistake" that the Board has ruled will not constitute a breach of Section 12. It also did not involve any bad faith or ill will toward Larson. We find it is not appropriate for us to interfere with the original panel's judgment that the Union's failure to consider Larson's discipline-free record crossed the line from mistake and fell into the category of breach. However, we further find that the borderline nature of the breach has implications in terms of the appropriate remedy.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Sections 14, 133 and 134 confer a broad remedial authority on the Board where a breach of the Code has been found. The purpose of a remedy is to rectify the consequences of a breach in a manner commensurate with the nature and effect of the breach. The Board's remedial responses should be tailored to, or properly reflect the circumstances of each case. While the Board will not, on reconsideration, easily interfere with the existence of the remedial discretion of an original panel, the Board nonetheless must ensure those objectives are reflected in a specific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satisfied that proper remedial objectives are served by the original panel's direction that, if the Union chose not to advance the grievance to arbitration, it must obtain a second legal opinion. We find that portion of the remedy (i.e., as set out in paras. 23 and 24 of the Original Decision) is rationally connected to the nature of the violation and its consequences: Allan Kelland, BCLRB No. B419/03 (Reconsideration of IRC No. C248/92 and BCLRB No. B101/93).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we are not prepared to interfere with the directions in the Clarification Decision relating to the appointment, payment and communications between Somjen and the Union.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we do not find the same kind of rational connection between the remedial response and the nature of the breach and its consequences in the original panel's further order that the Union pay for Larson to be represented by independent legal counsel in preparing for and conducting any subsequent arbitration hearing, as set out in para. 25 of the Original Decision. We find that aspect of the remedy goes well beyond putting Larson in the position he would have been but for the breach.</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Union seeks judicial review of the Board's decisions in this matter on the basis of what it calls "four broad issues":</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Board committed a reviewable error by finding that the Union had breached section 12 of the Code by withdrawing the grievance in accordance with a legal opinion.</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Board committed a reviewable error by finding that the legal opinion was flawed.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Board committed a reviewable error by ordering that the Union retain a lawyer selected by the Board to produce a second legal opinion, and by ordering that communications between the Union and this second lawyer were not privileged.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Board breached natural justice by purporting to accept the assertions of fact made by the Union but making findings of fact contrary to those assertions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While the Union acknowledges that the Board has exclusive jurisdiction to determine whether the Union has breached its duty of fair representation under section 12, it submits that the Board committed two jurisdictional errors reviewable on a standard of correctness. These, the Union characterizes as the Board's finding that the Union's legal opinion was "flawed," and its "sub-delegation" of its authority to a second lawyer in setting up the remedial option of a second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Board's position, on the other hand, is that an exercise of its jurisdiction under section 12 is only reviewable on a standard of patent unreasonableness, and that this includes all matters within that jurisdiction, including matters of law and policy. The Board submits that accordingly it would be erroneous for a court on judicial review to "parse out" aspects of the Board's reconsideration, define them as questions of "jurisdiction" or "law", and review them on a standard of correctness.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Administrative Tribunals Act, </w:t>
      </w:r>
      <w:r>
        <w:rPr>
          <w:rFonts w:ascii="arial" w:eastAsia="arial" w:hAnsi="arial" w:cs="arial"/>
          <w:i/>
          <w:color w:val="000000"/>
          <w:sz w:val="20"/>
          <w:lang w:val="en-US" w:eastAsia="en-US" w:bidi="ar-SA"/>
        </w:rPr>
        <w:t>S.B.C. 2004, c. 45</w:t>
      </w:r>
      <w:r>
        <w:rPr>
          <w:rFonts w:ascii="arial" w:eastAsia="arial" w:hAnsi="arial" w:cs="arial"/>
          <w:color w:val="000000"/>
          <w:sz w:val="20"/>
          <w:lang w:val="en-US" w:eastAsia="en-US" w:bidi="ar-SA"/>
        </w:rPr>
        <w:t xml:space="preserve"> codifies the standard of review in British Columbia: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58(1) If the tribunal's enabling Act contains a privative clause, relative to the courts the tribunal must be considered to be an expert tribunal in relation to all matters over which it has exclusive jurisdiction.</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judicial review proceeding relating to expert tribunals under subsection (1)</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finding of fact </w:t>
      </w:r>
      <w:r>
        <w:rPr>
          <w:rFonts w:ascii="arial" w:eastAsia="arial" w:hAnsi="arial" w:cs="arial"/>
          <w:b/>
          <w:color w:val="000000"/>
          <w:sz w:val="20"/>
          <w:lang w:val="en-US" w:eastAsia="en-US" w:bidi="ar-SA"/>
        </w:rPr>
        <w:t>or law or an exercise of discretion</w:t>
      </w:r>
      <w:r>
        <w:rPr>
          <w:rFonts w:ascii="arial" w:eastAsia="arial" w:hAnsi="arial" w:cs="arial"/>
          <w:color w:val="000000"/>
          <w:sz w:val="20"/>
          <w:lang w:val="en-US" w:eastAsia="en-US" w:bidi="ar-SA"/>
        </w:rPr>
        <w:t xml:space="preserve"> by the tribunal in respect of a matter over which it has exclusive jurisdiction under a privative clause must not be interfered with unless it is patently unreasonable.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questions about the application of common law rules of natural justice and procedural fairness must be decided having regard to whether, in all of the circumstances, the tribunal acted fairly,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all matters other than those identified in paragraphs (a) and (b), the standard of review to be applied to the tribunal's decision is correctness.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Labour Relations Code includes strong privative clauses, including a specific reference to the duty in issue in this judicial review: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138 A decision or order of the board under this Code, a collective agreement or the regulations on a matter in respect of which the board has jurisdiction is final and conclusive and is not open to question or review in a court on any grounds.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139 The board has exclusive jurisdiction to decide a question arising under this Code and on application by any person or on its own motion may decide for all purposes of this Code any question, including, without limitation, any question as to whether ...</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trade union, council of trade unions or employers' organization is fulfilling a duty of fair representation,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therefore an expert tribunal within the meaning of the Administrative Tribunals Act, "in relation to all matters over which it has exclusive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Union submits that the question of whether an issue is "jurisdictional" is subject to analysis on the principles set out in Pushpanathan v. Canada (Minister of Citizenship and Immigration) </w:t>
      </w:r>
      <w:hyperlink r:id="rId323" w:history="1">
        <w:r>
          <w:rPr>
            <w:rFonts w:ascii="arial" w:eastAsia="arial" w:hAnsi="arial" w:cs="arial"/>
            <w:i/>
            <w:color w:val="0077CC"/>
            <w:sz w:val="20"/>
            <w:u w:val="single"/>
            <w:shd w:val="clear" w:color="auto" w:fill="FFFFFF"/>
            <w:lang w:val="en-US" w:eastAsia="en-US" w:bidi="ar-SA"/>
          </w:rPr>
          <w:t>[1998] 1 S.C.R. 982</w:t>
        </w:r>
      </w:hyperlink>
      <w:r>
        <w:rPr>
          <w:rFonts w:ascii="arial" w:eastAsia="arial" w:hAnsi="arial" w:cs="arial"/>
          <w:color w:val="000000"/>
          <w:sz w:val="20"/>
          <w:lang w:val="en-US" w:eastAsia="en-US" w:bidi="ar-SA"/>
        </w:rPr>
        <w:t xml:space="preserve">, </w:t>
      </w:r>
      <w:hyperlink r:id="rId323" w:history="1">
        <w:r>
          <w:rPr>
            <w:rFonts w:ascii="arial" w:eastAsia="arial" w:hAnsi="arial" w:cs="arial"/>
            <w:i/>
            <w:color w:val="0077CC"/>
            <w:sz w:val="20"/>
            <w:u w:val="single"/>
            <w:shd w:val="clear" w:color="auto" w:fill="FFFFFF"/>
            <w:lang w:val="en-US" w:eastAsia="en-US" w:bidi="ar-SA"/>
          </w:rPr>
          <w:t>160 D.L.R. (4th) 193</w:t>
        </w:r>
      </w:hyperlink>
      <w:r>
        <w:rPr>
          <w:rFonts w:ascii="arial" w:eastAsia="arial" w:hAnsi="arial" w:cs="arial"/>
          <w:color w:val="000000"/>
          <w:sz w:val="20"/>
          <w:lang w:val="en-US" w:eastAsia="en-US" w:bidi="ar-SA"/>
        </w:rPr>
        <w:t xml:space="preserve">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Some provisions within the same Act may require greater curial deference than others, depending on the factors which will be described in more detail below. To this extent, </w:t>
      </w:r>
      <w:r>
        <w:rPr>
          <w:rFonts w:ascii="arial" w:eastAsia="arial" w:hAnsi="arial" w:cs="arial"/>
          <w:color w:val="000000"/>
          <w:sz w:val="20"/>
          <w:u w:val="single"/>
          <w:lang w:val="en-US" w:eastAsia="en-US" w:bidi="ar-SA"/>
        </w:rPr>
        <w:t>it is still appropriate and helpful to speak of "jurisdictional questions" which must be answered correctly by the tribunal in order to be acting intra vires</w:t>
      </w:r>
      <w:r>
        <w:rPr>
          <w:rFonts w:ascii="arial" w:eastAsia="arial" w:hAnsi="arial" w:cs="arial"/>
          <w:color w:val="000000"/>
          <w:sz w:val="20"/>
          <w:lang w:val="en-US" w:eastAsia="en-US" w:bidi="ar-SA"/>
        </w:rPr>
        <w:t>. But it should be understood that a question which "goes to jurisdiction" is simply descriptive of the outcome of the pragmatic and functional analysis. In other words "jurisdictional error" is simply an error on an issue with respect to which, according the outcome of the pragmatic and functional analysis, the tribunal must make a correct interpretation and to which no deference will be shown.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question of whether a tribunal has a particular power must be answered correctly, as set out in Canada (Attorney General) v. Public Service Alliance of Canada, </w:t>
      </w:r>
      <w:hyperlink r:id="rId324" w:history="1">
        <w:r>
          <w:rPr>
            <w:rFonts w:ascii="arial" w:eastAsia="arial" w:hAnsi="arial" w:cs="arial"/>
            <w:i/>
            <w:color w:val="0077CC"/>
            <w:sz w:val="20"/>
            <w:u w:val="single"/>
            <w:shd w:val="clear" w:color="auto" w:fill="FFFFFF"/>
            <w:lang w:val="en-US" w:eastAsia="en-US" w:bidi="ar-SA"/>
          </w:rPr>
          <w:t>[1993] 1 S.C.R. 941</w:t>
        </w:r>
      </w:hyperlink>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101 D.L.R. (4th) 673</w:t>
        </w:r>
      </w:hyperlink>
      <w:r>
        <w:rPr>
          <w:rFonts w:ascii="arial" w:eastAsia="arial" w:hAnsi="arial" w:cs="arial"/>
          <w:color w:val="000000"/>
          <w:sz w:val="20"/>
          <w:lang w:val="en-US" w:eastAsia="en-US" w:bidi="ar-SA"/>
        </w:rPr>
        <w:t xml:space="preserve"> at 693-694: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consideration of the Board's empowering legislation makes it clear that it has been given extensive powers to consider and resolve a wide variety of labour problems. The Board's decisions are protected by a broadly worded privative clause. Parliament has clearly put its trust in the Board to deal with issues arising in the sensitive domain of labour relations within the public service. The Board's members are experienced and skilled in the field of labour relations. Sections 92 and 99 of the Act set out the basis for and the parameters of the jurisdiction of the Board. In the sense that these sections define the jurisdiction of the Board with regard to the matters they describe, the Board had to be correct that it had the jurisdiction to consider the issues presented to it on the reference. In my view, the Board was correct in finding that the provisions of its empowering legislation clearly indicated that it would have jurisdiction to consider this very issue.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Union submits, first of all, that in assuming jurisdiction to determine "whether or not a legal opinion is flawed", the Board was making a precedential decision over a general proposition that "might qualify as a principle of law". It again cites Pushpanathan (supra) at paragraph 38: "the generality of the proposition decided will be a factor in favour of the imposition of a correctness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Union then submits that, characterized as an issue of law, the Board is not in a better position than the courts in relation to whether a legal opinion is flawed.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If an issue is properly classified as one of jurisdiction the principle set forth in Syndicat des employees de production du Quebec et de l'Acadie v. Canada (Labour Relations Board), </w:t>
      </w:r>
      <w:hyperlink r:id="rId325" w:history="1">
        <w:r>
          <w:rPr>
            <w:rFonts w:ascii="arial" w:eastAsia="arial" w:hAnsi="arial" w:cs="arial"/>
            <w:i/>
            <w:color w:val="0077CC"/>
            <w:sz w:val="20"/>
            <w:u w:val="single"/>
            <w:shd w:val="clear" w:color="auto" w:fill="FFFFFF"/>
            <w:lang w:val="en-US" w:eastAsia="en-US" w:bidi="ar-SA"/>
          </w:rPr>
          <w:t>[1984] 2 S.C.R. 412</w:t>
        </w:r>
      </w:hyperlink>
      <w:r>
        <w:rPr>
          <w:rFonts w:ascii="arial" w:eastAsia="arial" w:hAnsi="arial" w:cs="arial"/>
          <w:color w:val="000000"/>
          <w:sz w:val="20"/>
          <w:lang w:val="en-US" w:eastAsia="en-US" w:bidi="ar-SA"/>
        </w:rPr>
        <w:t xml:space="preserve">, </w:t>
      </w:r>
      <w:hyperlink r:id="rId325" w:history="1">
        <w:r>
          <w:rPr>
            <w:rFonts w:ascii="arial" w:eastAsia="arial" w:hAnsi="arial" w:cs="arial"/>
            <w:i/>
            <w:color w:val="0077CC"/>
            <w:sz w:val="20"/>
            <w:u w:val="single"/>
            <w:shd w:val="clear" w:color="auto" w:fill="FFFFFF"/>
            <w:lang w:val="en-US" w:eastAsia="en-US" w:bidi="ar-SA"/>
          </w:rPr>
          <w:t>14 D.L.R. (4th) 457</w:t>
        </w:r>
      </w:hyperlink>
      <w:r>
        <w:rPr>
          <w:rFonts w:ascii="arial" w:eastAsia="arial" w:hAnsi="arial" w:cs="arial"/>
          <w:color w:val="000000"/>
          <w:sz w:val="20"/>
          <w:lang w:val="en-US" w:eastAsia="en-US" w:bidi="ar-SA"/>
        </w:rPr>
        <w:t xml:space="preserve"> at 441, applies: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a question is classified as one of jurisdiction, and has been the subject of a decision by an administrative tribunal, the superior court exercising its superintending and reforming power over that tribunal cannot, without itself refusing to exercise its own jurisdiction, refrain from ruling on the correctness of that decision, or rule on it by means of an approximate criterion.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first question is, then, whether the Union has accurately characterized the issue as one of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context is important. The duty of fair representation embodied in section 12 of the Labour Relations Code, has been described by the Supreme Court in Gagnon, </w:t>
      </w:r>
      <w:hyperlink r:id="rId326" w:history="1">
        <w:r>
          <w:rPr>
            <w:rFonts w:ascii="arial" w:eastAsia="arial" w:hAnsi="arial" w:cs="arial"/>
            <w:i/>
            <w:color w:val="0077CC"/>
            <w:sz w:val="20"/>
            <w:u w:val="single"/>
            <w:shd w:val="clear" w:color="auto" w:fill="FFFFFF"/>
            <w:lang w:val="en-US" w:eastAsia="en-US" w:bidi="ar-SA"/>
          </w:rPr>
          <w:t>[1984] 1 S.C.R. 509</w:t>
        </w:r>
      </w:hyperlink>
      <w:r>
        <w:rPr>
          <w:rFonts w:ascii="arial" w:eastAsia="arial" w:hAnsi="arial" w:cs="arial"/>
          <w:color w:val="000000"/>
          <w:sz w:val="20"/>
          <w:lang w:val="en-US" w:eastAsia="en-US" w:bidi="ar-SA"/>
        </w:rPr>
        <w:t>, per Choinard J. at. p. 654: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following principles, concerning a union's duty of representation in respect of a grievance, emerge from the case law and academic opinion consulted.</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exclusive power conferred on a union to act as spokesman for the employees in a bargaining unit entails a corresponding obligation on the union to fairly represent all employees comprised in the unit.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as is true here and is generally the case, the right to take a grievance to arbitration is reserved to the union, the employee does not have an absolute right to arbitration and the union enjoys considerable discretion.</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This discretion must be exercised in good faith, objectively and honestly, after a thorough study of the grievance and the case, taking into account the significance of the grievance and of its consequences for the employee on the one hand and the legitimate interests of the union on the other</w:t>
      </w:r>
      <w:r>
        <w:rPr>
          <w:rFonts w:ascii="arial" w:eastAsia="arial" w:hAnsi="arial" w:cs="arial"/>
          <w:color w:val="000000"/>
          <w:sz w:val="20"/>
          <w:lang w:val="en-US" w:eastAsia="en-US" w:bidi="ar-SA"/>
        </w:rPr>
        <w: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union's decision must not be arbitrary, capricious, discriminatory or wrongful.</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representation by the union must be fair, genuine and not merely apparent, undertaken with integrity and competence, without serious or major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without hostility towards the employee.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There are numerous cases in which the consideration in item 3 in Gagnon has been interpreted by the Labour Relations Board to include reliance in good faith on legal advice, even if that advice is incorrect. (See: Ruby Chow and Overwaitea Foods, BCLRB No. 45/81, </w:t>
      </w:r>
      <w:hyperlink r:id="rId327" w:history="1">
        <w:r>
          <w:rPr>
            <w:rFonts w:ascii="arial" w:eastAsia="arial" w:hAnsi="arial" w:cs="arial"/>
            <w:i/>
            <w:color w:val="0077CC"/>
            <w:sz w:val="20"/>
            <w:u w:val="single"/>
            <w:shd w:val="clear" w:color="auto" w:fill="FFFFFF"/>
            <w:lang w:val="en-US" w:eastAsia="en-US" w:bidi="ar-SA"/>
          </w:rPr>
          <w:t>[1981] 3 Can LRBR 43</w:t>
        </w:r>
      </w:hyperlink>
      <w:r>
        <w:rPr>
          <w:rFonts w:ascii="arial" w:eastAsia="arial" w:hAnsi="arial" w:cs="arial"/>
          <w:color w:val="000000"/>
          <w:sz w:val="20"/>
          <w:lang w:val="en-US" w:eastAsia="en-US" w:bidi="ar-SA"/>
        </w:rPr>
        <w:t xml:space="preserve"> at pp. 51-52: Brief of Authorities, Tab 31; Malkiat S. Gill, BCLRB No. 14/86 at p. 3: Brief of Authorities, Tab 24; William O. Guy, BCLRB No. 256/86 at p. 3: Brief of Authorities, Tab 36; Alfred Wiebe, BCIRC No. C79/87 at p. 3: Brief of Authorities, Tab 8; Darcy Allin, BCLRB No. B190/93 at p. 3: Brief of Authorities, Tab 17; Willis Spencer Unger, BCLRB No. B235/98 at p. 5: Brief of Authorities, Tab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Union submits that Gagnon was, itself, a case that considered reliance on legal advice: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Guild relied on the opinion of its legal counsel and that is what it told respondent on March 29. In early October, although legal counsel was willing to proceed, this was subject to his opinion which had not changed. </w:t>
      </w:r>
      <w:r>
        <w:rPr>
          <w:rFonts w:ascii="arial" w:eastAsia="arial" w:hAnsi="arial" w:cs="arial"/>
          <w:b/>
          <w:color w:val="000000"/>
          <w:sz w:val="20"/>
          <w:lang w:val="en-US" w:eastAsia="en-US" w:bidi="ar-SA"/>
        </w:rPr>
        <w:t>I do not see how the Guild can be blamed for relying on this reasoned opinion even if it was incorrect, a point on which I express no opinion</w:t>
      </w:r>
      <w:r>
        <w:rPr>
          <w:rFonts w:ascii="arial" w:eastAsia="arial" w:hAnsi="arial" w:cs="arial"/>
          <w:color w:val="000000"/>
          <w:sz w:val="20"/>
          <w:lang w:val="en-US" w:eastAsia="en-US" w:bidi="ar-SA"/>
        </w:rPr>
        <w:t>. (emphasis added)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Gagnon, supra, p. 660: Brief of Authorities, Tab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Union submits that it was patently unreasonable for the Board to conclude that the Union breached its duty of fair representation by relying on a legal opinion from its solicitors. It also submits that, in assessing the "correctness" of a legal opinion, it acted outside the statutory jurisdiction of the Board - there being no specific provision granting it such jurisdiction - and that, having no particular legal expertise, it erred in that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Board submits that the Union has not shown how it could have exceeded its jurisdiction under section 12 in considering the first legal opinion "flawed". It acknowledges that past rulings have accepted that a Union can rebut an allegation that it has acted arbitrarily by showing reliance upon a legal opinion, even one that is mistaken or flawed, although it also points out that the Board is not bound by the principle of stare decisis, and that particular facts may give rise to different responses, in different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Board submits that in order to determine whether the Original Panel was correct in concluding that the opinion was "flawed", the court would have to embark on an extensive analysis of Labour Relations law and policy that would clearly be inappropriate given the Board's status as an "expert" tribunal.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Board further submits that under section 12 it has consistently held that the duty of fair representation requires a "reasoned" or "thoughtful" judgment on the merits of a grievance. It submits that where termination of a long-serving employee is in issue the Union's conduct will be scrutinized carefully. (See: Original Decision, paras. 17 &amp; 19, citing Rayonier Canada (B.C.) Ltd., BLCRB No. 40/75, </w:t>
      </w:r>
      <w:hyperlink r:id="rId321" w:history="1">
        <w:r>
          <w:rPr>
            <w:rFonts w:ascii="arial" w:eastAsia="arial" w:hAnsi="arial" w:cs="arial"/>
            <w:i/>
            <w:color w:val="0077CC"/>
            <w:sz w:val="20"/>
            <w:u w:val="single"/>
            <w:shd w:val="clear" w:color="auto" w:fill="FFFFFF"/>
            <w:lang w:val="en-US" w:eastAsia="en-US" w:bidi="ar-SA"/>
          </w:rPr>
          <w:t>[1975] 2 Can LRBR 196</w:t>
        </w:r>
      </w:hyperlink>
      <w:r>
        <w:rPr>
          <w:rFonts w:ascii="arial" w:eastAsia="arial" w:hAnsi="arial" w:cs="arial"/>
          <w:color w:val="000000"/>
          <w:sz w:val="20"/>
          <w:lang w:val="en-US" w:eastAsia="en-US" w:bidi="ar-SA"/>
        </w:rPr>
        <w:t xml:space="preserve">; Richard Derksen, BCLRB No. B257/99; Gordon Peacock, IRC No. C20/90; and Donato Franco, BCLRB No. B90/94 (Reconsideration of IRC No. C244/92), </w:t>
      </w:r>
      <w:hyperlink r:id="rId328" w:history="1">
        <w:r>
          <w:rPr>
            <w:rFonts w:ascii="arial" w:eastAsia="arial" w:hAnsi="arial" w:cs="arial"/>
            <w:i/>
            <w:color w:val="0077CC"/>
            <w:sz w:val="20"/>
            <w:u w:val="single"/>
            <w:shd w:val="clear" w:color="auto" w:fill="FFFFFF"/>
            <w:lang w:val="en-US" w:eastAsia="en-US" w:bidi="ar-SA"/>
          </w:rPr>
          <w:t>22 CLRBR (2d) 281</w:t>
        </w:r>
      </w:hyperlink>
      <w:r>
        <w:rPr>
          <w:rFonts w:ascii="arial" w:eastAsia="arial" w:hAnsi="arial" w:cs="arial"/>
          <w:color w:val="000000"/>
          <w:sz w:val="20"/>
          <w:lang w:val="en-US" w:eastAsia="en-US" w:bidi="ar-SA"/>
        </w:rPr>
        <w:t>). The Board points out that Mr. Larson was a seven-year employee with a discipline-free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position taken by the Union suggests that, in its view, a long-standing and useful practice is threatened by the Board's ruling in this case. I am in no position to weigh that sort of consideration on a judicial review. I think the jurisdictional issue, as characterized by the Union, is untenable, however. The question of the degree to which a Union is entitled to rely on a legal opinion of this kind in deciding to proceed with, or withdraw, a grievance, is not a question of law beyond the jurisdiction of the Labour Relations Board. Properly characterized, the Board, both at the Original and Reconsideration stages, found that the opinion was "flawed", not in the sense that it was incorrect, but in the sense that, as the entire basis for withdrawing the grievance (para. 27, Reconsideration decision), it was incomplete, because it failed to address the material factor of long discipline-free service. It was the duty of the Union to conduct a "thorough study of the grievance and the case", to borrow the language in Gagnon. A finding that the Union had failed in a material particular to do so, in relying on a legal assessment found to be incomplete is a matter within the jurisdiction of the Board. As such the test is patent unreasonableness.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Reconsideration Panel commented on the breach in upholding the Original Panel's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Failing to consider a necessary relevant factor when deciding whether to pursue a termination grievance can constitute a breach of Section 12. Accordingly, it was open to the original panel to conclude that the Union failed to turn its mind to a necessary relevant factor and therefore breached Section 12. However, in the circumstances of this case, it is clear that the breach was of a nature bordering on the sort of "mistake" that the Board has ruled will not constitute a breach of Section 12. It also did not involve any bad faith or ill will toward Larson. We find it is not appropriate for us to interfere with the original panel's judgment that the Union's failure to consider Larson's discipline-free record crossed the line from mistake and fell into the category of breach. However, we further find that the borderline nature of the breach has implications in terms of the appropriate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is evident that the finding of a breach in the circumstances was considered a close call by the Reconsideration Panel. It is difficult to imagine how a judgment call of this nature, turning, as it does, on a complex balancing of factors with practical and policy consequences within the Labour Relations field, could properly be the subject of judicial review on a "correctness" standard. The court would have to place itself in a position to address the relevant factors without the contextual experience that renders the Board "expert" in such matters. Where the issue is whether all of the relevant factors have been considered or properly weighed against each other, it is difficult to conceive of a decision that would be "clearly irrational", unless proper considerations were abandoned wholesale or manifestly distorted. That is not the case here, and the Union's challenge to the decision at this ground fails.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next ground is characterized by the Union as a question of whether the Board improperly "sub-delegated" its authority to the lawyer appointed to prepare a second opinion, which is again described as a question of jurisdiction, reviewable on a standard of correctness. The specific ruling of the Original Panel was, however, a direction only that, if the Union did not agree to arbitration, the Union had the option to obtain another opinion. That opinion was to address "all the various relevant and conflicting considerations" and to assess whether Larson's grievance had "a reasonable prospect" of success. The Original Panel reserved the right to appoint a lawyer to provide an opinion if the parties were unable to agree. This is, in fact, what happened, and was one of the matters addressed in the Clarification decision. The Union submits that the whole mechanism setting up the second opinion is an incursion on the common law of solicitor/client privilege reviewable on a standard of correctness.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Reconsideration Panel alluded to the broad remedial powers of the Board in finding that it was satisfied that the "proper remedial objectives" were served by the Original Panel's decision that, if the Union chose not to advance the grievance, it could obtain a second opinion on terms set down by the Original Panel. The Reconsideration Panel adjusted those terms as to one aspect of the remedy that is not in issue on this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proper characterization of the remedy is that the Union, having breached section 12, was in a position, following the ruling, to choose whether to arbitrate or to rectify its position by demonstrating, by means of a second opinion, that the factors not manifestly considered in the first had been addressed. This is not an improper delegation of any of the Board's authority, but explicit guidance as to the level of advice required to satisfy the duty imposed upon the Union under section 12. As such, it is a remedy that is consonant with the line of cases respecting good faith reliance on legal advice, which the Union elsewhere cites. The Union's duty of fair representation, particularly where the stakes are high - as they are for an employee subject to termination - requires a thorough approach. While an element of that approach may include commissioning an investigation and an opinion by an independent solicitor, the Union cannot delegate its discretion to that solicitor. The Board's rulings, in this case, go no further than to establish that where the opinion is the evidence of the factors considered, the Union may be required to demonstrate that its reasoning appears to be complete. The second opinion was a fresh opportunity to satisfy that onus.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do not think the matter of privilege is pertinent. The Union remained free to seek legal advice, in the ordinary sense, at any time. The remedy of an "opinion" was, as the Original Panel observed, not really "advice," but a form of assessment, the cost of which the Union would bear given the breach of section 12. As such, it was a form of opinion evidence the Original Panel mandated, not an exercise in directing what legal advice the Union could seek.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Board did not commit a reviewable error in crafting the alternate remedy it did, and the Union's application fails on that ground as well.</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Lastly, the Union submits that the Board breached natural justice and denied the Union a fair hearing in "purporting to accept the assertions of fact made by the Union, but making findings of fact contrary to those assertions of facts". The Union points to its submissions of February 27, 2003, among other things: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requested, this is in response to the complainant's claim that "nowhere in Ms. Matacheskie's legal opinion does she consider [Larson's] record of employment or how that would affect the decision to dismiss".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we note that on at least two occasions in the legal opinion, Ms. Matacheskie refers to the seriousness of the allegations, on page 2, it is said that "... the allegations are of ... a serious nature ..." and on page 11, the allegations are again described as "... serious allegations ...". She was quite clearly of the view that the allegations were such that the absence of any discipline on the record is not relevant. The conduct attracts discharge even in the absence of a prior disciplinary record.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more importantly, there was no reason for Ms. Matacheski to make express reference to the fact that there was no prior discipline on Larson's file. That is because she did him one better and assumed for the purposes of her opinion that he was a good employee, and not merely one with no discipline on his record. On page 11 of the opinion, she sates that "... my interview of possible witnesses have revealed that both Mr. Larson and Ms. Shannon have good reputations at the workplace". Therefore, she obviously considered the allegations as having been made against a valued employee, but because of the seriousness of the charges, was forced to conclude that the grievance would fail.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Finally, we would point out that at the second stage grievance meeting referred to in the letter provided by Ms. Wills, Bruce Richardson made express reference to Larson as an "excellent worker" with "no discipline". We enclose a copy of the minutes of that meeting. Thus, the Union which ultimately made the decision not to proceed with the grievance, was aware that Larson's record was free of discipline, and was conscious of that when reviewing all of the circumstances of the case, including Ms. Matacheskie's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terms of Mr. Larson's notification, on December 7, 2001, that the Union was withdrawing Mr. Larson's grievance were, however, rather blunt: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Enclosed is the legal opinion on your grievance as compiled by Allison Matacheski, the lawyer retained by CUPE Local 561 to assess your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the Executive unanimously agreed </w:t>
      </w:r>
      <w:r>
        <w:rPr>
          <w:rFonts w:ascii="arial" w:eastAsia="arial" w:hAnsi="arial" w:cs="arial"/>
          <w:color w:val="000000"/>
          <w:sz w:val="20"/>
          <w:u w:val="single"/>
          <w:lang w:val="en-US" w:eastAsia="en-US" w:bidi="ar-SA"/>
        </w:rPr>
        <w:t>to comply with the lawyers legal opinion</w:t>
      </w:r>
      <w:r>
        <w:rPr>
          <w:rFonts w:ascii="arial" w:eastAsia="arial" w:hAnsi="arial" w:cs="arial"/>
          <w:color w:val="000000"/>
          <w:sz w:val="20"/>
          <w:lang w:val="en-US" w:eastAsia="en-US" w:bidi="ar-SA"/>
        </w:rPr>
        <w:t>, your grievance will be withdrawn on December 14, 2001.</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These are examples of material the Board had to weigh and consider. It is not a situation where there was no evidence upon which the Board could have found as it did. As such, the issue characterized by the Union as a breach of natural justice is really an objection to the Board's findings of fact. Such findings are within the jurisdiction of the Board and are reviewable on a standard of patent unreasonableness. I would have to find, by that standard, that the evidence, viewed reasonably, was incapable of supporting the Board's finding of fact. I cannot say so, and this aspect of the Union's claim must also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Board made a brief submission on the issue of natural justice and on its standing to make submissions. I grant leave, to the extent it is formally necessary to do so, although, as I have observed, this was not a question of natural justice in my view.</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should add that I also had the benefit of a written submission from the School Board. I have reviewed it, although I have not found it necessary to allude to it, in coming to my decision. It supports the Union's position, and submits that all the relevant considerations were addressed in its decision to terminate Mr. Larson's employment. The School Board suggests that this is manifest in its termination letter: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note that you began employment in 1994 and have had no discipline record. We also note that you have received several non-disciplinary letters expressing concern regarding your illness absence record, and that your attendance subsequently improved toward the district norm of 3 to 5% illness absence in 1999 and 2000, but appears to have increased significantly in 2001. Regardless of your employment record, the district considers your acts of misconduct toward Cindy Shannon to be serious and worthy of the severest disciplinary response i.e. termination of employment, regardless of the fact that you have no previous disciplinary record. Your misconduct is further exacerbated by your continued denial.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School Board submits that it addressed specific Union representations when it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district views Mr. Larson's misconduct to be very serious and worthy of the ultimate sanction of termination despite his employment record. His continued denial of the event of the complaint does not assist the Union's request for reinstatement; therefore the termination of Mr. Larson's employment stands.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No one objected to the School Board's standing to make representations on this matter, although it is really about the relationship of the Union and the Labour Relations Board, as between themselves. If the submission is useful, it is to demonstrate that the School Board and the authors of both opinions were of the view that the conduct alleged against Mr. Larson was of a nature so serious that, if proven, it would sweep aside all other considerations such as a discipline-free work history. Curiously, the School Board seems to consider Mr. Larson's denial an aggravating factor, in a context where Mr. Larson had never been given a chance to face his accuser.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It is not the place of this Court, on judicial review, to editorialize generally about practices considered functional in a specialized field. The apparently common phenomenon of reliance on predictive opinions in Labour Relations matters may have a strong rationale. In the specific context of situations like Mr. Larson's - that is, in straight-up credibility tests - practices which pre-empt established adjudicative processes may, however, ultimately run afoul of fundamental principles of fairness. The notion that, for instance, because Ms. Shannon told a number of people in the aftermath, about this encounter, and they can accurately repeat what she said, her story is corroborated (found in the first opinion), is not just unacceptable in the formal world of the courts, but is fundamentally wrong. The consensus, moreover, that what Mr. Larson was accused of was so serious that it overwhelmed consideration of his record as a mitigating circumstance, bypasses its primary and central importance as evidence to be weighed in the assessment of credibility itself. That is to say, little emphasis was placed by anyone, on the question of why Mr. Larson would behave in that unprecedented fashion, jeopardizing his 7-year position.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XI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second opinion re-centres the controversy at the heart of this case: the relative credibility of two opposing versions of events. Where a case comes down to that, in the absence of compelling corroborative evidence decisively tipping the scale, it is questionable whether reliance on opinions pre-empting due process will, in most cases, accord with the principles of fundamental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Here, the second opinion properly considered this a credibility case and recommended arbitration, so it is unnecessary to consider that matter further. The Union's challenge to the remedy is, in the circumstances, dismissed, as is the broader challenge under section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Board does not seek costs, so there will be no order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McEWAN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6"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Cecile v. Capri Insurance Services Ltd., [2017] B.C.J. No. 2415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R. McDiarmid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11,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September 18,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S54060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2415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2190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Robert Cecile, Plaintiff,and Capri Insurance Services Ltd., Timothy Miller and Scot Speiser,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7"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0" w:name="Keywords_15"/>
      <w:bookmarkEnd w:id="110"/>
      <w:r>
        <w:rPr>
          <w:rFonts w:ascii="arial" w:eastAsia="arial" w:hAnsi="arial" w:cs="arial"/>
          <w:b/>
          <w:color w:val="000000"/>
          <w:sz w:val="20"/>
          <w:lang w:val="en-US" w:eastAsia="en-US" w:bidi="ar-SA"/>
        </w:rPr>
        <w:t>Civil litigation — Discovery — Examination for discovery — Range of examination — Objections and compelling answers — Application by plaintiff to compel answers allowed in part — Plaintiff alleged that he relied on negligent or fraudulent representations when he signed contract — This was fraud case in part, that put significant evidentiary onus on plaintiff and he had right to essentially leave no stone unturned — Reasonableness, insofar as it related to proportionality, was considered, but relevance was most important aspect — While something might be marginally relevant, that was still relevance — "Hearsay objection" was not generally maintainable — Supreme Court Civil Rules, Rule 7-2(18).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Proceedings in contract — Practice and procedure — Discovery — Application by plaintiff to compel answers allowed in part — Plaintiff alleged that he relied on negligent or fraudulent representations when he signed contract — This was fraud case in part, that put significant evidentiary onus on plaintiff and he had right to essentially leave no stone unturned — Reasonableness, insofar as it related to proportionality, was considered, but relevance was most important aspect — While something might be marginally relevant, that was still relevance — "Hearsay objection" was not generally maintainable — Supreme Court Civil Rules, Rule 7-2(18).</w:t>
      </w:r>
    </w:p>
    <w:p>
      <w:pPr>
        <w:jc w:val="both"/>
        <w:rPr>
          <w:rFonts w:ascii="arial" w:eastAsia="arial" w:hAnsi="arial" w:cs="arial"/>
          <w:sz w:val="20"/>
          <w:lang w:val="en-US" w:eastAsia="en-US" w:bidi="ar-SA"/>
        </w:rPr>
      </w:pPr>
      <w:bookmarkStart w:id="111" w:name="Legislation Cited_13"/>
      <w:bookmarkEnd w:id="11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8"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1-3</w:t>
      </w:r>
      <w:r>
        <w:rPr>
          <w:rFonts w:ascii="arial" w:eastAsia="arial" w:hAnsi="arial" w:cs="arial"/>
          <w:color w:val="000000"/>
          <w:sz w:val="20"/>
          <w:lang w:val="en-US" w:eastAsia="en-US" w:bidi="ar-SA"/>
        </w:rPr>
        <w:t>(2), Rule 1-3(2)(b), Rule 7-2(2)(a), Rule 7-2(18)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2" w:name="Counsel_15"/>
      <w:bookmarkEnd w:id="11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9" style="position:absolute;z-index:2517770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E.C. Hughes.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by teleconference: K.A. Robertson.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3" w:name="Judgment_15"/>
      <w:bookmarkEnd w:id="113"/>
      <w:r>
        <w:pict>
          <v:line id="_x0000_s1110" style="position:absolute;z-index:2518282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4" w:name="MASTER R. McDIARMID (orally)"/>
            <w:bookmarkEnd w:id="114"/>
            <w:r>
              <w:rPr>
                <w:rFonts w:ascii="arial" w:eastAsia="arial" w:hAnsi="arial" w:cs="arial"/>
                <w:b/>
                <w:color w:val="000000"/>
                <w:sz w:val="30"/>
                <w:lang w:val="en-US" w:eastAsia="en-US" w:bidi="ar-SA"/>
              </w:rPr>
              <w:t>MASTER R. McDIARMID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plaintiff to compel the defendants, Mr. Speiser and Capri Insurance Services Ltd. ("Capri"), to answer certain questions asked of Mr. Speiser who was examined for discovery personally and as a representative of Capri. The plaintiff claims that he was wrongfully dismissed from his employment by Capri. He pleads, in essence, that he was induced by Capri. The exact words in the Notice of Civil Claim are "actively recruit." He alleges an oral contract and alleges that the agreement he signed did not accurately reflect the terms of the oral contract. He alleges the signed contract is unenforceable. He alleges that he relied on representations which he states were either negligently or fraudulently made. He seeks damages, including aggravated and punitive damages, for breach of contract and negligent or 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By consent, in addition to the materials filed in this matter, the parties agreed that I could review a transcript of the examination for discovery and I have done so. That is the examination for discovery of Mr. Speiser which took place on May 25, 2017. The transcript shows 1,115 questions and answers covering 215 pages, excluding the outstanding requests and index pages. Mr. Speiser was not working for Capri in May of 2015 when the first contact between the plaintiff and Capri representatives occurred. I have reviewed the transcript and it was of assistance in me reaching the decisions I make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 do wish, as a preliminary, to make some comments generally. Defendant's counsel, in my view, acted at the discovery as she ought to. Justice Pearlman in </w:t>
      </w:r>
      <w:r>
        <w:rPr>
          <w:rFonts w:ascii="arial" w:eastAsia="arial" w:hAnsi="arial" w:cs="arial"/>
          <w:i/>
          <w:color w:val="000000"/>
          <w:sz w:val="20"/>
          <w:lang w:val="en-US" w:eastAsia="en-US" w:bidi="ar-SA"/>
        </w:rPr>
        <w:t>Gardner v. Virdis Energy Inc.</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2012 BCSC 1816</w:t>
        </w:r>
      </w:hyperlink>
      <w:r>
        <w:rPr>
          <w:rFonts w:ascii="arial" w:eastAsia="arial" w:hAnsi="arial" w:cs="arial"/>
          <w:color w:val="000000"/>
          <w:sz w:val="20"/>
          <w:lang w:val="en-US" w:eastAsia="en-US" w:bidi="ar-SA"/>
        </w:rPr>
        <w:t xml:space="preserve"> one of the oft-cited cases in dealing with examinations for discovery or corporate representatives, wrote at para. 83: "The time limit on discovery requires that counsel for the examining party ...". I think that is a misprint. As I will clarify, that should have read "examined party."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not unduly interfere or intervene during the examination for discovery. A largely "hands off" approach, except in the clearest cases, is consistent with the object of the Rules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He cites </w:t>
      </w:r>
      <w:r>
        <w:rPr>
          <w:rFonts w:ascii="arial" w:eastAsia="arial" w:hAnsi="arial" w:cs="arial"/>
          <w:i/>
          <w:color w:val="000000"/>
          <w:sz w:val="20"/>
          <w:lang w:val="en-US" w:eastAsia="en-US" w:bidi="ar-SA"/>
        </w:rPr>
        <w:t>Kendall v. Sun Life Assurance Co. of Canada</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2010 BCSC 1556</w:t>
        </w:r>
      </w:hyperlink>
      <w:r>
        <w:rPr>
          <w:rFonts w:ascii="arial" w:eastAsia="arial" w:hAnsi="arial" w:cs="arial"/>
          <w:color w:val="000000"/>
          <w:sz w:val="20"/>
          <w:lang w:val="en-US" w:eastAsia="en-US" w:bidi="ar-SA"/>
        </w:rPr>
        <w:t>, where Madam Justice Griffin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The newly imposed time limit on discovery makes it all the more important that the courts enforce the principle that counsel for the examined party must not unduly interfere or intervene during the examination for discovery. The time limit imposes a self-policing incentive on the examining counsel to be focused and to not waste time on questions that will not advance the purpose of investigating the case or obtaining admissions for use at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While the time limit on examination for discovery creates an incentive on the examining party to be efficient, it unfortunately also creates a risk that counsel for the examinee will be inefficient by unduly objecting and interfering on the discovery, for the purpose of wasting the limited time available. If that party is economically stronger than the examining party, it also can strategically increase the costs of litigation this way, by burdening the financially disadvantaged party with having to bring a court application to obtain a proper discovery.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The proper conduct of an examination for discovery within the spirit of the Rules thus relies on the professionalism of counsel for the party being examined.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As held by the </w:t>
      </w:r>
      <w:r>
        <w:rPr>
          <w:rFonts w:ascii="arial" w:eastAsia="arial" w:hAnsi="arial" w:cs="arial"/>
          <w:i/>
          <w:color w:val="000000"/>
          <w:sz w:val="20"/>
          <w:lang w:val="en-US" w:eastAsia="en-US" w:bidi="ar-SA"/>
        </w:rPr>
        <w:t>Ontario Superior Court in Iroquois Falls Power Corp. v. Jacobs Canada Inc</w:t>
      </w:r>
      <w:r>
        <w:rPr>
          <w:rFonts w:ascii="arial" w:eastAsia="arial" w:hAnsi="arial" w:cs="arial"/>
          <w:color w:val="000000"/>
          <w:sz w:val="20"/>
          <w:lang w:val="en-US" w:eastAsia="en-US" w:bidi="ar-SA"/>
        </w:rPr>
        <w:t xml:space="preserve">. (2006), </w:t>
      </w:r>
      <w:hyperlink r:id="rId338" w:history="1">
        <w:r>
          <w:rPr>
            <w:rFonts w:ascii="arial" w:eastAsia="arial" w:hAnsi="arial" w:cs="arial"/>
            <w:i/>
            <w:color w:val="0077CC"/>
            <w:sz w:val="20"/>
            <w:u w:val="single"/>
            <w:shd w:val="clear" w:color="auto" w:fill="FFFFFF"/>
            <w:lang w:val="en-US" w:eastAsia="en-US" w:bidi="ar-SA"/>
          </w:rPr>
          <w:t>2006 CanLII 35612</w:t>
        </w:r>
      </w:hyperlink>
      <w:r>
        <w:rPr>
          <w:rFonts w:ascii="arial" w:eastAsia="arial" w:hAnsi="arial" w:cs="arial"/>
          <w:color w:val="000000"/>
          <w:sz w:val="20"/>
          <w:lang w:val="en-US" w:eastAsia="en-US" w:bidi="ar-SA"/>
        </w:rPr>
        <w:t xml:space="preserve"> (ON SC), </w:t>
      </w:r>
      <w:hyperlink r:id="rId338" w:history="1">
        <w:r>
          <w:rPr>
            <w:rFonts w:ascii="arial" w:eastAsia="arial" w:hAnsi="arial" w:cs="arial"/>
            <w:i/>
            <w:color w:val="0077CC"/>
            <w:sz w:val="20"/>
            <w:u w:val="single"/>
            <w:shd w:val="clear" w:color="auto" w:fill="FFFFFF"/>
            <w:lang w:val="en-US" w:eastAsia="en-US" w:bidi="ar-SA"/>
          </w:rPr>
          <w:t>83 O.R. (3d) 438</w:t>
        </w:r>
      </w:hyperlink>
      <w:r>
        <w:rPr>
          <w:rFonts w:ascii="arial" w:eastAsia="arial" w:hAnsi="arial" w:cs="arial"/>
          <w:color w:val="000000"/>
          <w:sz w:val="20"/>
          <w:lang w:val="en-US" w:eastAsia="en-US" w:bidi="ar-SA"/>
        </w:rPr>
        <w:t xml:space="preserve"> at para. 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Improper interference by counsel in the other party's discovery undermines the purposes of discovery, prolongs it, fosters professional mistrust and generally offends the overall purpose of the Rules.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A largely "hands off" approach to examinations for discovery, except in the clearest of circumstances, is in accord with the object of the Rules ... particularly the newly stated object of proportionality, effective July 1, 2010. Allowing wide-ranging cross-examination on examination for discovery is far more cost-effective than a practice that encourages objections, which will undoubtedly result in subsequent chambers applications to require judges or masters to rule on the objections. It is far more efficient for counsel for the examinee to raise objections to the admissibility of evidence at trial, rather than on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Mr. Speiser appears to me to have been conscientious in informing himself even though he was not personally involved in the initial contact. Most of the questions were answered, not evaded. There were 49 requests. The index to the request page is 10-and-a-half pages long. I recognize that where fraud is pleaded as here, getting to the bottom of the issue requires diligence. The proportionality requirement remains, obviously. I am bound to and did consider Rule 1-3(2) and sub-sub (b)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the importance of the issues in particular. The fraud allegation is important. It permits the plaintiff to conduct what otherwise might be considered a disproportionately lengthy discovery. The remedy available to the defendants is to seek an award of special costs against the plaintiff if the plaintiff is unsuccessful in making out the fraud, or possibly an order denying him all of his costs if he is only partially successful in his claim. In this case, proportionality does not result in dismissing the application on the basis that to require further answering would be disproportionate.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There is no issue as to the law. Rule 7-2(18) of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xml:space="preserve"> is as follows:</w:t>
      </w:r>
      <w:r>
        <w:rPr>
          <w:rFonts w:ascii="arial" w:eastAsia="arial" w:hAnsi="arial" w:cs="arial"/>
          <w:sz w:val="20"/>
          <w:lang w:val="en-US" w:eastAsia="en-US" w:bidi="ar-SA"/>
        </w:rPr>
        <w:cr/>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orders, a person being examined for discovery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answer any question within his or her knowledge or means of knowledge regarding any matter, not privileged, relating to a matter in question in the action, and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compellable to give the names and addresses of all persons who reasonably might be expected to have knowledge relating to any matter in question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Cominco Ltd. v. Westinghouse Canada Ltd</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(1979), 11 B.C.L.R. 142</w:t>
        </w:r>
      </w:hyperlink>
      <w:r>
        <w:rPr>
          <w:rFonts w:ascii="arial" w:eastAsia="arial" w:hAnsi="arial" w:cs="arial"/>
          <w:color w:val="000000"/>
          <w:sz w:val="20"/>
          <w:lang w:val="en-US" w:eastAsia="en-US" w:bidi="ar-SA"/>
        </w:rPr>
        <w:t xml:space="preserve"> at paras. 9, 16, 18, 19 and 26, Mr. Justice Seaton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The observations of Hunter C.J. in </w:t>
      </w:r>
      <w:r>
        <w:rPr>
          <w:rFonts w:ascii="arial" w:eastAsia="arial" w:hAnsi="arial" w:cs="arial"/>
          <w:i/>
          <w:color w:val="000000"/>
          <w:sz w:val="20"/>
          <w:lang w:val="en-US" w:eastAsia="en-US" w:bidi="ar-SA"/>
        </w:rPr>
        <w:t>Hopper v. Dunsmuir</w:t>
      </w:r>
      <w:r>
        <w:rPr>
          <w:rFonts w:ascii="arial" w:eastAsia="arial" w:hAnsi="arial" w:cs="arial"/>
          <w:color w:val="000000"/>
          <w:sz w:val="20"/>
          <w:lang w:val="en-US" w:eastAsia="en-US" w:bidi="ar-SA"/>
        </w:rPr>
        <w:t xml:space="preserve"> (1903), 10 B.C.R. 23 (C.A.) at pp. 28-29, retain their validity and are worth repeating: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 doubt some of the questions propounded and refused to be answered seem at first sight to be somewhat remote from the matter in hand, but I think it is impossible to say that the answers may not be relevant to the issues, and such being the case they are within the right given the cross-examining party by the rule. Even under the decisions on the English practice the Court could not disallow an interrogatory unless it was plain that the answer could not be relevant to the issue: </w:t>
      </w:r>
      <w:r>
        <w:rPr>
          <w:rFonts w:ascii="arial" w:eastAsia="arial" w:hAnsi="arial" w:cs="arial"/>
          <w:i/>
          <w:color w:val="000000"/>
          <w:sz w:val="20"/>
          <w:lang w:val="en-US" w:eastAsia="en-US" w:bidi="ar-SA"/>
        </w:rPr>
        <w:t>Sheward v. Earl of Lonsdale</w:t>
      </w:r>
      <w:r>
        <w:rPr>
          <w:rFonts w:ascii="arial" w:eastAsia="arial" w:hAnsi="arial" w:cs="arial"/>
          <w:color w:val="000000"/>
          <w:sz w:val="20"/>
          <w:lang w:val="en-US" w:eastAsia="en-US" w:bidi="ar-SA"/>
        </w:rPr>
        <w:t xml:space="preserve"> (1880), 42 L.T.N.S. 172; </w:t>
      </w:r>
      <w:r>
        <w:rPr>
          <w:rFonts w:ascii="arial" w:eastAsia="arial" w:hAnsi="arial" w:cs="arial"/>
          <w:i/>
          <w:color w:val="000000"/>
          <w:sz w:val="20"/>
          <w:lang w:val="en-US" w:eastAsia="en-US" w:bidi="ar-SA"/>
        </w:rPr>
        <w:t>In re Thomas Holloway</w:t>
      </w:r>
      <w:r>
        <w:rPr>
          <w:rFonts w:ascii="arial" w:eastAsia="arial" w:hAnsi="arial" w:cs="arial"/>
          <w:color w:val="000000"/>
          <w:sz w:val="20"/>
          <w:lang w:val="en-US" w:eastAsia="en-US" w:bidi="ar-SA"/>
        </w:rPr>
        <w:t xml:space="preserve"> (1887), 12 P.D. 167.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also obvious that useful or effective cross-examination would be impossible if counsel could only ask such questions as plainly revealed their purpose, and it is needless to labour the proposition that in many cases much preliminary skirmishing is necessary to make possible a successful assault upon the citadel, especially where the adversary is the chief repository of the information required.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argued by the learned counsel for the respondent that only a sort of cross-examination was allowed by the rule; that it consisted in asking leading questions bearing directly on the issues, and, if thought proper, in a loud tone of voice. I cannot agree. I think that the function of a cross-examiner is not to play the role of the ass in the lion's skin, but to extract information that will be of use in the decision of the issues, and by the most circuitous routes if it shall appear necessary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may add that, in my experience of the use of this procedure in Ontario, no one ever suggested that the cross-examination was not to be one in reality as well as in name."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matter in question in an action is defined by the pleadings. It does not follow that there ought to be a fine scrutiny of the pleadings. We have heard an interesting argument of that nature but it is an inappropriate exercise. Pleadings are amended; particulars are amended. The nature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alleged is important, but not the precise nature. We are not interpreting a contract or a statute; we are looking at pleadings to determine the scope of a trial that is going to take place at some time in the future.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The words "means of knowledge" in R. 27(22) must have some limit and it must be based on reasonableness. What is reasonable will depend on the case, the importance of the information to the case, the expense and difficulty involved in obtaining the answers, and the other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There are limits to an examination for discovery but they are not drawn so as to exclude an otherwise proper area simply because to enter the area would expose a great deal of material. Nor is an area of questioning barred by the statement that if the plaintiff enters it the defendant will have to follow. The defendants can enter or not enter an area as they see fit. If, as they say, it leads to nothing, then they are in no danger.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If a question is difficult to answer, the witness can say so and can be cross-examined about the difficulty. It is for the witness, not counsel, to deal with that. Difficulty in answering does not exclude a whole area. It excludes specific questions. No area of fact is closed on the ground that to enter it would "open the floodgates".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An example of the questions with which we are concerned under this heading is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379) Do they do research into the flame resistant characteristic of PVC?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KOWALCHUK: I instruct the witness not to answer.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WALLACE: (Q. 380) Did they do research into that at the time you were with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KOWALCHUK: I instruct the witness not to answer the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WALLACE: (Q. 381) Did they do research into PVC coated cable?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KOWALCHUK: I instruct the witness not to answer the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WALLACE: (Q. 382) Did they do research into PVC coated Teck cables?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KOWALCHUK: You may answer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WITNESS: They did not."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that all of these questions should have been answered. One is not restricted to asking in terms of the statement of claim. It is evidence that is being sought. A question to be proper need not be focused directly on a matter in question in the action but need only relate to such a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Gardner</w:t>
      </w:r>
      <w:r>
        <w:rPr>
          <w:rFonts w:ascii="arial" w:eastAsia="arial" w:hAnsi="arial" w:cs="arial"/>
          <w:color w:val="000000"/>
          <w:sz w:val="20"/>
          <w:lang w:val="en-US" w:eastAsia="en-US" w:bidi="ar-SA"/>
        </w:rPr>
        <w:t>, Pearlman J. writes at paras. 74-75 and 82-84: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[74] In dissent, Irving J.A., in the course of concluding that a representative of a corporation examined for discovery was bound to make inquiries of his subordinate officers relating to the matters in question, commented on the representative's duty to prepare before the discovery at pp. 58 and 60: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main question in this appeal is: Is the manager of a corporation, being examined under Order XXXIA., bound to inquire from his subordinate officers information relating to the matters in question, in the same way and to the same extent that a party being interrogated under the provisions of Order XXXI. is required to do, according to the practice laid down by the Court of Appeal in </w:t>
      </w:r>
      <w:r>
        <w:rPr>
          <w:rFonts w:ascii="arial" w:eastAsia="arial" w:hAnsi="arial" w:cs="arial"/>
          <w:i/>
          <w:color w:val="000000"/>
          <w:sz w:val="20"/>
          <w:lang w:val="en-US" w:eastAsia="en-US" w:bidi="ar-SA"/>
        </w:rPr>
        <w:t>Bolckow v. Fisher</w:t>
      </w:r>
      <w:r>
        <w:rPr>
          <w:rFonts w:ascii="arial" w:eastAsia="arial" w:hAnsi="arial" w:cs="arial"/>
          <w:color w:val="000000"/>
          <w:sz w:val="20"/>
          <w:lang w:val="en-US" w:eastAsia="en-US" w:bidi="ar-SA"/>
        </w:rPr>
        <w:t xml:space="preserve"> (1882), 10 Q.B.D. 161.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Ontario practice requires that the officer being examined shall prepare himself by obtaining full knowledge of all relevant facts, so that the examining party may get the information. That seems to me a reasonable and convenient rule, and one which should be adopted, if possible.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on the general principles I have referred to, that it was Mr. Nichol's duty either to have informed himself before going to the examination, so that he could definitely answer the two questions, or have offered to furnish the information at a subsequent examination, or have given an undertaking to furnish an admission on the point. One of the main objects of the rules for discovery is to narrow the issues as much as possible before the trial is reached.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[75] In </w:t>
      </w:r>
      <w:r>
        <w:rPr>
          <w:rFonts w:ascii="arial" w:eastAsia="arial" w:hAnsi="arial" w:cs="arial"/>
          <w:i/>
          <w:color w:val="000000"/>
          <w:sz w:val="20"/>
          <w:lang w:val="en-US" w:eastAsia="en-US" w:bidi="ar-SA"/>
        </w:rPr>
        <w:t>Morrison-Knudsen Co. v. B.C. Hydro &amp; Power Authority</w:t>
      </w:r>
      <w:r>
        <w:rPr>
          <w:rFonts w:ascii="arial" w:eastAsia="arial" w:hAnsi="arial" w:cs="arial"/>
          <w:color w:val="000000"/>
          <w:sz w:val="20"/>
          <w:lang w:val="en-US" w:eastAsia="en-US" w:bidi="ar-SA"/>
        </w:rPr>
        <w:t xml:space="preserve"> (1970), 75 W.W.R. 757 at para. 9, the Court of Appeal held that </w:t>
      </w:r>
      <w:r>
        <w:rPr>
          <w:rFonts w:ascii="arial" w:eastAsia="arial" w:hAnsi="arial" w:cs="arial"/>
          <w:i/>
          <w:color w:val="000000"/>
          <w:sz w:val="20"/>
          <w:lang w:val="en-US" w:eastAsia="en-US" w:bidi="ar-SA"/>
        </w:rPr>
        <w:t>Brydon-Jack</w:t>
      </w:r>
      <w:r>
        <w:rPr>
          <w:rFonts w:ascii="arial" w:eastAsia="arial" w:hAnsi="arial" w:cs="arial"/>
          <w:color w:val="000000"/>
          <w:sz w:val="20"/>
          <w:lang w:val="en-US" w:eastAsia="en-US" w:bidi="ar-SA"/>
        </w:rPr>
        <w:t xml:space="preserve"> was no longer the law in British Columbia. The Rules relating to discovery of corporations had changed to require that an officer of the corporation presented for examination inform himself on the matters in question in the action. In </w:t>
      </w:r>
      <w:r>
        <w:rPr>
          <w:rFonts w:ascii="arial" w:eastAsia="arial" w:hAnsi="arial" w:cs="arial"/>
          <w:i/>
          <w:color w:val="000000"/>
          <w:sz w:val="20"/>
          <w:lang w:val="en-US" w:eastAsia="en-US" w:bidi="ar-SA"/>
        </w:rPr>
        <w:t>McKeen &amp; Wilson Ltd. v. Gulf of Georgia Towing Co. Ltd. et al</w:t>
      </w:r>
      <w:r>
        <w:rPr>
          <w:rFonts w:ascii="arial" w:eastAsia="arial" w:hAnsi="arial" w:cs="arial"/>
          <w:color w:val="000000"/>
          <w:sz w:val="20"/>
          <w:lang w:val="en-US" w:eastAsia="en-US" w:bidi="ar-SA"/>
        </w:rPr>
        <w:t xml:space="preserve">. (1964), 1964 CanLII 460 (FC), </w:t>
      </w:r>
      <w:hyperlink r:id="rId340" w:history="1">
        <w:r>
          <w:rPr>
            <w:rFonts w:ascii="arial" w:eastAsia="arial" w:hAnsi="arial" w:cs="arial"/>
            <w:i/>
            <w:color w:val="0077CC"/>
            <w:sz w:val="20"/>
            <w:u w:val="single"/>
            <w:shd w:val="clear" w:color="auto" w:fill="FFFFFF"/>
            <w:lang w:val="en-US" w:eastAsia="en-US" w:bidi="ar-SA"/>
          </w:rPr>
          <w:t>52 D.L.R. (2d) 744</w:t>
        </w:r>
      </w:hyperlink>
      <w:r>
        <w:rPr>
          <w:rFonts w:ascii="arial" w:eastAsia="arial" w:hAnsi="arial" w:cs="arial"/>
          <w:color w:val="000000"/>
          <w:sz w:val="20"/>
          <w:lang w:val="en-US" w:eastAsia="en-US" w:bidi="ar-SA"/>
        </w:rPr>
        <w:t xml:space="preserve"> at pp. 748-49, Norris J., sitting as a local judge in admiralty of the Exchequer Court of Canada declined to follow the majority judgment in </w:t>
      </w:r>
      <w:r>
        <w:rPr>
          <w:rFonts w:ascii="arial" w:eastAsia="arial" w:hAnsi="arial" w:cs="arial"/>
          <w:i/>
          <w:color w:val="000000"/>
          <w:sz w:val="20"/>
          <w:lang w:val="en-US" w:eastAsia="en-US" w:bidi="ar-SA"/>
        </w:rPr>
        <w:t>Brydon-Jack</w:t>
      </w:r>
      <w:r>
        <w:rPr>
          <w:rFonts w:ascii="arial" w:eastAsia="arial" w:hAnsi="arial" w:cs="arial"/>
          <w:color w:val="000000"/>
          <w:sz w:val="20"/>
          <w:lang w:val="en-US" w:eastAsia="en-US" w:bidi="ar-SA"/>
        </w:rPr>
        <w:t xml:space="preserve"> and expressed the opinion that the dissenting judgment of Irving J.A. was "convincing".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[82] The defendant concedes that some objections were improper. In the interests of confining the length of these Reasons, I will not set out here each of the questions to which Mr. Gardner says defence counsel improperly objected, but rather will refer to them by question number. Questions 452, 455, 463-4, 466 and 545 all related to Viridis' financial performance and the defendant's claim for damages to its business reputation, and for decrease in market capitalization and share prices. The objections were improper, and those questions should be answered. Defence counsel also objected to questions 14, 15 and 128, which were questions about whether Mr. Campbell had sold shares in Viridis within the last two years. Viridis contends that Mr. Gardner had depressed the value of its shares by selling large numbers of Viridis shares that he controlled. In these circumstances, it was fair game for plaintiff's counsel to inquire whether Mr. Campbell, another director of the defendant had also sold shares.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[83] The time limit on discovery requires that counsel for the examining party not unduly interfere or intervene during the examination for discovery. A largely "hands off" approach, except in the clearest cases, is consistent with the object of the Rules: </w:t>
      </w:r>
      <w:r>
        <w:rPr>
          <w:rFonts w:ascii="arial" w:eastAsia="arial" w:hAnsi="arial" w:cs="arial"/>
          <w:i/>
          <w:color w:val="000000"/>
          <w:sz w:val="20"/>
          <w:lang w:val="en-US" w:eastAsia="en-US" w:bidi="ar-SA"/>
        </w:rPr>
        <w:t>Kendall v. Sun Life Assurance Company of Canada</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2010 BCSC 1556</w:t>
        </w:r>
      </w:hyperlink>
      <w:r>
        <w:rPr>
          <w:rFonts w:ascii="arial" w:eastAsia="arial" w:hAnsi="arial" w:cs="arial"/>
          <w:color w:val="000000"/>
          <w:sz w:val="20"/>
          <w:lang w:val="en-US" w:eastAsia="en-US" w:bidi="ar-SA"/>
        </w:rPr>
        <w:t xml:space="preserve"> (CanLII) at paras. 14, 18.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[84] Rule 7-2(3) sets out the factors the court must take into account on an application to extend the time for examination for discovery:</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application under subrule (2) to extend the examination for discovery period, the court must consider the following:</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of a person who has been or is to be examined, including</w:t>
      </w:r>
    </w:p>
    <w:p>
      <w:pPr>
        <w:numPr>
          <w:numId w:val="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person's unresponsiveness in any examination for discovery held in the action,</w:t>
      </w:r>
    </w:p>
    <w:p>
      <w:pPr>
        <w:numPr>
          <w:numId w:val="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person's failure to provide complete answers to questions, or</w:t>
      </w:r>
    </w:p>
    <w:p>
      <w:pPr>
        <w:numPr>
          <w:numId w:val="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person's provision of answers that are evasive, irrelevant, unresponsive or unduly lengthy;</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denial or refusal to admit, by a person who has been or is to be examined, anything that should have been admitted;</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of the examining party;</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or not it is or was reasonably practicable to complete the examinations for discovery within the period provided under subrule (2);</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parties and examinations for discovery and the proximity of the various interests of those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should make the comment that the witness here was responsive, generally provided complete answers, was not evasive, did not give irrelevant answers, and did not give unduly lengthy ones. He did not appear, on my review of the transcript, to deny or refuse to admit anything that should have been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Nesbitt v. Midland Walwyn Capital Inc.</w:t>
      </w:r>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[1994] B.C.J. No. 880</w:t>
        </w:r>
      </w:hyperlink>
      <w:r>
        <w:rPr>
          <w:rFonts w:ascii="arial" w:eastAsia="arial" w:hAnsi="arial" w:cs="arial"/>
          <w:color w:val="000000"/>
          <w:sz w:val="20"/>
          <w:lang w:val="en-US" w:eastAsia="en-US" w:bidi="ar-SA"/>
        </w:rPr>
        <w:t>, Mr. Justice Hutchinson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In most cases, a corporate officer, who thoroughly informs himself or herself on the corporation's activities, should be able to respond to all of the plaintiffs' individual concerns. However, an exceptional case may arise in which an officer is unable to adequately respond to a concern of a plaintiff that is central to issues within the action. In such circumstances, the plaintiff is not without a remedy: Rule 27(5) permits him or her to apply to the court for an order mandating a second examination of the corporate defendant. This order will not be available, however, to assist the plaintiff in obtaining information that merely supplements the bulk of information obtained in a first examination. As Mr. Justice Hollinrake stated in Privest Properties Ltd. v. W.R. Grace &amp; Co. of Canada (3 June 1992), Vancouver CA014025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may be cases where a chambers judge could make the finding that the first officer cannot properly inform himself without the questions being asked in the particular areas in issue and the opportunity afforded the examinee to inform himself or herself. I think those cases will be the exception to the general rule that the party seeking the examination of a second officer must demonstrate that the first officer being examined cannot satisfactorily inform himself.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Limits placed upon examinations for discovery of corporate defendants, such as those set out within Rule 27(5), exist to ensure the proper utilization of this pre-trial process. Granting multiple plaintiffs an automatic right to examine officers of their choice would, I think, effectively circumvent these limits and permit parties to achieve a result not intended by the makers of the Rules. In order to meet the overall objective of Rule 27, subrule (3) should be interpreted to mean that multiple plaintiffs, whether separately represented or not, have the right to individually examine only one corporate officer. If, for some exceptional reason, the officer fails to provide adequate information to one or more of the plaintiffs, the parties may invoke Rule 27(5) and examine additional corporate officers, with leave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salient portions of the decision of </w:t>
      </w:r>
      <w:r>
        <w:rPr>
          <w:rFonts w:ascii="arial" w:eastAsia="arial" w:hAnsi="arial" w:cs="arial"/>
          <w:i/>
          <w:color w:val="000000"/>
          <w:sz w:val="20"/>
          <w:lang w:val="en-US" w:eastAsia="en-US" w:bidi="ar-SA"/>
        </w:rPr>
        <w:t>No Limits Sportswear Inc. v. 0912139 B.C. Ltd.</w:t>
      </w:r>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2015 BCSC 339</w:t>
        </w:r>
      </w:hyperlink>
      <w:r>
        <w:rPr>
          <w:rFonts w:ascii="arial" w:eastAsia="arial" w:hAnsi="arial" w:cs="arial"/>
          <w:color w:val="000000"/>
          <w:sz w:val="20"/>
          <w:lang w:val="en-US" w:eastAsia="en-US" w:bidi="ar-SA"/>
        </w:rPr>
        <w:t>, a decision of Madam Justice Fenlon, as she then was, at paras. 9, 10, 63, 64 and 69-71: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This application is governed by Rule 7?2 of the Supreme Court Civil Rules. Rule 7?2(18) requires a witness to answer all questions within his or her knowledge or means of knowledge regarding any matter not privileged relating to a matter in question in the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scope of discovery is defined by the pleadings. Generally a wide scope is given on examination for discovery because of the nature of cross-examination. It will not always be apparent that a question will produce relevant evidence: </w:t>
      </w:r>
      <w:r>
        <w:rPr>
          <w:rFonts w:ascii="arial" w:eastAsia="arial" w:hAnsi="arial" w:cs="arial"/>
          <w:i/>
          <w:color w:val="000000"/>
          <w:sz w:val="20"/>
          <w:lang w:val="en-US" w:eastAsia="en-US" w:bidi="ar-SA"/>
        </w:rPr>
        <w:t>Kendall v. Sun Life Assurance Company of Canada</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2010 BCSC 1556</w:t>
        </w:r>
      </w:hyperlink>
      <w:r>
        <w:rPr>
          <w:rFonts w:ascii="arial" w:eastAsia="arial" w:hAnsi="arial" w:cs="arial"/>
          <w:color w:val="000000"/>
          <w:sz w:val="20"/>
          <w:lang w:val="en-US" w:eastAsia="en-US" w:bidi="ar-SA"/>
        </w:rPr>
        <w:t xml:space="preserve"> (CanLII) at paras. 8 and 10. </w:t>
      </w:r>
      <w:r>
        <w:rPr>
          <w:rFonts w:ascii="arial" w:eastAsia="arial" w:hAnsi="arial" w:cs="arial"/>
          <w:i/>
          <w:color w:val="000000"/>
          <w:sz w:val="20"/>
          <w:lang w:val="en-US" w:eastAsia="en-US" w:bidi="ar-SA"/>
        </w:rPr>
        <w:t>Kendall</w:t>
      </w:r>
      <w:r>
        <w:rPr>
          <w:rFonts w:ascii="arial" w:eastAsia="arial" w:hAnsi="arial" w:cs="arial"/>
          <w:color w:val="000000"/>
          <w:sz w:val="20"/>
          <w:lang w:val="en-US" w:eastAsia="en-US" w:bidi="ar-SA"/>
        </w:rPr>
        <w:t xml:space="preserve"> also stands for the proposition that in general unless a question is clearly irrelevant it should be answered and objections saved for trial. Applications of the kind before me add to the cost of litigation and should, as a rule, be avoided.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I conclude nonetheless that, because Mr. Hawrish is the representative of the plaintiffs, the plaintiffs have an obligation to assist him in answering questions put to him. The fact that the representative chosen by the examining party is a former officer or director of the company being examined does not change the corporate party's obligation to assist. Indeed, it is open to a corporation being examined to nominate a former director or officer as its representative.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[64] The examining party's right to obtain information from the opposing party needed to prepare for trial should not depend on whether the person chosen to be examined, or the person nominated by the corporation to be examined, continues to be involved with the company.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[69] I note that the plaintiffs did not object at the examination for discovery to any of the 19 questions now in issue, taking the position that Mr. Hawrish was not their representative. There may thus be an issue about the appropriateness of the requests. However, the failure of the plaintiffs to raise any objections at discovery lies at the feet of the plaintiffs. Had they made any objections they had at that time, those objections could have been addressed at this hearing.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[70] In the circumstances, I conclude that the onus should be on the plaintiffs to apply for relief from the obligation to answer the outstanding questions, rather than on the defendants to apply to compel answers to the questions that might be objected 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 To summarize, the plaintiffs are required to provide the information and documents Mr. Hawrish needs to answer the outstanding requests, and they are to do so by January 16. If the plaintiffs take objection to any of the requests, the onus is on the plaintiffs to apply for relief from the obligation I have imposed on them today to answer the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Commenting on these last paragraphs, that is a discussion about objecting during the discovery, and I have already read the passage from two judges which suggest that, in the cases that they were dealing with, it was not appropriate to object. It seems to me, I have already stated this, that what was done by defendants' counsel here was the right way to proceed, not object and interrupt, but raise the objections in writing. Each discovery has its own unique aspects. Had Ms. Robertson objected during the discovery, it may well have taken much longer. As it is, it went from 10:00 a.m. until Question 534, I was not sure what time that was, and then 1:30 to 4:30, and I can see that if there were objections, the seven-hour limit set out in Rule 7-2(2)(a) might have come into play. Fortunately, it does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 also direct that </w:t>
      </w:r>
      <w:r>
        <w:rPr>
          <w:rFonts w:ascii="arial" w:eastAsia="arial" w:hAnsi="arial" w:cs="arial"/>
          <w:i/>
          <w:color w:val="000000"/>
          <w:sz w:val="20"/>
          <w:lang w:val="en-US" w:eastAsia="en-US" w:bidi="ar-SA"/>
        </w:rPr>
        <w:t>Order of the Oblates of Mary Immaculate v. Dohm, Jaffer &amp; Jeraj</w:t>
      </w:r>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2007 BCSC 1709</w:t>
        </w:r>
      </w:hyperlink>
      <w:r>
        <w:rPr>
          <w:rFonts w:ascii="arial" w:eastAsia="arial" w:hAnsi="arial" w:cs="arial"/>
          <w:color w:val="000000"/>
          <w:sz w:val="20"/>
          <w:lang w:val="en-US" w:eastAsia="en-US" w:bidi="ar-SA"/>
        </w:rPr>
        <w:t>, where Madam Justice Ross writes at paras. 22-25 be included: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defendants submit that the requests are onerous, relate to matters of only marginal relevance and, with respect to the questions concerning the Senate business, would require Ms. Jaffer to inform herself from colleagues and their spouses, persons who are not her agents.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Rule 27(22) and (23) of the Rules of Court provide: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Scope of examination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orders, a person being examined for discovery shall answer any question within his or her knowledge or means of knowledge regarding any matter, not privileged, relating to a matter in question in the action, and is compellable to give the names and addresses of all persons who reasonably might be expected to have knowledge relating to any matter in question in the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Idem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to comply with subrule (22) or (22.1), a person being examined for discovery may be required to inform himself or herself and the examination may be adjourned for that purpose.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In my view, each of the disputed questions relates to a matter in question in the action. Ms. Jaffer should respond to the questions and should make reasonable efforts to inform herself in order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With respect to the two questions concerning Ms. Jaffer's travel to India on Senate business in 2002, Ms. Jaffer is to answer the question and to inform herself from her agents and from any documents in her possession or power. However, she is not required to make inquiries of her Senate colleagues and their spouses in order to comply with this direction. Ms. Jaffer is to respond to the question concerning other client matters but only with respect to court appearances and examinations for discovery. As one of the authors of the letter dated December 21, 2004, she is to inform herself from a review of the files to refresh her memory with respect to the files and orders referred to in the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Totzauer Holdings Ltd. v. Nanaimo Forest Products Ltd.</w:t>
      </w:r>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2014 BCSC 2185</w:t>
        </w:r>
      </w:hyperlink>
      <w:r>
        <w:rPr>
          <w:rFonts w:ascii="arial" w:eastAsia="arial" w:hAnsi="arial" w:cs="arial"/>
          <w:color w:val="000000"/>
          <w:sz w:val="20"/>
          <w:lang w:val="en-US" w:eastAsia="en-US" w:bidi="ar-SA"/>
        </w:rPr>
        <w:t>, Master Baker writes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Mr. Harris, in his text </w:t>
      </w:r>
      <w:r>
        <w:rPr>
          <w:rFonts w:ascii="arial" w:eastAsia="arial" w:hAnsi="arial" w:cs="arial"/>
          <w:i/>
          <w:color w:val="000000"/>
          <w:sz w:val="20"/>
          <w:lang w:val="en-US" w:eastAsia="en-US" w:bidi="ar-SA"/>
        </w:rPr>
        <w:t>Discovery Practice in British Columbia</w:t>
      </w:r>
      <w:r>
        <w:rPr>
          <w:rFonts w:ascii="arial" w:eastAsia="arial" w:hAnsi="arial" w:cs="arial"/>
          <w:color w:val="000000"/>
          <w:sz w:val="20"/>
          <w:lang w:val="en-US" w:eastAsia="en-US" w:bidi="ar-SA"/>
        </w:rPr>
        <w:t xml:space="preserve"> quotes </w:t>
      </w:r>
      <w:r>
        <w:rPr>
          <w:rFonts w:ascii="arial" w:eastAsia="arial" w:hAnsi="arial" w:cs="arial"/>
          <w:i/>
          <w:color w:val="000000"/>
          <w:sz w:val="20"/>
          <w:lang w:val="en-US" w:eastAsia="en-US" w:bidi="ar-SA"/>
        </w:rPr>
        <w:t>White's The Art of Discovery</w:t>
      </w:r>
      <w:r>
        <w:rPr>
          <w:rFonts w:ascii="arial" w:eastAsia="arial" w:hAnsi="arial" w:cs="arial"/>
          <w:color w:val="000000"/>
          <w:sz w:val="20"/>
          <w:lang w:val="en-US" w:eastAsia="en-US" w:bidi="ar-SA"/>
        </w:rPr>
        <w:t xml:space="preserve"> as identifying six purposes for examination for discovery:</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understand the nature of the other side's case;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gain a preview of the documentary evidence;</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gain admissions for use at trial;</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commit an opposing witness to his or her testimony;</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fix and narrow the matters in issue in the litigation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gain a sense of the personalities of some of the witnesses that counsel will have to cross-examine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Dealing with the defendants' position, it is really set out in Exhibit B to the affidavit of Ms. Auger, plaintiff's legal assistant, and in Exhibit F, which is Ms. Ukrainetz's letter. In directing answers, my directions I think will make it apparent that the responses I order are not onerous. It is important to keep in mind that while something may be marginally relevant, that is still relevance. If I determine matters are irrelevant, no answer will be required. This is a fraud case in part and that puts a significant evidentiary onus on the plaintiff, and the plaintiff wants and has the right to essentially leave no stone unturned. Reasonableness, insofar as it relates to proportionality, is something I have considered, but in this case, it seems to me the most important aspect is relevance. Many of the objections are referred to as "hearsay objection." The authorities I have cited provide a sufficient response to that objection which is not generally maintainable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Dealing with the specific orders sought which are set out in paragraph 6 of the Factual Basis, Part 2 to the Notice of Application, (a), that is found in the examination for discovery questions 245 to 246. The numerical responses at paragraph number 12 of Exhibit B and the response to that is Exhibit G of the materials at exhibit page 37. I order that Mr. Speiser answers the question. In so doing, all he needs to do is ask Ms. Simpson and provide her answer. It might be more fulsome to circulate an email to the partners asking them if they talked to Ms. Simpson before she decided that Mr. Cecile needed more training, et cetera, and could pass on their answers, but it is a sufficient response to merely ask Ms. Simpson and provide her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 is numbered paragraph 14 of Exhibit B. The response to this is that it was directly pleaded. The Notice of Civil Claim, paragraph 20(d), and then the response paragraph 2 which [indiscernible] paragraph 7 to 35 puts this directly in issue. Mr. Speiser is to ask Ms. Goetz and provide her answer. (C) is dealt with at paragraph 22 of Exhibit B -- and I should have said that (b) also was dealt with at Question 251 of the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 is dealt with at Questions 456 to 464 of the examination for discovery, paragraph 22 of Exhibit B, and the response is that there were five people, but my order is that Mr. Speiser is to provide the name he was thinking about, that person, and ask the question of that person and provide that person's answer as to the book of business. Contact information is, in my view, irrelevant and potentially an untoward invasion of the person's privacy.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With respect to (d), this is responded to in paragraph 24 of Exhibit B and is dealt with in the examination for discovery at Questions 512 to 517. If the email confirms that Doug Clark made initial contact with the plaintiff by phoning him, then the question has been asked and answered. I did not note the email in the materials. However, if not, it is very simple to ask both of the Clarks, Doug and Dean Clark, and so I am going to order that Mr. Speiser ask both the Clarks the question and then provide their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(E) is responded to at paragraph 25 of the Exhibit B. This is a question that is simple to respond to. Ask Doug Clark, ask Dean Clark, and ask Mark Petrie, were there discussions between any of them with the plaintiff regarding Brad Lincoln's impending retirement. It is the sort of question that can be answered "Yes," "No," or, "I don't recall," assuming that the answer is truthful, and so I am ordering that Mr. Speiser do answer that question. That is 518 and 519 of the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 is dealt with at Question and Answers 537 to 539 of the discovery. It is responded to by tab B with the contact information for Mr. Lincoln. He is an employee. It also looks like, by me looking through the materials, that Mr. Lincoln was not intending to retire, but that is not what the question says. It is a very simple question, and so I am ordering Mr. Speiser to inform himself as to whether anyone at Capri advised Brad Lincoln. The way to do that is to ask Mr. Lincoln and then provide that response, and if there was a person who advised Mr. Lincoln, then Mr. Lincoln passes that information on to Mr. Speiser and he passes that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(G) is dealt with at the examination for discovery in Question and Answers 876 to 883 and then at 890 where the witness says, "I'll request when they started." It is responded to in paragraph 38 of Exhibit B, on exhibit page 16. That response does set out who the people are and it also sets out where they work from or at least live. Further contact information is irrelevant. However, their hire dates are relevant and they must be provided. It is not that onerous, 2016 was last year, and the response, page 5, paragraph 16, makes that issue relevant. Mr. Speiser is to, with respect to those four people, provide the dates they started.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 is dealt with at Questions and Answers 926 to 936 and paragraph 41 on exhibit page 17 of Exhibit B. It sets out some reference to the defendants' amended list of documents. The question, "Mr. Speiser was asked to inform himself as to when Julie Goetz stopped being associated with the Plaintiff's work," is entirely within the plaintiff's knowledge and the question does not require a further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is dealt with at paragraph numbers 42 and 43 of Exhibit B. It is dealt with in the discovery at Questions 954 to 960 and 962 to 980. The notes were requested, if any. They were listed. Mr. Speiser was then asked if he recalled why the deals were lost. It seems to me that "does not recall" is an answer and why each individual deal was lost in the context of this case seems to me to be irrelevant. There is no further answer required with respect to (i).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With respect to (j), this is dealt with at paragraph 46, this hearsay objection. Again, Ms. Goetz works for the defendant company. The matters are dealt with in the discovery at Questions 1034 to 1039. This is simple enough to respond to. Mr. Speiser must ask the questions of Ms. Goetz and provide the answers and they are simple enough to deal with and they must be answered by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(K) follows a series of questions and answers running from Question 1078 to 1107. It is dealt with in paragraph 48. The answer that is given at paragraph 48 is sufficient and correct. Anything else is both confidential and irrelevant and no further response is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Lastly, (l), this is one of those questions that is dealt with at paragraph 49. It is of marginal relevance, but may have some relevance to the damages issues, and it is very easy to answer. I direct that Mr. Speiser is to ask Doug Clark and provide his answer, which could be as simple as yes or no, but of course, ought to be truthful.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summary:</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Speiser is to ask Ms. Simpson and provide the answer;</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Speiser is to ask Ms. Goetz and provide the answer;</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Speiser is to ask the person he was thinking about, about the book of business, and provide that answer; does not need to provide contact information;</w:t>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might have already been asked and answered by email, but if it has not, Mr. Speiser is to ask both of the Clarks and provide their responses;</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Speiser is to ask Doug Clark, Dean Clark, and Mark Petrie and pass on the answers from them;</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looks like it has probably been answered, but needs to be clarified so Mr. Speiser is to ask Mr. Lincoln and pass on his answer;</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Speiser is to provide the hire dates, further contact information is not required;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within the plaintiff's knowledge, nothing further is required;</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been answered sufficiently, nothing further is required;</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ask Ms. Goetz and provide her response, Mr. Speiser is ordered to do that;</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been answered sufficiently, nothing further is required; and</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Speiser is to ask Doug Clark and provide his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Now, Ms. Robertson, when can you have those done 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ROBERTSON: I will have them to Ms. Hughes by Friday, September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COURT: That is just a couple of days from now. When is the next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ROBERTSON: It is the 29th, Your Honour.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COURT: Well, I am going to order that they be provided by -- so use best efforts by the 22nd, but provide them in any event by close of business on Monday the 25th.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ROBERTSON: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COURT: It seems to me that this is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ROBERTSON: Oh, and Your Honour, just one further 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COURT: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ROBERTSON: If any of the witnesses are not available by time of holidays or things like that, that I need to speak to, what would happen in that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COURT: Then you pass that on that Mr. Speiser has attempted to contact them and they are not available and he will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ROBERTSON: For whatever reason that they are not, okay.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COURT: -- and he will provide the answers forthwith after contacting them as soon as they are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ROBERTSON: Okay.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COURT: I am aware that the plaintiff applicant has been largely successful in this application, but it seems to me that the appropriate ruling here for costs should be that costs are in the cause. That should deal with the matters. The order, if need be, can be submitted to me electronically using scanned counterpart signatures. Thank you both for your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R. McDIARMID</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1"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45"/>
          <w:headerReference w:type="default" r:id="rId346"/>
          <w:footerReference w:type="even" r:id="rId347"/>
          <w:footerReference w:type="default" r:id="rId348"/>
          <w:headerReference w:type="first" r:id="rId349"/>
          <w:footerReference w:type="first" r:id="rId3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51" w:history="1">
        <w:r>
          <w:rPr>
            <w:rFonts w:ascii="arial" w:eastAsia="arial" w:hAnsi="arial" w:cs="arial"/>
            <w:b/>
            <w:bCs/>
            <w:i/>
            <w:color w:val="0077CC"/>
            <w:kern w:val="32"/>
            <w:sz w:val="28"/>
            <w:szCs w:val="32"/>
            <w:u w:val="single"/>
            <w:shd w:val="clear" w:color="auto" w:fill="FFFFFF"/>
            <w:lang w:val="en-US" w:eastAsia="en-US" w:bidi="ar-SA"/>
          </w:rPr>
          <w:t>Chiang v. Medland, [2014] B.C.J. No. 771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T.M. 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24-28,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29,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M120312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771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2014 BCSC 737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Fang-Lan Chiang, Plaintiff, and Andrew Richard Medland and Lang's Ventures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2"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5" w:name="Keywords_16"/>
      <w:bookmarkEnd w:id="115"/>
      <w:r>
        <w:rPr>
          <w:rFonts w:ascii="arial" w:eastAsia="arial" w:hAnsi="arial" w:cs="arial"/>
          <w:b/>
          <w:color w:val="000000"/>
          <w:sz w:val="20"/>
          <w:lang w:val="en-US" w:eastAsia="en-US" w:bidi="ar-SA"/>
        </w:rPr>
        <w:t>Damages — Physical and psychological injuries — Physical injuries — Body injuries — Arm injuries — Leg injuries — Psychological injuries — Depression — Considerations impacting on award — Degree of impairment — Permanent total or partial disability — Pre-existing injury — Action by plaintiff for damages from motor vehicle accident allowed — Accident minor in nature — Plaintiff argued accident caused arm, leg and shoulder pain and major depressive disorder — Causation from accident difficult to assess — Plaintiff's current significant disability related to pre-existing condition, accident and subsequent falls — Accident contributed 50 per cent to present condition — Plaintiff awarded $100,000 for pain and suffering, $30,000 for past and future loss of housekeeping capacity, $20,000 for cost of future care for medications and therapies and $3,353 in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Calculation — Considerations — Aggravation of pre-existing injury — Duration of loss — Extent of incapacity — Pre-existing medical conditions — Cost of future care — Loss of housekeeping ability — Special damages — Non-pecuniary loss — Pain and suffering — Action by plaintiff for damages from motor vehicle accident allowed — Accident minor in nature — Plaintiff argued accident caused arm, leg and shoulder pain and major depressive disorder — Causation from accident difficult to assess — Plaintiff's current significant disability related to pre-existing condition, accident and subsequent falls — Accident contributed 50 per cent to present condition — Plaintiff awarded $100,000 for pain and suffering, $30,000 for past and future loss of housekeeping capacity, $20,000 for cost of future care for medications and therapies and $3,353 in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of damages — Limiting factors — Intervening cause — Pre-existing conditions — Difficulty in assessment — Action by plaintiff for damages from motor vehicle accident allowed — Accident minor in nature — Plaintiff argued accident caused arm, leg and shoulder pain and major depressive disorder — Causation from accident difficult to assess — Plaintiff's current significant disability related to pre-existing condition, accident and subsequent falls — Accident contributed 50 per cent to present condition — Plaintiff awarded $100,000 for pain and suffering, $30,000 for past and future loss of housekeeping capacity, $20,000 for cost of future care for medications and therapies and $3,353 in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Intervening causes — Motor vehicles — Action by plaintiff for damages from motor vehicle accident allowed — Accident minor in nature — Plaintiff argued accident caused arm, leg and shoulder pain and major depressive disorder — Causation from accident difficult to assess — Plaintiff's current significant disability related to pre-existing condition, accident and subsequent falls — Accident contributed 50 per cent to present condition — Plaintiff awarded $100,000 for pain and suffering, $30,000 for past and future loss of housekeeping capacity, $20,000 for cost of future care for medications and therapies and $3,353 in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6" w:name="Case Summary_15"/>
            <w:bookmarkEnd w:id="11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from a motor vehicle accident. While the accident appeared to be minor in nature, the plaintiff argued that it caused arm, leg and shoulder pain as well as a major depressive disorder brought on by pain symptoms and a depressive illness. The defendant argued that the plaintiff's current condition was caused by her pre-existing condition and two falls which occurred subsequent to the accident. The plaintiff argued that the falls were caused by the accident and therefore any injuries caused by the falls were attributable to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7" w:name="Holdings of Court_14"/>
            <w:bookmarkEnd w:id="117"/>
            <w:r>
              <w:rPr>
                <w:rFonts w:ascii="arial" w:eastAsia="arial" w:hAnsi="arial" w:cs="arial"/>
                <w:color w:val="000000"/>
                <w:sz w:val="20"/>
                <w:lang w:val="en-US" w:eastAsia="en-US" w:bidi="ar-SA"/>
              </w:rPr>
              <w:t>HELD: The action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determination of the extent of the plaintiff's current condition which was caused by the accident was difficult to assess. The plaintiff's pre-accident condition included physical complaints as well as anxiety and depression. She had been injured in a previous motor vehicle accident and had stomach cancer, hypothyroidism and osteoporosis. It was unlikely that the plaintiff's subsequent falls were related to the accident. While the plaintiff was currently suffering from a significant disability, it was related to her pre-existing condition and subsequent falls in addition to the accident. The accident triggered pain and suffering that significantly contributed to her present condition and was held to be responsible for 50 per cent of the plaintiff's current condition. The plaintiff was awarded $100,000 for pain and suffering, $30,000 for past and future loss of housekeeping capacity, $20,000 for the cost of future care for medications and therapies and $3,353 in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8" w:name="Legislation Cited_14"/>
      <w:bookmarkEnd w:id="11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3"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Law and Equity Act, </w:t>
      </w:r>
      <w:hyperlink r:id="rId353" w:history="1">
        <w:r>
          <w:rPr>
            <w:rFonts w:ascii="arial" w:eastAsia="arial" w:hAnsi="arial" w:cs="arial"/>
            <w:i/>
            <w:color w:val="0077CC"/>
            <w:sz w:val="20"/>
            <w:u w:val="single"/>
            <w:shd w:val="clear" w:color="auto" w:fill="FFFFFF"/>
            <w:lang w:val="en-US" w:eastAsia="en-US" w:bidi="ar-SA"/>
          </w:rPr>
          <w:t>RSBC 1996, CHAPTER 253, s. 56</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9" w:name="Counsel_16"/>
      <w:bookmarkEnd w:id="11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4" style="position:absolute;z-index:2517780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E. Orr-Ewing.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 Prockiw, D. Fiorvento.</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0" w:name="Judgment_16"/>
      <w:bookmarkEnd w:id="120"/>
      <w:r>
        <w:pict>
          <v:line id="_x0000_s1115" style="position:absolute;z-index:2518292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1" w:name="T.M. McEWAN J."/>
            <w:bookmarkEnd w:id="121"/>
            <w:r>
              <w:rPr>
                <w:rFonts w:ascii="arial" w:eastAsia="arial" w:hAnsi="arial" w:cs="arial"/>
                <w:b/>
                <w:color w:val="000000"/>
                <w:sz w:val="30"/>
                <w:lang w:val="en-US" w:eastAsia="en-US" w:bidi="ar-SA"/>
              </w:rPr>
              <w:t>T.M. McEWAN J.</w:t>
            </w:r>
          </w:p>
        </w:tc>
      </w:tr>
    </w:tbl>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is a 65-year old woman who lives in Surrey. She was injured in a motor vehicle accident on February 3, 2010 at the intersection of Fraser Highway and 148th Street. The accident was a low speed rear-ender which caused minimal damage to the vehicle. The ICBC estimators who assessed the damage both considered the claims to be "cosmetic." Photographs in evidence show some scuffing on the bumpers of the vehicle, with no deformation.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From this incident the plaintiff claims near total disability and severe psychiatric symptoms. These claims are supported by the plaintiff's family doctor, Dr. Chen; by a physiatrist, Dr. Koo; and by a very experienced psychiatrist, Dr. Shaila Misri. The plaintiff has attended numerous physiotherapy, water therapy and acupuncture treatments with only temporary relief from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claims are doubted by Dr. Marc Boyle, an orthopaedic surgeon who prepared an independent medical examination for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injuries do not, on the limited evidence given in court, seem to be compounded by social or family stresses. The plaintiff and her husband live in a large home on a large tract of land which is beautifully landscaped, reflecting their passion for gardening. They appear to be affluent, and there was no suggestion of financial stress. The plaintiff and her husband are the parents of three grown children each of whom attended prestigious universities and have gone on to professional careers.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husband, Chao Hsin Lai, testified. He appeared to be kind and very accommodating of the plaintiff's condition, which has had a serious impact on his life as well. The plaintiff no longer cooks and cleans or gardens as she once did. Mr. Lai has taken up the slack, and has also, at times, had to assist with the plaintiff's personal care, even to the extent of helping her dress and undress.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medical record is quite detailed. Dr. Helen Chen, the plaintiff's family physician, saw the plaintiff on February 5, 2010, two days after the accident. At that time she complained of "left sided arm, back and leg pain". Dr. Chen described her findings: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exam, she had tenderness over C4-6 midline. She had tenderness over her right trapezius, right paracervical muscles, and right infraspinatus muscle. She also had tenderness over right lower lumbar region. Neck range of motion showed reduced extension, left rotation and left lateral flexion. Her back range of motion was normal. I felt that she had soft tissue injuries of her neck and back region, and recommended icing, stretching, physiotherapy and massage therapy. She could also take Tylenol for pain if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had a prior medical history which was briefly outlined by Dr. Chen: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Chiang was diagnosed with stomach cancer in 2006 and had her stomach removed in October 2006. She is prone to having stomach discomfort, poor appetite and bloating since surgery. She also needs to take iron and B12 supplements following her stomach surgery. She has </w:t>
      </w:r>
      <w:r>
        <w:rPr>
          <w:rFonts w:ascii="arial" w:eastAsia="arial" w:hAnsi="arial" w:cs="arial"/>
          <w:color w:val="000000"/>
          <w:sz w:val="20"/>
          <w:u w:val="single"/>
          <w:lang w:val="en-US" w:eastAsia="en-US" w:bidi="ar-SA"/>
        </w:rPr>
        <w:t>hypothyroidism for many years for which she takes thyroid replacement medication. She was also treated for osteoporosis with a medication until summer of 2012.</w:t>
      </w:r>
      <w:r>
        <w:rPr>
          <w:rFonts w:ascii="arial" w:eastAsia="arial" w:hAnsi="arial" w:cs="arial"/>
          <w:color w:val="000000"/>
          <w:sz w:val="20"/>
          <w:lang w:val="en-US" w:eastAsia="en-US" w:bidi="ar-SA"/>
        </w:rPr>
        <w:t xml:space="preserve"> I saw her in May and July 2009 when she complained about feeling </w:t>
      </w:r>
      <w:r>
        <w:rPr>
          <w:rFonts w:ascii="arial" w:eastAsia="arial" w:hAnsi="arial" w:cs="arial"/>
          <w:color w:val="000000"/>
          <w:sz w:val="20"/>
          <w:u w:val="single"/>
          <w:lang w:val="en-US" w:eastAsia="en-US" w:bidi="ar-SA"/>
        </w:rPr>
        <w:t>anxious</w:t>
      </w:r>
      <w:r>
        <w:rPr>
          <w:rFonts w:ascii="arial" w:eastAsia="arial" w:hAnsi="arial" w:cs="arial"/>
          <w:color w:val="000000"/>
          <w:sz w:val="20"/>
          <w:lang w:val="en-US" w:eastAsia="en-US" w:bidi="ar-SA"/>
        </w:rPr>
        <w:t xml:space="preserve"> since her diagnosis of stomach cancer. She was also feeling a bit </w:t>
      </w:r>
      <w:r>
        <w:rPr>
          <w:rFonts w:ascii="arial" w:eastAsia="arial" w:hAnsi="arial" w:cs="arial"/>
          <w:color w:val="000000"/>
          <w:sz w:val="20"/>
          <w:u w:val="single"/>
          <w:lang w:val="en-US" w:eastAsia="en-US" w:bidi="ar-SA"/>
        </w:rPr>
        <w:t>depressed and having low energy and poor sleep</w:t>
      </w:r>
      <w:r>
        <w:rPr>
          <w:rFonts w:ascii="arial" w:eastAsia="arial" w:hAnsi="arial" w:cs="arial"/>
          <w:color w:val="000000"/>
          <w:sz w:val="20"/>
          <w:lang w:val="en-US" w:eastAsia="en-US" w:bidi="ar-SA"/>
        </w:rPr>
        <w:t>. She declined medication and wanted to use meditation [to] manage her symptoms then. There were no other visits between July 2009 and the time of the accident regarding depression or anxiety.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was involved in a motor-vehicle accident in 2000, in which she was rear-ended and had some neck and back injuries. She had some physiotherapy and eventually got better after about a year. From November 2008 when I first started seeing her to the time of her motor vehicle accident in 2010, she did not see me regarding any neck and back problems.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the accident, she lived with her husband in a house in Surrey. Both of them were retired. She managed most of the cooking, cleaning, laundry and gardening.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did not return to Dr. Chen until April 26, 2010. In the meantime she had taken chiropractic treatments. Dr. Chen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continued to have pain in her neck, upper shoulders, left arm and left leg. She felt her left leg was weak. She had been attending chiropractic treatment since March. She was going twice a week initially then down to once a week by the time I saw her. The treatment only provided temporary relief of her pain for about a day or so each time. On exam, she had tender bilateral trapezius and bilateral paracervical muscles. She also had pain in her inside upper left arm and in her left calf. I ordered x-rays of her cervical and lumbar spines to rule out nerve compression since she complained about her left arm and left leg discomfort. I also recommended physiotherapy in addition to chiropractic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had the x-rays done on July 9, 2010. There was disc space narrowing at C3-4 and C6-7 with some marginal spur formation due to degenerative changes. There was severe disc narrowing at L5-S1 in her lumbar spines. There was no spondylolisthesis or subluxation.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returned on July 14, 2010 for follow-up. She still had low back pain and left leg pain. She still felt her left leg was weak. She continued with weekly chiropractic treatment which helped her neck. She could not take any medicine due to her stomach issues. I discussed the x-ray report with her, and I also requested a CT scan for her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next visit was on October 12, 2010. By this time the plaintiff had fallen twice, once on September 23, 2010, which the plaintiff attributed to left side weakness, and again on October 10, 2010 going up some stairs at her house. The plaintiff's complaints on October 12 were noted by Dr. Chen: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exam, she had weakness in her right leg so that she could not point her toes down. She also had pain on both sides of her back when she raised her legs up straight. She had no sensory changes in her legs, and her reflexes were normal. Her appointment for lumbar CT was in two weeks time. I also ordered knee x-rays due to the falls.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got the x-rays done on October 12, 2010. This showed that there was mild narrowing of the joint space medially in both knees which usually indicated that she had mild degenerative 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Chen described the CT scan results: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Chiang had CT scan of her lumbar spines on October 21, 2010 at Surrey Memorial Hospital. This showed the following abnormalities:</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L3-4 level, there was mild circumferential disc bulge and mild facet hypertrophy. The thecal sac is flattened anteriorly. $* $*</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L4-5 level, there was moderate circumferential disc bulge and left paracental disc protrusion. There was moderate central canal stenosis. There was also mild bilateral fact hypertrophy. The left traversing L5 nerve root maybe impinged at this level. $* $*</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L5-S1 level, there was circumferential disc osteophyte with central and left paracentral disc protrusion. There was mild facet hypertrophy. The traversing left S1 nerve root was contacted by disc material, and may be impinged.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Chiang came back on November 10, 2010 for follow-up. She saw my locum, Dr. Carolyn Yeung, that day. Dr. Yeung reviewed the CT scan report with her. The patient still had pain in her right leg from the back of her thigh to her lower leg, as well as right leg weakness. She found it hard to get up from a chair. Dr. Yeung made a referral for her to see Dr. Maziar Badii, a rheumatologist and spine medicine specialist, regarding nerve impingement causing leg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Dr. Chen saw the plaintiff on December 7, 2010. By this time, and in subsequent visits, the plaintiff's complaints were primarily of </w:t>
      </w:r>
      <w:r>
        <w:rPr>
          <w:rFonts w:ascii="arial" w:eastAsia="arial" w:hAnsi="arial" w:cs="arial"/>
          <w:color w:val="000000"/>
          <w:sz w:val="20"/>
          <w:u w:val="single"/>
          <w:lang w:val="en-US" w:eastAsia="en-US" w:bidi="ar-SA"/>
        </w:rPr>
        <w:t>right sided</w:t>
      </w:r>
      <w:r>
        <w:rPr>
          <w:rFonts w:ascii="arial" w:eastAsia="arial" w:hAnsi="arial" w:cs="arial"/>
          <w:color w:val="000000"/>
          <w:sz w:val="20"/>
          <w:lang w:val="en-US" w:eastAsia="en-US" w:bidi="ar-SA"/>
        </w:rPr>
        <w:t xml:space="preserve"> pain and weakness: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saw me on December 7, 2010. She had ongoing weakness in her legs, but worse on the right side. This was initially left-sided following the accident and became more on the right following her fall on October 10. She had trouble walking even. She was not getting any therapy at that point. On exam, she had pain in her right lateral thigh to her knee then to her ankle. I recommended physiotherapy and massage therapy for her while she was waiting to see the specialist.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saw her next on January 12, 2011. She was getting some physiotherapy, but her right knee was still very sore. She also had ongoing right leg weakness, and she was fearful of falling again. Her left leg had improved. On exam, there was no swelling in her right knee. She had normal movements but she had weakness in her right leg. I prescribed Celebrex (an anti-inflammatory medication) for six days and Nexium (medication to protect her stomach while taking Celebrex) for seven days. I also made a referral to Dr. William Yu, an orthopedic surgeon, to assess her right knee.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February 8, 2011, she had ongoing right knee pain and weakness. After sitting on the toilet, she had trouble standing up. She could not stand very long either. She also could not fully bend her right knee. She was attending physiotherapy twice a week for her knee. On exam, her knee looked normal but she could not fully flex it. I wondered if she had a knee meniscal tear. I recommended another twelve more physiotherapy sessions.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March 2, 2011, she reported that she was getting physiotherapy for her leg and shoulder. This was helping her. Her back and left side were getting better, but her right leg was still weak. She could sit and stand longer without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saw Dr. William Yu regarding her right knee on March 11, 2011. Dr. Yu also was suspicious for a medial meniscal tear in her right knee. He suggested a knee MRI.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went for a private MRI of her right knee at CMI on March 14, 2011. This showed the following abnormalities: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thickened or discoid lateral meniscus which was a congenital abnormality. $* $*</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She also had superimposed complex tear of that meniscus involving both the anterior and posterior horns. $* $*</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a functionally intact ACL but apparent discontinuity of the lateral bundle suggesting prior partial injury of ACL. $* $*</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small joint effusion and popliteal cyst.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Visits on April 15, 2011 to January 10, 2013 relate primarily to the right knee and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On January 24, 2012, there was a complaint of pain in </w:t>
      </w:r>
      <w:r>
        <w:rPr>
          <w:rFonts w:ascii="arial" w:eastAsia="arial" w:hAnsi="arial" w:cs="arial"/>
          <w:color w:val="000000"/>
          <w:sz w:val="20"/>
          <w:u w:val="single"/>
          <w:lang w:val="en-US" w:eastAsia="en-US" w:bidi="ar-SA"/>
        </w:rPr>
        <w:t>both</w:t>
      </w:r>
      <w:r>
        <w:rPr>
          <w:rFonts w:ascii="arial" w:eastAsia="arial" w:hAnsi="arial" w:cs="arial"/>
          <w:color w:val="000000"/>
          <w:sz w:val="20"/>
          <w:lang w:val="en-US" w:eastAsia="en-US" w:bidi="ar-SA"/>
        </w:rPr>
        <w:t xml:space="preserve">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By September 11, 2012 the plaintiff's pain was again primarily on the left side: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came back on September 11, 2012. Her left leg got worse after August 19. She walked for about 500 meters with her granddaughter then she had really severe pain in the back of her knee since. She felt weak in that knee and could not fully weight bear or fully extend her knee. She also had to cancel her MIBI scan appointment which involved exercising on a treadmill during the test. She started getting acupuncture again. On exam, her left knee was not swollen, but she could not fully flex her knee due to pain. She also had a limping gait. Her knee pain was in the back of her knee but not one particular area. I rescheduled her MIBI scan to another type so she did not have to exercise for the test. I suggested ongoing acupuncture to treat her knee pain. I recommended a cane for her to prevent falls as her legs seem weak.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October 9, 2012,I saw Ms. Chiang for follow-up. Her MIBI scan was normal. Her left knee was still weak and painful. She was going back to Taiwan to visit family, so she wanted me to write a note for her to see a rehabilitation specialist there.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then saw me on January 9, 2013. She came back from Taiwan on Dec 12. She received quite a lot of treatment in Taiwan including water therapy, and that helped. She complained about left leg weakness and muscle cramps in her left leg. Her back was also sore and she was not able to bend pass 90 degrees. She could not sit or stand too long. She started using a cane when walking as she was afraid of a fall. She continued to have pain in her left shoulder and left upper back. I recommended more physiotherapy and acupuncture. I also prescribed a muscle relaxant, Flexeril, and a pain medication, gabapentin, for her. I also referred her to see Dr. Badii again.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came back on February 6, 2013. She was still having quite a lot of pain in the left side of her body including back, arm and leg. She tried taking gabapentin but she did not notice any improvement, and it caused some burning in her stomach. She was walking with a cane. She had been feeling more tired, so she did not go to acupuncture. She also felt more forgetful.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June 7, 2013, Ms. Chiang saw me and told me that she was still having almost constant pain in her left shoulder, upper back, left leg including her knee. She was not able to move her shoulder very much. She did not attend physiotherapy as ICBC would not pay for her visits. She was doing exercises at home. She saw Dr. Badii on February 25, but I did not get a copy of his letter. He recommended a cortisone injection in her shoulder, but the patient declined. I felt that she had developed frozen shoulder, and felt the cortisone injection might help. I discussed about the cortisone injection, and recommended the patient to contact Dr. Badii's office to arrange for the injection.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saw her on July 23, and she was essentially the same. She could not use her left arm at all, even putting on clothes. She was not getting any therapy then as ICBC did not cover for her treatment. She could not tolerate any medication due to her stomach problems. I ordered x-rays of her left shoulder.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had the x-rays done on July 31 which showed mild AC joint degeneration and mild AC joint subluxation.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By September 10, 2013, there had been significant deterioration, which apparently persists to the present: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saw Ms. Chiang on September 10, 2013. Her left shoulder pain was still really severe, and she could not do many of her chores and activities including dressing herself. She was going to acupuncture but did not get much relief, and she was also really scared of the needles. She was hesitant to get physiotherapy as she felt it made her worse at some point. She was doing Tai Chi, and using a topical anti-inflammatory medication. She did not find any of these therapies really helpful. On exam, she was tender over her left anterior shoulder, the top lateral part of her chest wall, posterior shoulder and outer subscapularis muscle. She was only able to move her shoulder about 50% of normal in all directions. She also reported ongoing shortness of breath. She had no fever, cough or wheezing. We discussed further about trying cortisone injection to relieve her shoulder pain since nothing had worked so far. She agreed to proceed, so I gave her a cortisone injection into her shoulder that day. I also ordered a pulmonary function test and an echocardiogram to assess her shortness of breath.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Then on October 9, you and I had a telephone conversation regarding Ms. Chiang's independent medical assessment with Dr. Shaila Misri, a psychiatrist, done on September 18. Dr. Misri was concerned that the patient had become increasingly depressed over time since the motor vehicle accident, and the patient had disclosed to Dr. Misri that she recently started feeling suicidal.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asked her to come in to my office after our conversation, and I saw her on October 16. She confirmed that she had been feeling increasingly depressed over the past while after the accident. Her mood got much worse since September. She felt hopeless as she was in constant pain all the time and she was not getting better. She had passive suicidal thoughts like "life was not worth living". She had no plans for actual suicide. She had lost interest, and did not feel like leaving her house or talk to anyone. She had become very dependent on her husband for everything, so she felt very guilty and useless. She had trouble walking and using her arms especially the left one. The cortisone injection helped the pain around the shoulder but now she had pain further down her arm. She was not sleeping well, waking up constantly. She felt tired. She also lost her appetite, and had to force herself to eat. She also became very scared of driving. She almost stopped driving altogether. Her husband had been very supportive, but she did not want to tell him about her feelings so not to make him worried. During the interview, Ms. Chiang was quite tearful but quite forthcoming with information. She looked quite depressed, and her speech was very soft. I talked to her about signs and symptoms of depression, the mind-body connection, and treatment for depression. Given that she was quite severely depressed, I recommended and prescribed medications for her. I prescribed Cymbalta (anti-depressant) 30 mg daily for two weeks and clonazepam (sedative) 0.25 mg at night for two weeks. I also advised about the possibility of getting some counselling in the future as 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came back on November 19. She started taking medications at the end of October. She was tolerating them. She noticed her shoulder pain improved while she was taking medications, and her shortness of breath also improved. She started getting some water therapy. She looked much better that day, much less anxious and depressed. Her shoulder movements were better.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CURRENT CONDITION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touched base over the telephone this week, and she confirmed that she still had ongoing pain in her legs and shoulders. She felt weak, and unable to stand or walk for very long. She still relied on her husband for help with dressing and many other household chores. Her mood has slightly improved since starting on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David Koo, a physiatrist, was engaged on behalf of the plaintiff to provide a medico-legal opinion. The history he took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denies prior difficulties with her neck, left hand, low back, left knee, or right shoulder prior to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had been involved in a previous motor vehicle accident in 2000, in which she was rear-ended and recalls having leg, lower back and neck injuries. She attended physiotherapy and eventually recovered after about a year with no residual difficulties. She denied previous motor vehicle accidents otherwise.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underwent stomach surgery for cancer in 2006. She has been cancer-free since that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has been on long-term thyroid replacement. She was on bisphosphonate therapy weekly for osteoporosis treatment but had no history of pathologic fractures.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Review of her medical records indicates that her previous prescriptions have included levothyroxine 75 mg daily, risedronate 35 mg per weekly, and clonazepam 0.5 mg qhs.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underwent gastroscopy for stomach cancer in 2006. This was not followed by chemotherapy. A CT scan of the abdomen and abdominal ultrasound have subsequently been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Koo summarized the clinical records he considered relevant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seen by her family doctor on February 5, 2010, she complained of left back and arm pain, and left leg pain. His examination found tenderness at the midline C4-C6, right paracervical muscles, right trapezius, right infraspinatus, and right lower lumbar region. Her back range of motion was okay. She had reduced neck extension and left rotation and lateral flexion. He assessed her with neck and back pain following the motor vehicle accident and recommended Tylenol, physiotherapy, massage therapy, ice, and stretching.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April 26, 2010 follow-up by her family doctor noted that her tongue felt numb sometimes, she had had tingling to the right fingertips for the last day. She had been attending chiropractic treatments since March approximately two to three times per week and now once per week, which she felt helped </w:t>
      </w:r>
      <w:r>
        <w:rPr>
          <w:rFonts w:ascii="arial" w:eastAsia="arial" w:hAnsi="arial" w:cs="arial"/>
          <w:i/>
          <w:color w:val="000000"/>
          <w:sz w:val="20"/>
          <w:lang w:val="en-US" w:eastAsia="en-US" w:bidi="ar-SA"/>
        </w:rPr>
        <w:t>"a bit".</w:t>
      </w:r>
      <w:r>
        <w:rPr>
          <w:rFonts w:ascii="arial" w:eastAsia="arial" w:hAnsi="arial" w:cs="arial"/>
          <w:color w:val="000000"/>
          <w:sz w:val="20"/>
          <w:lang w:val="en-US" w:eastAsia="en-US" w:bidi="ar-SA"/>
        </w:rPr>
        <w:t xml:space="preserve"> She had ongoing pain in her neck, upper shoulders, left arm and left leg, and reported that the left leg felt weaker. She was found to be tender bilaterally over the paracervical muscles, both trapezii, and had pain in the medial upper arm and left calf. He arranged x-rays of the cervical and lumbar spine. Blood work was normal.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October 12, 2010, she saw her family doctor, reporting that she had fallen on September 23, 2010, with a feeling of weakness in the left leg, scabbing her left knee. She also reported that her right knee was feeling weak. She also reported that on October 10, 2010, she fell again when going upstairs, scraping her chin, and reported that her right arm had been sore since that time. Both buttocks were also sore. Examination found that the right leg was unable to plantar flex. She had normal deep tendon reflexes and straight leg raising was sore on both sides. There were no sensory changes. He questioned possible nerve compression and arranged a CT scan of her back.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December 10, 2010, her CT back was reviewed with the possibility of an L4-5 or L5-S1 root impingement and referral to orthopaedic spine was made.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February 5, 2011, her GP noted right knee pain with the inability to flex fully and the possibility of a meniscal tear was raised.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was referred to Dr. William Yu on March 11, 2011, who found no evidence of lumbar radiculopathy. He opined that she had mechanical back pain following a relatively minor accident and a right knee meniscal tear with loss of full extension.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June 8, 2011, her GP noted right shoulder pain that had been present since the motor vehicle accident was noted, with reduced internal rotation and abduction.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was referred to Dr. Maziar Badii, who saw' her on August 8, 2011. She indicated to him pain at the L1-2 region. He noted weakness in the upper and lower extremities, more so on the left, with normal sensation, proprioception and vibration sense in the lower extremity. A bone scan was arranged with follow-up for a possible spinal block.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August 10, 2011, her GP notes of a possible right frozen shoulder, gastroesophageal reflux, and chest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Koo summarized the plaintiff's x-rays and scans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X-rays of the lumbar spine on July 9, 2010 showed no evidence of fracture, but severe degenerative disc disease at L5-S1 with narrowing of the disc space.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X-rays of the cervical spine on July 9, 2010 showed C3-4 and C6-7 disc space narrowing with marginal spurs secondary to degenerative disc disease at both levels. There was no fracture.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X-ray of the knees on October 12, 2010 showed mild medial joint compartment narrowing, consistent with osteoarthritis.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CT scan of her back on October 21, 2010 showed a bulging disc with possible nerve root compression/irritation at the left L4-5 (L5 root) and L5-S1 (S1 root).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MRI scan of the right knee on March 14, 2011 showed a discoid lateral meniscus with a superimposed complex tear surfacing inferiorly, involving the anterior horn with an associated probable radial tear of the posterior horn. There was a prior partial injury of the anterior cruciate ligament of the lateral bundle; functionally intact. There was a small joint effusion and popliteal cyst.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Chest and right shoulder x-rays on August 20, 2011 were normal.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Bone scan on September 26, 2011 showed no metastatic disease. Her shoulders were within normal limits. There was increased activity at the L5-S1, moderately on the left and mildly on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Koo's diagnostic opinion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my review of the information provided and my interview and examination of Ms. Chiang, it is my opinion that the motor vehicle accident on February 3, 2010 likely resulted in the following injuries and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419"/>
        <w:gridCol w:w="419"/>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Soft tissue injuries to the neck, back, right and left shoulders, left arm, and left leg.</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Sleep disruption. $* $*</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Moderate severity depression.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accident-related injuries resulted in left-sided pain and reports of weakness, which are noted both in her family physician and chiropractic assessments after the accident, and on an ongoing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ongoing pain and left-sided weakness likely contributed significantly to falling twice on her exterior stairs on September 23, 2010 where she scabbed her left knee, and again on October 10, 2010 where she scraped her chin and injured her right knee, right shoulder and both buttocks.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her falls likely resulted in further injury to the right shoulder, as well as a probable meniscal tear as subsequently diagnosed on her MRI scan of her knee, for which she was assessed by Dr. Badii and received a Depo-Medrol injection.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2011, Ms. Chiang recalls further injuring her right arm or shoulder performing physiotherapy exercises.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cumulative effects of her acute soft tissue injuries, sleep deprivation, and depression from the accident, subsequent further injury arising from two falls and a physiotherapy session as described, have likely resulted in the evolution of post-traumatic fibromyalgia, with a chronic, widespread pain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He discussed "causality":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Ms. Chiang was a previously well woman with a pre-accident history of hypothyroidism, osteoporosis, anxiety, insomnia and possible mild depression, and a previous motor vehicle accident in 2000, from which she had made a full symptomatic recovery from injuries to her leg, lower back and neck. She had had recent surgery for cancer of the stomach in 2006 but had been cancer-free since that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Functionally, she was previously independent, pain-free, and was not requiring pain medications, physiotherapy, chiropractic treatment or acupuncture.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had some mild stiffness with prolonged immobility in her lower back, but was otherwise asymptomatic as it relates to any lumbar degenerative disc disease.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enjoyed gardening for two or three-hour intervals and was able to volunteer occasionally at the Food Bank and tolerate standing for one to two hours at a time. In my opinion, she would likely have remained at a similar functional and pain-free state for the foreseeable future, if not for the effects of additional injury or trauma.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she would not have been considered to be at risk for acute or substantial pain or stiffness, affecting her neck, back, shoulders, upper extremities, or lower extremities based on her aforementioned history and functional inquiry.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pre-accident records indicate possible mild depression, anxiety and not sleeping well at night. She had been prescribed clonazepam July 10, 2009, presumably for anxiety and sleep. In my opinion, she was likely at increased risk for further deterioration of her mood, anxiety and sleep on the basis of her accident-related injuries, but that it would have been unlikely for her to have worsened in the absence of additional medical or psychosocial stressors. In fact, her recent investigations for kidney problems and gastric cancer recurrence had been reassuringly unremarkable, and it is possible that her mood, anxiety and impaired sleep would have improved, if not for the accident in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accident in question resulted in a rear-end mechanism of injury with approximately $500 of vehicular damage to her rear bumper. Upon exiting the vehicle, she noted pain, and this was confirmed with her initial family physician assessment on February 5, 2010 who assessed her with soft tissue injuries to the neck, arm and back.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Subsequent follow-up visits to her family physician have identified ongoing soft tissue complaints of persisting pain and weakness despite attendance at chiropractic treatment and physiotherapy.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the accident in question was likely causal to her initial soft tissue injuries, </w:t>
      </w:r>
      <w:r>
        <w:rPr>
          <w:rFonts w:ascii="arial" w:eastAsia="arial" w:hAnsi="arial" w:cs="arial"/>
          <w:color w:val="000000"/>
          <w:sz w:val="20"/>
          <w:u w:val="single"/>
          <w:lang w:val="en-US" w:eastAsia="en-US" w:bidi="ar-SA"/>
        </w:rPr>
        <w:t>aggravated her pre-accident insomnia</w:t>
      </w:r>
      <w:r>
        <w:rPr>
          <w:rFonts w:ascii="arial" w:eastAsia="arial" w:hAnsi="arial" w:cs="arial"/>
          <w:color w:val="000000"/>
          <w:sz w:val="20"/>
          <w:lang w:val="en-US" w:eastAsia="en-US" w:bidi="ar-SA"/>
        </w:rPr>
        <w:t xml:space="preserve"> on the basis of pain and difficulty finding a comfortable position, and significantly increased her risk for falls due to persisting left-sided pain and weakness.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September 23 and October 10, 2010, she fell when ascending her exterior steps, which she attributes to weakness of the left knee. Her injuries included a scabbed left knee, scraped chin, right knee weakness, right shoulder pain, and soreness to both buttocks.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Subsequent evaluation of the right knee in February 2011 showed difficulty flexing fully, and imaging revealed a meniscal tear.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onset of knee difficulties after her falls and subsequent diagnosis of a meniscal tear, with a previously asymptomatic knee, suggests that her falls were likely causal to her meniscal injury, which likely resulted from the accident in question due to her heightened fall risk from her soft tissue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right shoulder was likely injured from the original accident and further traumatized on the basis of her subsequent falls. Ms. Chiang recalls further injury from physiotherapy which corresponds to a May 30, 2011 entry in her physiotherapy treatment notes of right shoulder and arm pain following arm and leg extension exercises the [preceding] weekend. By June 2011, it was noted that she had reduced internal rotation and abduction of the shoulder and by August 10, 2011, the possibility of a right frozen shoulder was raised. In my opinion, her right shoulder pathology was likely multifactorial, related to her initial post-accident soft tissue injuries, compounded by her two falls, and a subsequent physiotherapy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Ultimately, on today's assessment, however, she had evidence of generalized widespread pain, more so on the left side, involving areas previously not reported as painful in her medical documentation. She currently meets the diagnostic criteria for fibromyalgia which in my opinion is attributable to the cumulative effects of her initial soft tissue injuries, subsequent falls, and aggravated depression and sleep deprivation.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not fully elucidated, there are several postulated mechanisms by which acute soft tissue injuries (and whiplash cervical injuries in particular) can predispose patients to the development of chronic pain syndromes. These mechanisms include, but are not limited to, peripheral nervous system sensitization by elevated levels of substance P, bradykinin, prostaglandin, and other pain neurotransmitter levels in response to injury; alterations in spinal cord processing leading to hyperexcitability of pain information processing pathways; heightened neuronal activity on functional MRI scans in regions of the brain responsible for pain perceptions that over time can become chronic and permanent; and disruption of sleep patterns that can be perpetuating factors for lowered threshold of pain symptoms and feelings of fatigue and depression.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combined effects of these aforementioned changes appears to be the sensitization and altered processing of pain in the peripheral and central nervous systems of some chronic soft tissue injury patients.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if not for the accident in question, it would have been unlikely for Ms. Chiang to have developed acute soft tissue injuries to her neck, shoulders, back and legs; insomnia; depression; or to have had two subsequent falls with right meniscal tear and further shoulder injury; needing physiotherapy treatment with possible shoulder aggravation; or the current picture of a chronic widespread pain of fibromyalgia that she currently presents with.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Her radiologic findings of </w:t>
      </w:r>
      <w:r>
        <w:rPr>
          <w:rFonts w:ascii="arial" w:eastAsia="arial" w:hAnsi="arial" w:cs="arial"/>
          <w:color w:val="000000"/>
          <w:sz w:val="20"/>
          <w:u w:val="single"/>
          <w:lang w:val="en-US" w:eastAsia="en-US" w:bidi="ar-SA"/>
        </w:rPr>
        <w:t>severe L5-S1 degenerative disc disease</w:t>
      </w:r>
      <w:r>
        <w:rPr>
          <w:rFonts w:ascii="arial" w:eastAsia="arial" w:hAnsi="arial" w:cs="arial"/>
          <w:color w:val="000000"/>
          <w:sz w:val="20"/>
          <w:lang w:val="en-US" w:eastAsia="en-US" w:bidi="ar-SA"/>
        </w:rPr>
        <w:t>, bulging L5 disc, and possible nerve root compression appear to be largely incidental findings. Her pre-accident history do not support a diagnosis of significant pre-accident lumbar spondylosis that was clinically apparent, in that she reports only minimal low back stiffness, but no pain or activity limitation. Her post-accident concerns of pain and weakness in her back and legs have not been consistent with symptomatic lumbar nerve root irritation or discogenic pain at L5, based on her localization of pain, and absence of objective sensory, reflex or nerve root tension signs; nor do her radiologic findings explain her current presentation with widespread pain, and non-myotomal or peripheral nerve distribution weakness affecting multiple extremities.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Koo's prognosis was pessimistic: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has been almost three years since her motor vehicle accident. Despite attendance at recommended therapies, she has had limited symptomatic and functional benefit and continues to report widespread pain and high levels of disability, with ongoing depression and sleep disruption.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her prognosis for significant further recovery is poor. Over time, she has developed more generalized pain in areas that were not previously symptomatic. She appears to have developed a chronic, post-traumatic lowered functional threshold for pain on physical examination and has developed a chronic pain disorder, which is likely a poor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Shaila Misri, a psychiatrist, saw the plaintiff at the request of her counsel. She assessed the plaintiff on September 18, 2013. Dr. Misri specializes in female patients with mood, anxiety and psychotic disorders. Her résumé is extensive and impressive. She is the author of two books. She set out her assumptions as follows:</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Fang-Lan Chiang's (Fang-Lan) depression began gradually and insidiously after the MVA of February 3, 2010.</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Ongoing MSK related pain in the left shoulder, left leg and right knee has caused severe insomnia which is contributing to her moderate/severe depressive illness.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Panic attacks began in the first week of September 2013. This co-morbidity has further intensified the depression.</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Passive suicidal ideation began during the two weeks prior to my examination.</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William Yu, orthopedic surgeon, opined that Fang-Lan did not significantly have radiculopathy. Her main problem was the right knee flexion and mechanical low back pain post MVA.</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Badii, rheumatologist, opined in his February 25, 2013 report that Fang-Lan had L4-L5 disc protrusion with back pain and intermittent radiation.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Badii also reported that Fang-Lan's level of pain was constant at 8/10 which woke her up from her sleep.</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MRI of the right knee performed on March 16, 2011 showed a right meniscal tear.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David Koo, physiatrist, opined that Fang-Lan was pain free pre-accident. She enjoyed gardening and tolerated prolonged standing. If not for the effects of this injury she would have remained pain free in the foreseeable future (February 4, 2013).</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Koo noted that the weakness in the left calf, left knee and leg caused her to have two falls in 2010 which led to a meniscal tear in the right knee.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 to Dr. Koo, she meets the diagnostic criteria for fibromyalgia and he attributed that to the cumulative effects of initial soft tissue injury with subsequently aggravated depression and sleep deprivation.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Koo opined that it would have been unlikely for Fang-Lan to experience fibromyalgia had it not been for the MVA of February 3, 2010.</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Koo's prognosis was that her symptom recovery was poor in the future. He suggested a referral to a chronic pain program for multidisciplinary care.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Koo felt that Fang-Lan is at a high risk for osteoarthritis, deconditioning and medical co-morbidities if her symptom reduction is not addressed.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number of treatments with physiotherapists and personal trainer have not resolved the ongoing pain issues due to the soft tissue injuries as well as other related injuries caused by the MVA of February 2010.</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29, 2009, Dr. Helen Chen, GP, noted feelings of anxiety related to the diagnosis of gastric cancer.</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Around this time, Fang-Lan was going through a number of stressful life situations which included: an upcoming move to Surrey, chronic anemia, impending gastroscopy, enlarged lymph nodes and kidney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Misri considered that "subsequent to" the accident the plaintiff has had two sets of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Fang-Lan Chiang (Fang-Lan) is a 65-vear old married woman who was rear-ended on February 3, 2010. Subsequent to the accident, she has had two sets of injuries that run a parallel course. The physical symptoms of pain sustained during the accident have subsequently led to depressive symptomatology as well as anxiety symptoms and panic attacks. Since the first two weeks of September 2013, Fang-Lan has been battling passive suicidal ideation; "I'm tired of living this way because of the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physical impact of the pain which is well described by various pain specialists includes left-sided pain along the neck, shoulder, upper and lower back, arm and leg. This constant pain has led to two successive falls in September and October of 2010 causing further injury as outlined by the MSK specialists. This injury has caused right knee meniscal tear, further aggravating the MSK related symptoms directly caused by the MVA. In the opinion of the physiatrist, Dr. Koo, cumulative effects of Fang-Lan's soft tissue injuries as well as the psychological impact have resulted in post-traumatic fibromyalgia and ongoing chronic pain condition. It is possible that she may actually develop a chronic pain syndrome if further intervention does not happen.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psychological impact of the chronicity of the pain has resulted in a major life change for this woman, who was functioning very well prior to the injury. Now, a sad, depressed woman who meets the DSM-V criteria for Major Depressive Disorder presents with: sleep difficulty, fatigue, memory loss, appetite disturbance, and finally, suicidal ideation. The insomnia consists of difficulty falling asleep, staying asleep, and waking up earlier than usual. In my opinion, this insomnia is partly due to the pain symptoms and her inability to find a comfortable position to sleep with and also partly due to the depressive illness. The fatigue, from my point of view, also is caused by ongoing chronic pain as well as the chronic depression. Because of the pain she lacks the desire and the mood is low; thus a negative cycle has been set up for at least two years. The dependency on people has increased because of the ongoing fatigue which is at a point now that she is unable to care for her personal hygiene. This includes her inability to shower, wash her hair, pull up her pants or tie her shoe laces. This has led to feelings of hopelessness and worthlessness.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memory loss at the present time is "very bad." She does not remember telephone numbers of her own children and any attempts to try and remember things frustrates her even further. The appetite disturbance has also been constant. Although even at the best of times she hasn't been able to eat a large meal because of the resection of her stomach due to cancer a few years ago, whatever appetite she had before the accident is no longer existent. This concerns her husband in a major way; he is anxious about her nutrition and makes the meals in order to meet those nutritional needs.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anxiety episodes which meet the DSM-V criteria for panic attacks are characterized by a choking sensation, breathlessness, heart palpitations, restlessness and numbness in her hands and feet with occasional nausea. These episodes are beginning to be quite frequent; often they start in the morning and last all day, at times right up until the time she goes to bed. When they occur severely she is miserable for about 45 minutes to an hour. She tries to distract herself, concentrates on her breathing and gets through the day. When the anxiety attacks cause discomfort in her stomach, she gets even more anxious because of her previous history of cancer.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her own words, "I am confused why I have so much pain. Am I really depressed?" She has not been able to make the connection between her affective symptomatology, her anxious feelings and her pain. For her, the only way she can understand why she is dysfunctional is because of the ongoing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is unable to connect with her emotional suffering. Part of her is ashamed of having this pain because she has not been able to share the symptoms in their entirety with any of her children, two of them being dentists and one being a physician. The issue of talking about her mood symptoms with her children is, at this point, out of the question. She is anguished in the privacy of her home every single day, all day at present. Because she is not linking the emotional symptoms with the pain, the current symptoms of anxiety have scared her immensely because she thinks there is something wrong with her heart and/or her chest and she is now waiting for further investigations. She really thinks that something is terribly wrong with her heart. She no longer bothers about her appearance and she wears a wig at the present time so that she doesn't have to bother with her hair or spend money on going to a hair salon.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functional impairment caused by the injuries sustained in the accident resulting in the MSK symptoms and the subsequent psychological symptoms has affected every aspect of her life. She is no longer interested in socializing with her children or grandchildren, she has no interest in gardening and even if she wants to garden, she is frustrated because she cannot lift or bend. She cannot cook. She can barely travel and feels safer being in her own home.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pre-accident history shows that in May of 2009 on one occasion the family doctor reported that she was "slightly depressed" and anxious. In my opinion, these symptoms did not meet the DSM-V criteria for Major Depressive Disorder or for Anxiety Disorder. Many psychosocial changes and stresses happening at that time in her life explain these symptoms. Specifically, she was waiting for a repeat gastroscopy after a gastric cancer and she has been anxious each time this procedure has to be repeated. In addition, the fatigue and anxiety could also partly be assigned to many of her other medical conditions, including the anemia, thyroid issues, and also being an early diabetic at that point. Therefore, in my opinion she does not have a prior history that points towards major psychiatric disorder. It appears that her present Major Depressive Disorder and panic attacks are more likely than not caused by the MVA of February 3,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Misri offered the following prognosis: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prognosis is guarded. She has had three years of physical pain with very little change and her mood is entrenched with this ongoing pain issue. Any spontaneous recovery of her psychiatric symptoms is highly unlikely. In fact, even with treatment I am concerned that she may never go into full remission. Her suicidal ideation is of concern at the present time.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Marc Boyle, an orthopaedic surgeon, tendered a report at the request of the defence. He accepts that the accident may have caused the plaintiff some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may have sustained a myofascial strain. This is a soft tissue injury involving muscles, tendons and ligaments. As regards these soft tissues per se, it would be a grade 1 strain at most, without loss of continuity of the tissues. There would not be any likelihood of early or late instability.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Boyle doubted that the plaintiff's pre-existing degeneration condition would have been caused or worsened by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had pre-existing degenerative changes noted on her plain films with some disc space narrowing at two levels and osteophyte formation. These would have antedated the motor vehicle accident. They would not have caused or worsened by the events surrounding the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little, if any, likelihood of late degenerative changes arising in the cervical spine as a result of the events surrounding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Boyle noted that a Dr. Bandii (also noted in Dr. Koo's review of medical records) had noted "a full range of motion in the plaintiff's cervical spine in 2011," while she had a "markedly restricted range of motion" when he examined her on October 11, 2013. Dr. Boyle suggested "there is no anatomical or pathological explanation for this dichotomy."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Boyle doubted that the plaintiff injured her lumbar spine in the accident. He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reader should be reminded that the lumbar spine, in a rear-end collision, is protected against flexion and extension stresses and it is unlikely that any stress of significance was applied and hence unlikely that any strain of note ensued.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With respect to the plaintiff's complaint of shoulder pain, Dr. Boyle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most part, the notes indicate that this patient had difficulties with her right shoulder post-MVA. Mention was made of difficulties with the left shoulder as well but to a much lesser degree. On review of the records, the range of motion was well-maintained in both shoulders with perhaps some slight loss on the right. Most of the patient's complaints in the physicians' records and the physiotherapists' records deal with the right shoulder.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noted that, at most, slight restriction of range of motion was noted in the right shoulder with normal range on the left. This was as recent as January 10, 2012, in Dr. Badii's last note.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right shoulder was investigated with plain films which were normal. The bone scan in 2011 was normal for both shoulders. The shoulder did not have any radiological investigations that this writer is aware 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Physical examination of the right shoulder was unrewarding on this date. It was felt that there was no pathology noted clinically.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contrast, the left shoulder showed evidence of an adhesive capsulitis with restriction of range of motion. There was no evidence of arthrosis or internal derangement. There was likely a degree of impingement syndrome associated with the adhesive capsulitis. There was no evidence of instability. There were no changes in the sternoclavicular, acromioclavicular or scapulothoracic joints.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impossible to date the onset of this clinical picture, i.e. restriction of range of motion consistent with an adhesive capsulitis when records reviewed, as late as 2012, indicate that the left shoulder had no clinical evidence of pathology.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makes it difficult, therefore, to relate the findings of the left shoulder to the events surrounding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Boyle discussed the plaintiff's complaints of knee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indicated that, after two falls in September and October 2010, her right knee became symptomatic. It cannot, therefore, be directly related to the events surrounding the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states that she was weakened by the events surrounding the motor vehicle accident and, as a result, fell on 2 occasions, injuring her right knee. Dr. Koo felt that there was a causal relationship between the MVA and the right knee complaints in that the patient had been weakened by the events surrounding the motor vehicle accident, and had fallen with the resultant right knee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Repeat neurological examinations by various physicians has not revealed any evidence of radiculitis, radiculopathy, myelopathy or peripheral nerve deficit in the lower extremities. There was no evidence of weakness that would have been brought on by lumbosacral injury at the time of the motor vehicle accident (that issue was discussed above).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writer, therefore, sees no causal relationship between the knee complaints and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Boyle noted behaviour that he felt cast doubt on the validity of the plaintiff's complaints: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fidgeted about continuously. She displayed pain behaviour with moaning and groaning, and withdrawal to minimal tactile stimuli. She displayed a clasp-knife weakness pattern repeatedly. She had some sensory deficits that were not consistent with any anatomical distribution. She displayed a range of motion of the cervical spine and lumbar spine that were not in keeping with any pathology noted. They also were in contrast to previously reported range of motion of both cervical and lumbar spines. The presence of these nonorganic signs can call into question the validity of her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Boyle noted some inconsistencies in the history taken by Dr. Koo as compared to the history the plaintiff gave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Koo] notes on page 3 the patient was "a reasonable and accurate historian" but states in the following paragraph that she "presented as a somewhat vague historian".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page 4, at the middle of the page, i.e. paragraph 5, he indicates that "she volunteered at the food bank occasionally a few times per year, and was able to manage standing for the 1 to 2-hour shifts". The patient related to this interviewer that she was to meet with her friend who managed the food bank but that she had not done any work at the food bank prior to the MVA.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notes that she had an MVA in 2000 with leg or back and neck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indicated to this interviewer that she only had a minor MVA that she had caused, and did not have any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noted a number of things in Dr. Chen's records: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number of entries indicate difficulty with the right arm, shoulder, weakness in the right leg with shooting pains from the back into the thigh, down the leg (CT scan showed left-sided nerve root contact).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Entries deal with right shoulder difficulties in June 2011 and August 2011: "Now right shoulder really bad, very limited range of motion." In the knee assessment, one diagnosis is "right frozen shoulder."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Entry of January 24, 2012: "Has complaints in both shoulders."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Orion Health report.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Consultation of 08/08/2011, is again reviewed, in which is stated: "Apparently, she has had an accident in February 2010 (motor vehicle collision) which resulted in left-sided deficits, particularly the left shoulder and left leg with pain and weakness. While undergoing physiotherapy, she had unfortunately developed right shoulder pain as 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discusses September and October 2010 falls.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Again reviewing the November 8, 2011, note from Dr. Badii, he indicates again a full range of movement of the cervical spine. He also indicates reduced passive external rotation of the right shoulder. From that, it is assumed that the left shoulder had a full range of motion.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This patient presented on this day with a limited range of motion of the cervical spine: this is very inconsistent. It is difficult to explain such a difference in findings over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Similarly, the issue regarding shoulders is difficult to reconcile. Considering the findings in the left shoulder on examination of this day, it is very difficult to ascribe the difficulties encountered to the events surrounding the motor vehicle accident of February 2010.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Again in January 2012, Dr. Badii saw her and indicated that the shoulder pain had improved quite a bit. He notes "still some restriction in movements of her right shoulder but the pain is not as bad as before." This is some 15 months post the falls of 2010. </w:t>
      </w:r>
      <w:r>
        <w:rPr>
          <w:rFonts w:ascii="arial" w:eastAsia="arial" w:hAnsi="arial" w:cs="arial"/>
          <w:color w:val="000000"/>
          <w:sz w:val="20"/>
          <w:u w:val="single"/>
          <w:lang w:val="en-US" w:eastAsia="en-US" w:bidi="ar-SA"/>
        </w:rPr>
        <w:t>It is again difficult to reconcile the findings on examination of the left shoulder on this day with either the events of the MVA or the events of the falls.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Various medical notes from Dr. Chen, i.e. referrals to Physiotherapy, Massage Therapy, etc.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Orion Health records.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December 7, 2010, note for physiotherapy indicates "patient has L4-5 and L5-S1 nerve root compression due to MVA. Left leg weakness. She fell in October, which caused right leg pain. She needs physiotherapy to treat both."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It is this writer's opinion that the CT changes antedated the motor vehicle accident.</w:t>
      </w:r>
      <w:r>
        <w:rPr>
          <w:rFonts w:ascii="arial" w:eastAsia="arial" w:hAnsi="arial" w:cs="arial"/>
          <w:color w:val="000000"/>
          <w:sz w:val="20"/>
          <w:lang w:val="en-US" w:eastAsia="en-US" w:bidi="ar-SA"/>
        </w:rPr>
        <w:t xml:space="preserve"> They are consistent with the clinical findings, i.e. loss of lumbar lordosis and plain films showing advanced L5-S1 spondylosis. I agree with Dr. Yu that there is no evidence of radiculitis or radiculopathy.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These changes were not brought on by the motor vehicle accident.</w:t>
      </w:r>
      <w:r>
        <w:rPr>
          <w:rFonts w:ascii="arial" w:eastAsia="arial" w:hAnsi="arial" w:cs="arial"/>
          <w:color w:val="000000"/>
          <w:sz w:val="20"/>
          <w:lang w:val="en-US" w:eastAsia="en-US" w:bidi="ar-SA"/>
        </w:rPr>
        <w:t xml:space="preserve"> They were not worsened by the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?Incident at Physio in January 2011, i.e. right wrist and hand discomfort. The patient was pushing on the hand to get up from the mat.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Entry of January 31, 2011, deals with the right shoulder and right knee difficulties, similarly in early January.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Entry note of December 10, 2010, indicates some left shoulder, upper back pain and tightness.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major complaint is low back pain with radiation to lower extremities with weakness. It is noted that range of motion of the shoulders was within normal limits, decreased slightly bilaterally, more so right than left.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Entry of April 20, 2011, indicating right shoulder aggravated by taking off jacket the wrong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Last entry is May 11, 2011, when she was "graduated to a community program".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very few entries, if any, dealing with neck complaints or significant left shoulder complaints.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Koo was asked to review Dr. Boyle's report and Dr. Misri's report. He differs from Dr. Boyle on Dr. Boyle's use of a statistical source. I do not propose to address this controversy, except to say that a statistical analysis that shows that a large majority of people injured in a certain way are over their symptoms within a particular period of time is of limited use in any specific case, which must be decided on its facts. In this respect I think Dr. Koo's caution that it is faulty to reason from statistics to the outcome of a given case is well-taken.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Koo then goes on, however, in the following vein: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 Boyle and I both agree that Ms. Chiang's lumbar degenerative changes likely pre-dated the accident and are unlikely to have been caused or made worse by the MVA. However, he then goes on to state </w:t>
      </w:r>
      <w:r>
        <w:rPr>
          <w:rFonts w:ascii="arial" w:eastAsia="arial" w:hAnsi="arial" w:cs="arial"/>
          <w:i/>
          <w:color w:val="000000"/>
          <w:sz w:val="20"/>
          <w:lang w:val="en-US" w:eastAsia="en-US" w:bidi="ar-SA"/>
        </w:rPr>
        <w:t>"the lumbar spine, in a rear-end collision, is protected against flexion and extension stresses and it is unlikely that any stress of significance was applied and hence unlikely that any strained of note ensued" (Page 3, paragraph 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Helen Chen's records clearly document a significant injury to Ms. Chiang's low back, consistent with a Grade 1 strain following the accident [emphasis added by Dr. Koo]: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32"/>
        <w:gridCol w:w="237"/>
        <w:gridCol w:w="515"/>
        <w:gridCol w:w="237"/>
        <w:gridCol w:w="7306"/>
        <w:gridCol w:w="10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1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February 5, 2010: She reported left-sided back and arm pain, and left leg pain. She was found to have tenderness at the C4-6 midline, right paracervical muscle and right trapezius, and right infraspinatus; tenderness in the right lower lumbar region; neck range of motion had reduced extension, left rotation and lateral flexion. Her back range of motion was okay.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2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July 14, 2010: Ongoing back and left leg discomfort were noted with the left leg feeling weaker. She was tender to both trapezii and rhomboids and had low back pain.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likelihood of low back injury following rear-end collisions is also supported in studies of occupant kinematics that demonstrate complex biomechanics of the lumbar spine in rear-end collisions</w:t>
      </w:r>
      <w:r>
        <w:rPr>
          <w:rFonts w:ascii="arial" w:eastAsia="arial" w:hAnsi="arial" w:cs="arial"/>
          <w:color w:val="000000"/>
          <w:sz w:val="20"/>
          <w:lang w:val="en-US" w:eastAsia="en-US" w:bidi="ar-SA"/>
        </w:rPr>
        <w:t>, which likely include a flattening of the lumbar spine, followed by compression, ramping, then tension. Given that Ms. Chiang had pre-existing lumbar degenerative changes (although minimally symptomatic pre-MVA) her susceptibility to these injurious forces would have been increased to a greater degree than a non-injured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Also omitted in his reasoning is the clinical and epidemiologic literature that shows low back complaints occur in a significant percentage of whiplash cases.</w:t>
      </w:r>
      <w:r>
        <w:rPr>
          <w:rFonts w:ascii="arial" w:eastAsia="arial" w:hAnsi="arial" w:cs="arial"/>
          <w:color w:val="000000"/>
          <w:sz w:val="20"/>
          <w:lang w:val="en-US" w:eastAsia="en-US" w:bidi="ar-SA"/>
        </w:rPr>
        <w:t xml:space="preserve"> Reports of low back pain following whiplash go back in the literature as far as the 1950's and continues to the present, with an incidence of low back pain in a significant percentage of individuals with whiplash injury, ranging from 4% to over 50% in some studies. This includes the same study Dr. Boyle cited in his report, where Bannister et al. 2009 found that 42% and 48% of their whiplash study patients also reported low back pain at 10 and 15 year follow-up, respectively.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This is to argue statistics from the other end. Dr. Boyle's observations reflect a consideration of the specific dynamics of the accident itself. The studies referred to in Dr. Koo's report are, in my view, vulnerable to the same criticism he levels at Dr. Boyle for his use of statistical materials. </w:t>
      </w:r>
      <w:r>
        <w:rPr>
          <w:rFonts w:ascii="arial" w:eastAsia="arial" w:hAnsi="arial" w:cs="arial"/>
          <w:color w:val="000000"/>
          <w:sz w:val="20"/>
          <w:u w:val="single"/>
          <w:lang w:val="en-US" w:eastAsia="en-US" w:bidi="ar-SA"/>
        </w:rPr>
        <w:t>Some</w:t>
      </w:r>
      <w:r>
        <w:rPr>
          <w:rFonts w:ascii="arial" w:eastAsia="arial" w:hAnsi="arial" w:cs="arial"/>
          <w:color w:val="000000"/>
          <w:sz w:val="20"/>
          <w:lang w:val="en-US" w:eastAsia="en-US" w:bidi="ar-SA"/>
        </w:rPr>
        <w:t xml:space="preserve"> people involved in rear-end accidents, even minor ones, </w:t>
      </w:r>
      <w:r>
        <w:rPr>
          <w:rFonts w:ascii="arial" w:eastAsia="arial" w:hAnsi="arial" w:cs="arial"/>
          <w:color w:val="000000"/>
          <w:sz w:val="20"/>
          <w:u w:val="single"/>
          <w:lang w:val="en-US" w:eastAsia="en-US" w:bidi="ar-SA"/>
        </w:rPr>
        <w:t>sometimes</w:t>
      </w:r>
      <w:r>
        <w:rPr>
          <w:rFonts w:ascii="arial" w:eastAsia="arial" w:hAnsi="arial" w:cs="arial"/>
          <w:color w:val="000000"/>
          <w:sz w:val="20"/>
          <w:lang w:val="en-US" w:eastAsia="en-US" w:bidi="ar-SA"/>
        </w:rPr>
        <w:t xml:space="preserve"> complain of pain and serious consequences years after most people get over the effects of their injuries. The task of a trial court is not to assess probabilities with reference to statistics, but to assess the case at hand, allowing that it is an error to draw a straight line from the apparent seriousness (or lack of seriousness), of the accident to a range of damages, but that a proper analysis takes account of all the factors at play in a given situation. This may include, apart from an assessment of the plaintiff herself, an assessment of the objectivity of 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have observed in the past that medical professionals do not subject their patients to forensic tests of credibility: they take the patient's complaints at face value and attempt to treat them. They do not generally subject patients to a close examination of their accounts of the origins of those complaints unless there are therapeutic reasons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this case, Dr. Koo has taken issue with Dr. Boyle's concerns about the extent of the plaintiff's complaints. In the excerpt above, he noted that both he and Dr. Boyle agree that the plaintiff's lumbar degenerative changes likely "pre-dated the accident and are unlikely to have been caused or made worse by the MVA." He also observes, in the same passage that, "given that [the plaintiff] had pre-existing lumbar degenerative changes (although minimally symptomatic pre-MVA) her susceptibility to these injurious forces would have been increased to a greater degree than a non-injured person." This was in answer to Dr. Boyle's observation that because the lumbar spine is protected in a rear-end collision against flexion and extension stresses "it is unlikely that any stress of significance was applied and hence unlikely that any strain of note ensued."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takes some parsing to see a distinction rather than a contradiction in that part of Dr. Koo's report. He seems to agree with Dr. Boyle that the accident was irrelevant to whatever degenerative changes were present, but that, without precipitating anything related to the degenerative changes, the plaintiff was somehow more vulnerable to injury. If this is not inconsistent, it remains unclear to me how it is possible to be more vulnerable to injury due to an underlying condition without disturbing that underlying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think it also must be noted that the plaintiff had been symptomatic in the past in relation to those degenerative changes, which suggests that she may have become symptomatic again, regardless of whether the accident "aggravated" those symptoms. Dr. Koo does allow, as well, that the plaintiff's insomnia, a significant factor in her present condition, was "aggravated" (i.e. not wholly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Boyle made a series of observations that he considered anomalous when he reviewed the plaintiff's medical records. He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his note of 2011, Dr. Badii indicated: "The patient had a full range of motion of the cervical spine." This contrasted dramatically with the findings noted on physical examination today in that she had markedly restricted range of motion.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Physical examination of the right shoulder was unrewarding on this date. It was felt that there was no pathology noted clinically.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contrast, the left shoulder showed evidence of an adhesive capsulitis with restriction of range of motion. There was no evidence of arthrosis or internal derangement. There was likely a degree of impingement syndrome associated with the adhesive capsulitis. There was no evidence of instability. There were no changes in the sternoclavicular, acromioclavicular or scapulothoracic joints.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impossible to date the onset of this clinical picture, i.e. restriction of range of motion consistent with an adhesive capsulitis when records reviewed, as late as 2012, indicate that the left shoulder had no clinical evidence of pathology.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Again, the writer stresses that, in his opinion, there is no causal relationship between the MVA and the right knee complaints.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Psychological Support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an important role for Dr. Chen to pay in this in that the patient's complaints seem out of proportion to the history to the physical findings.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may be significant stressors in her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latter is outside of my area of expertise but I feel that a significant amount of her difficulties resides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Dr. Koo's critique of Dr. Boyle's report is very strongly premised on a belief that the plaintiff's injuries in the motor vehicle accident are at the root of her subsequent troubles. He resorted, as I have said, to statistics and studies to show how lumbar strains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arise in rear-end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Koo was critical of Dr. Boyle's observation that it was impossible to date the left shoulder injury to the accident because the records he reviewed suggested that in 2012, the left shoulder did not seem to be a problem. Dr. Koo suggests that studies show that the occurrence of right shoulder adhesive capsulitis may increase the risk of this development in the opposite shoulder. He opines that the right adhesive capsulitis was "post-traumatic...from the MVA in question" on what appears to be the relatively slender foundation of Dr. Chen's record that when the plaintiff saw her on June 8, 2011, she was "noticing more pain in her right shoulder. She said she had right shoulder pain since the accident but did not pay much attention to it until now." This also follows the two falls the plaintiff said occurred on September 23, and October 10,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Koo notes that Dr. Boyle doubted that the plaintiff's lower extremities or knees were symptomatic as a result of the accident. Dr. Boyle had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[R]epeat neurological examinations by various physicians has not revealed any evidence of radiculitis (nerve root inflammation), radiculopathy (nerve root dysfunction), myelopathy (spinal cord dysfunction) or peripheral nerve deficit in the lower extremities. There was no evidence of weakness that would have been brought on by lumbosacral injury at the time of the motor vehicle accident...this writer, therefore, sees no causal relationship between the knee complaints and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Koo's response is to suggest that the plaintiff had an increased risk of falling as a result of what he reads as a medical record without a history of such falls before the accident, followed by complaints of weakness and two events where the plaintiff actually fell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This appears to be a difference between a doctor (Dr. Boyle) who is focussed on the objective evidence (which may be an incomplete way of looking at a patient) and one (Dr. Koo) who accepts the subjective complaints and history of the plaintiff and attributes them all, rather willingly, to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Ms. Chiang clearly had ongoing pain and weakness complaints affecting her neck, back and left leg from the accident in question. Pain and sleep deprivation are both known to affect concentration and her reduced attention may have contributed to risk of fall. She reports that her left leg gave way during the first fall; there are many reasons for such weakness in the absence of neurological injury, including pain inhibition and deconditioning. Furthermore, ongoing tightness and restriction in her neck, back and left leg likely slowed the normal postural reflexes that occur during a fall, limiting her ability to catch herself and limit the severity of injury from such a fall.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Therefore, as I previously opined, the onset of knee difficulties after her falls and subsequent diagnosis of a meniscal tear, with a previously asymptomatic knee, suggests that her falls were likely causal to her meniscal injury, which likely resulted from the accident in question due to her heightened fall risk from her soft tissue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agree with Dr. Boyle as stated on page 5, paragraph 6 of his report that </w:t>
      </w:r>
      <w:r>
        <w:rPr>
          <w:rFonts w:ascii="arial" w:eastAsia="arial" w:hAnsi="arial" w:cs="arial"/>
          <w:i/>
          <w:color w:val="000000"/>
          <w:sz w:val="20"/>
          <w:lang w:val="en-US" w:eastAsia="en-US" w:bidi="ar-SA"/>
        </w:rPr>
        <w:t>"the patient did relate some falls post MVA which could have led to injury to the (left) shoulder".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her right shoulder pathology was likely multifactorial, related to her initial post-accident soft tissue injuries, compounded by her two falls, and a subsequent physiotherapy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Koo reconciled his view of the plaintiff's non-organic signs and that of Dr. Boyle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much of the nonorganic signs that Dr. Boyle and myself identified can be explained on the basis of her diagnosis of post-traumatic fibromyalgia, which Dr. Boyle did not consider in his diagnosis, leaving him to observe that </w:t>
      </w:r>
      <w:r>
        <w:rPr>
          <w:rFonts w:ascii="arial" w:eastAsia="arial" w:hAnsi="arial" w:cs="arial"/>
          <w:i/>
          <w:color w:val="000000"/>
          <w:sz w:val="20"/>
          <w:lang w:val="en-US" w:eastAsia="en-US" w:bidi="ar-SA"/>
        </w:rPr>
        <w:t>"the patient's complaints seem out of proportion to the history and to the physical findings"</w:t>
      </w:r>
      <w:r>
        <w:rPr>
          <w:rFonts w:ascii="arial" w:eastAsia="arial" w:hAnsi="arial" w:cs="arial"/>
          <w:color w:val="000000"/>
          <w:sz w:val="20"/>
          <w:lang w:val="en-US" w:eastAsia="en-US" w:bidi="ar-SA"/>
        </w:rPr>
        <w:t xml:space="preserve"> and to presume </w:t>
      </w:r>
      <w:r>
        <w:rPr>
          <w:rFonts w:ascii="arial" w:eastAsia="arial" w:hAnsi="arial" w:cs="arial"/>
          <w:i/>
          <w:color w:val="000000"/>
          <w:sz w:val="20"/>
          <w:lang w:val="en-US" w:eastAsia="en-US" w:bidi="ar-SA"/>
        </w:rPr>
        <w:t>"there may be significant stressors in her life"</w:t>
      </w:r>
      <w:r>
        <w:rPr>
          <w:rFonts w:ascii="arial" w:eastAsia="arial" w:hAnsi="arial" w:cs="arial"/>
          <w:color w:val="000000"/>
          <w:sz w:val="20"/>
          <w:lang w:val="en-US" w:eastAsia="en-US" w:bidi="ar-SA"/>
        </w:rPr>
        <w:t xml:space="preserve"> (page 6, paragraph 2 &amp; 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important to note that nonorganic signs do not invalidate the experience of a patient's pain and disability, and that such findings have been controversial in their interpretation, and have been found to be subject to cultural and gender bias, poor inter-rater reliability, and do not exclude an organic cause for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is difficult to reconcile Dr. Koo's diagnosis of fibromyalgia: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Fibromyalgia tender points were notable for pain and flinching in a total of 14/18 points, as follows: right anterior cervical; left suboccipital, medial knee and infraspinatus; and bilaterally in the trapezii, second sternocostal, lateral epicondyle, greater trochanters, and gluteals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with the "pain behaviour" Dr. Boyle noted.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court, the plaintiff sometimes rocked back and forth in the witness box, gave her evidence with her eyes closed much of the time, and appeared to be grimacing in pain, while at other times she appeared to be comfortable.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 do not think there is any reason to doubt Dr. Misri's diagnosis of the plaintiff's current </w:t>
      </w:r>
      <w:r>
        <w:rPr>
          <w:rFonts w:ascii="arial" w:eastAsia="arial" w:hAnsi="arial" w:cs="arial"/>
          <w:i/>
          <w:color w:val="000000"/>
          <w:sz w:val="20"/>
          <w:lang w:val="en-US" w:eastAsia="en-US" w:bidi="ar-SA"/>
        </w:rPr>
        <w:t>mental</w:t>
      </w:r>
      <w:r>
        <w:rPr>
          <w:rFonts w:ascii="arial" w:eastAsia="arial" w:hAnsi="arial" w:cs="arial"/>
          <w:color w:val="000000"/>
          <w:sz w:val="20"/>
          <w:lang w:val="en-US" w:eastAsia="en-US" w:bidi="ar-SA"/>
        </w:rPr>
        <w:t xml:space="preserve"> status as a major depressive disorder brought on my pain symptoms and depressive illness. I do not fault Dr. Misri's observations about the origins of the plaintiff's difficulties, but, as with the evidence of all doctors about causation, they must not be given more authority than they warrant. Medical opinions on such matters are not expert: they are inferences from the coincidence of pain and an event that might explain it. This is not to say that they are necessarily unreliable, but to say that, where complex consequences are being attributed to a normally minor event, the court must recognize an independent responsibility to take a more critical view.</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is obviously not possible to reconcile the medical opinions respecting causation. Dr. Boyle's approach is to concentrate on what he thinks can be attributed to the accident while opining that the plaintiff exhibited "pain behaviour" in his presence, while the other doctors uncritically assign every complaint made by the plaintiff post-accident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Working from what is known, the plaintiff's pre-accident condition included various physical complaints as well as anxiety and depression. She had been injured in a motor vehicle accident in 2000. She had had stomach cancer in 2006 which has caused her discomfort, bloating and poor appetite ever since. She has hypothyroidism. She had ongoing treatment for osteoporosis before and after the accident (until the summer of 2012). It is not clear from the medical record why treatment stopped at that time. The "summer" entries in Dr. Chen's medical record show attendances in July and September: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returned to see me on July 10, 2012 regarding her injuries. Her right knee was still sore and she felt a bit weak, but overall she had improved. She was getting acupuncture every two weeks. Her back was a bit sore and she was getting massage therapy for her back. A stress test done on June 19, 2012 was abnormal, which meant there might be coronary artery dieses. I therefore referred her to get a MIBI scan which is a more detailed and definitive test for coronary heart disease.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came back on September 11, 2012. Her left leg got worse after August 19. She walked for about 500 meters with her granddaughter then she had really severe pain in the back of her knee since. She felt weak in that knee and could not fully weight bear or fully extend her knee. She also had to cancel her MIBI scan appointment which involved exercising on a treadmill during the test. She started getting acupuncture again. On exam, her left knee was not swollen, but she could not fully flex her knee due to pain. She also had a limping gait. Her knee pain was in the back of her knee but not one particular area. I rescheduled her MIBI scan to another type so she did not have to exercise for the test. I suggested ongoing acupuncture to treat her knee pain. I recommended a cane for her to prevent falls as her legs seem weak.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had understandable anxiety as a result of her cancer treatments and was symptomatic in 2009 for depression, low energy, and poor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do not think it unreasonable to assume that this complex of symptoms, some of which were presenting at the time of the accident and some of which were not, forms a baseline to the accident and negates any notion that the plaintiff was in perfect health before the accident. I accept that she was generally functional, although I think it is also reasonable to assume that when the plaintiff was symptomatic for her pre-existing conditions, including periods of low energy, her activities were reduced to some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Both Doctors Boyle and Koo suggest, as I have already outlined, that the injuries sustained in the accident do not intersect with these pre-existing conditions; Dr. Boyle, on the basis that the injuries were relatively innocuous and time limited; Dr. Koo, on the basis that, somehow, while the pre-existing injuries were not aggravated, they nevertheless made the plaintiff more vulnerable.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think I must take more account of the subjective factors than Dr. Boyle does, and more account of the plaintiff's pre-existing complex of problems than Drs. Chen and Koo do, not as a matter of expediency, but of common sense. I think it clear that the plaintiff was going to have ongoing medical issues in the future, including physical complaints and complaints related to anxiety and depression in reaction to the ordinary challenges of life, particularly as age became a factor. The question is the degree to which the issues arising out the single incident of the motor vehicle accident changed that profile, temporarily or long-term.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There is, on the facts, another question of causation. This is whether the September 23, 2010 and October 10, 2010 falls were related to the accident as Dr. Koo advocates, or whether they are an intervening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Going back for a moment, the plaintiff's initial complaints were of "left-sided arm back and leg pain." On examination, Dr. Chen did not opine that the plaintiff had suffered a leg injury. In April, the plaintiff complained of weakness in her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noted by both Dr. Boyle and Dr. Koo, however, tests did not reveal any weakness. Dr. Boyle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Repeat neurological examinations by various physicians has not revealed any evidence of radiculitis, radiculophathy, myelopathy or peripheral nerve deficit in the lower extremities. There was no evidence of weakness that would have been brought on by lumbrosacral injury at the time of the motor vehicle accident (that issue was discussed above).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writer, therefore, sees no causal relationship between the knee complaints and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Koo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post accident concerns of pain and weakness in her back and legs have not been consistent with symptomatic lumbar nerve root irritation or discogenic pain at L5, based on her localization of pain and absence of objective sensory, reflex or nerve root tension signs; nor do her radiologic findings explain her current presentation with widespread pain, and non-myotomal or peripheral nerve distribution weakness affecting multiple extremities.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defendants submit that in the absence of evidence of a pathological cause, the plaintiff's falls cannot be attributed to the accident. They cite </w:t>
      </w:r>
      <w:r>
        <w:rPr>
          <w:rFonts w:ascii="arial" w:eastAsia="arial" w:hAnsi="arial" w:cs="arial"/>
          <w:i/>
          <w:color w:val="000000"/>
          <w:sz w:val="20"/>
          <w:lang w:val="en-US" w:eastAsia="en-US" w:bidi="ar-SA"/>
        </w:rPr>
        <w:t>Barnes v. Richardson et al.</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2008 BCSC 1349</w:t>
        </w:r>
      </w:hyperlink>
      <w:r>
        <w:rPr>
          <w:rFonts w:ascii="arial" w:eastAsia="arial" w:hAnsi="arial" w:cs="arial"/>
          <w:color w:val="000000"/>
          <w:sz w:val="20"/>
          <w:lang w:val="en-US" w:eastAsia="en-US" w:bidi="ar-SA"/>
        </w:rPr>
        <w:t>, at para. 96: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Deductions may also be made for independent intervening events. If an independent intervening event occurs, the assessment of the plaintiff's position is affected and the net loss experienced by the plaintiff is reduced. However, if the event is a product of the accident, it does not affect the assessment of the plaintiff's original position: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33. Unrelated intervening events are taken into account in the same way as pre-existing conditions. If such an event would have affected the plaintiff's original position adversely, in any event, the net loss attributable to the tort will not be as great and damages will be reduced proportionately: </w:t>
      </w:r>
      <w:r>
        <w:rPr>
          <w:rFonts w:ascii="arial" w:eastAsia="arial" w:hAnsi="arial" w:cs="arial"/>
          <w:i/>
          <w:color w:val="000000"/>
          <w:sz w:val="20"/>
          <w:lang w:val="en-US" w:eastAsia="en-US" w:bidi="ar-SA"/>
        </w:rPr>
        <w:t>A. (T. W. 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 (T. W. N.) v. Clarke</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Dudek v. Li</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2000 BCCA 321</w:t>
        </w:r>
      </w:hyperlink>
      <w:r>
        <w:rPr>
          <w:rFonts w:ascii="arial" w:eastAsia="arial" w:hAnsi="arial" w:cs="arial"/>
          <w:color w:val="000000"/>
          <w:sz w:val="20"/>
          <w:lang w:val="en-US" w:eastAsia="en-US" w:bidi="ar-SA"/>
        </w:rPr>
        <w:t>, at para. 11, the Court of Appeal outlined the law regarding intervening 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 Law Regarding "Intervening 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These types of cases are discussed in the House of Lords decision of </w:t>
      </w:r>
      <w:r>
        <w:rPr>
          <w:rFonts w:ascii="arial" w:eastAsia="arial" w:hAnsi="arial" w:cs="arial"/>
          <w:i/>
          <w:color w:val="000000"/>
          <w:sz w:val="20"/>
          <w:lang w:val="en-US" w:eastAsia="en-US" w:bidi="ar-SA"/>
        </w:rPr>
        <w:t>McKew v. Holland &amp; Hannen &amp; Cubitts (Scotland) Ltd.</w:t>
      </w:r>
      <w:r>
        <w:rPr>
          <w:rFonts w:ascii="arial" w:eastAsia="arial" w:hAnsi="arial" w:cs="arial"/>
          <w:color w:val="000000"/>
          <w:sz w:val="20"/>
          <w:lang w:val="en-US" w:eastAsia="en-US" w:bidi="ar-SA"/>
        </w:rPr>
        <w:t xml:space="preserve">, [1969] 3 All E.R. 1621. In </w:t>
      </w:r>
      <w:r>
        <w:rPr>
          <w:rFonts w:ascii="arial" w:eastAsia="arial" w:hAnsi="arial" w:cs="arial"/>
          <w:i/>
          <w:color w:val="000000"/>
          <w:sz w:val="20"/>
          <w:lang w:val="en-US" w:eastAsia="en-US" w:bidi="ar-SA"/>
        </w:rPr>
        <w:t>McKew</w:t>
      </w:r>
      <w:r>
        <w:rPr>
          <w:rFonts w:ascii="arial" w:eastAsia="arial" w:hAnsi="arial" w:cs="arial"/>
          <w:color w:val="000000"/>
          <w:sz w:val="20"/>
          <w:lang w:val="en-US" w:eastAsia="en-US" w:bidi="ar-SA"/>
        </w:rPr>
        <w:t>, the appellant sustained an injury for which the tortfeasors were liable, in consequence of which he would unexpectedly lose control of his left leg, which would then collapse. It was expected that he would have recovered within a week or two but for a second injury which he suffered. The second injury, in which he severely fractured his ankle, occurred when he descended steep steps without a handrail. Lord Reid stated at p. 1623: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law is clear. If a man is injured in such a way that his leg may give way at any moment he must act reasonably and carefully. It is quite possible that in spite of all reasonable care his leg may give way in circumstances such that as a result he sustains further injury. Then that second injury was caused by his disability which in turn was caused by the defender's fault. </w:t>
      </w:r>
      <w:r>
        <w:rPr>
          <w:rFonts w:ascii="arial" w:eastAsia="arial" w:hAnsi="arial" w:cs="arial"/>
          <w:color w:val="000000"/>
          <w:sz w:val="20"/>
          <w:u w:val="single"/>
          <w:lang w:val="en-US" w:eastAsia="en-US" w:bidi="ar-SA"/>
        </w:rPr>
        <w:t xml:space="preserve">But if the injured man acts unreasonably he cannot hold the defender liable for injury caused by his own unreasonable conduct. His unreasonable conduct is </w:t>
      </w:r>
      <w:r>
        <w:rPr>
          <w:rFonts w:ascii="arial" w:eastAsia="arial" w:hAnsi="arial" w:cs="arial"/>
          <w:i/>
          <w:color w:val="000000"/>
          <w:sz w:val="20"/>
          <w:u w:val="single"/>
          <w:lang w:val="en-US" w:eastAsia="en-US" w:bidi="ar-SA"/>
        </w:rPr>
        <w:t>novus actus interveniens</w:t>
      </w:r>
      <w:r>
        <w:rPr>
          <w:rFonts w:ascii="arial" w:eastAsia="arial" w:hAnsi="arial" w:cs="arial"/>
          <w:color w:val="000000"/>
          <w:sz w:val="20"/>
          <w:u w:val="single"/>
          <w:lang w:val="en-US" w:eastAsia="en-US" w:bidi="ar-SA"/>
        </w:rPr>
        <w:t>. The chain of causation has been broken and what follows must be regarded as caused by his own conduct and not by the defender's fault or the disability caused by it</w:t>
      </w:r>
      <w:r>
        <w:rPr>
          <w:rFonts w:ascii="arial" w:eastAsia="arial" w:hAnsi="arial" w:cs="arial"/>
          <w:color w:val="000000"/>
          <w:sz w:val="20"/>
          <w:lang w:val="en-US" w:eastAsia="en-US" w:bidi="ar-SA"/>
        </w:rPr>
        <w:t xml:space="preserve">. ... For it is not at all unlikely or unforeseeable that an active man who has suffered such a disability will take some quite unreasonable risk. But if he does he cannot hold the defender liable for the consequences. [Underline emphasis in </w:t>
      </w:r>
      <w:r>
        <w:rPr>
          <w:rFonts w:ascii="arial" w:eastAsia="arial" w:hAnsi="arial" w:cs="arial"/>
          <w:i/>
          <w:color w:val="000000"/>
          <w:sz w:val="20"/>
          <w:lang w:val="en-US" w:eastAsia="en-US" w:bidi="ar-SA"/>
        </w:rPr>
        <w:t>Dudek</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House of Lords found that the appellant in that case was acting unreasonably, thus breaking the chain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defendants offer a further refinement: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alternative, should the September 23, 2010 fall be found to be causally connected to the Accident, the Plaintiff acted unreasonably with regards to the October 10, 2010 fall so as to constitute a </w:t>
      </w:r>
      <w:r>
        <w:rPr>
          <w:rFonts w:ascii="arial" w:eastAsia="arial" w:hAnsi="arial" w:cs="arial"/>
          <w:i/>
          <w:color w:val="000000"/>
          <w:sz w:val="20"/>
          <w:lang w:val="en-US" w:eastAsia="en-US" w:bidi="ar-SA"/>
        </w:rPr>
        <w:t>novus actus</w:t>
      </w:r>
      <w:r>
        <w:rPr>
          <w:rFonts w:ascii="arial" w:eastAsia="arial" w:hAnsi="arial" w:cs="arial"/>
          <w:color w:val="000000"/>
          <w:sz w:val="20"/>
          <w:lang w:val="en-US" w:eastAsia="en-US" w:bidi="ar-SA"/>
        </w:rPr>
        <w:t xml:space="preserve">. In particular, the Plaintiff's evidence was that following the September 23, 2010 fall she was afraid of falling again yet she made no efforts to use a cane or the support of her husband at the time of the October 10, 2010 fall. The Plaintiff's unreasonable failure to do so, in light of the September 23, 2010 fall was unreasonable in the context of </w:t>
      </w:r>
      <w:r>
        <w:rPr>
          <w:rFonts w:ascii="arial" w:eastAsia="arial" w:hAnsi="arial" w:cs="arial"/>
          <w:i/>
          <w:color w:val="000000"/>
          <w:sz w:val="20"/>
          <w:lang w:val="en-US" w:eastAsia="en-US" w:bidi="ar-SA"/>
        </w:rPr>
        <w:t>McKew, 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Following these falls the plaintiff's complaints of pain have migrated over time. Dr. Koo attempts to account for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 Boyle found evidence of left shoulder adhesive capsulitis, with restriction of range of motion. This is similar to my own assessment. With regards to causation however, he found </w:t>
      </w:r>
      <w:r>
        <w:rPr>
          <w:rFonts w:ascii="arial" w:eastAsia="arial" w:hAnsi="arial" w:cs="arial"/>
          <w:i/>
          <w:color w:val="000000"/>
          <w:sz w:val="20"/>
          <w:lang w:val="en-US" w:eastAsia="en-US" w:bidi="ar-SA"/>
        </w:rPr>
        <w:t>"it is impossible to date the onset of this clinical picture, i.e. restriction of range of motion consistent with an adhesive capsulitis when records reviewed, as late as 2012, indicate that the left shoulder had no clinical evidence of pathology"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Dr. Boyle fails to consider however, is that the occurrence of right shoulder adhesive capsulitis following the accident in question, likely significantly increased Ms. Chiang's risk of delayed development of adhesive capsulitis on the opposite side, based on epidemiologic studies. Not only does the presence of adhesive capsulitis significantly increase the risk of recurrence on the affected side, but it also appears to increase the risk of development of the same condition affecting the </w:t>
      </w:r>
      <w:r>
        <w:rPr>
          <w:rFonts w:ascii="arial" w:eastAsia="arial" w:hAnsi="arial" w:cs="arial"/>
          <w:i/>
          <w:color w:val="000000"/>
          <w:sz w:val="20"/>
          <w:lang w:val="en-US" w:eastAsia="en-US" w:bidi="ar-SA"/>
        </w:rPr>
        <w:t>opposite</w:t>
      </w:r>
      <w:r>
        <w:rPr>
          <w:rFonts w:ascii="arial" w:eastAsia="arial" w:hAnsi="arial" w:cs="arial"/>
          <w:color w:val="000000"/>
          <w:sz w:val="20"/>
          <w:lang w:val="en-US" w:eastAsia="en-US" w:bidi="ar-SA"/>
        </w:rPr>
        <w:t xml:space="preserve"> shoulder. Some studies have reported that sequential (i.e. non-simultaneous), bilateral adhesive capsulitis can occur in up to 40-50% of patients, which is substantially higher than the general population risk estimated at 3-5% (Greene WB. Essentials of musculoskeletal care. 2. Rosemont, IL: American Academy of Orthopedic Surgeons; 2001)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Therefore, in my opinion, it would have been unlikely for Ms. Chiang to develop left shoulder adhesive capsulitis spontaneously. In the absence of alternative causation, although Dr. Boyle did note that </w:t>
      </w:r>
      <w:r>
        <w:rPr>
          <w:rFonts w:ascii="arial" w:eastAsia="arial" w:hAnsi="arial" w:cs="arial"/>
          <w:i/>
          <w:color w:val="000000"/>
          <w:sz w:val="20"/>
          <w:lang w:val="en-US" w:eastAsia="en-US" w:bidi="ar-SA"/>
        </w:rPr>
        <w:t>"the patient did relate some falls post-MVA which could have led to injury to the shoulder"</w:t>
      </w:r>
      <w:r>
        <w:rPr>
          <w:rFonts w:ascii="arial" w:eastAsia="arial" w:hAnsi="arial" w:cs="arial"/>
          <w:color w:val="000000"/>
          <w:sz w:val="20"/>
          <w:lang w:val="en-US" w:eastAsia="en-US" w:bidi="ar-SA"/>
        </w:rPr>
        <w:t xml:space="preserve"> page 5, paragraph 6 (please refer to my subsequent comments on fall risk related to the accident), it is my opinion that her post-traumatic right adhesive capsulitis from the MVA in question, likely increased her risk for developing spontaneous left adhesive capsulitis with a delayed onset.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This is unconvincing. As one multiplies "possibilities" (injuries arising from the accident x the possibility that the falls are related to the accident x the possibility that the other-side shoulder pain is related, for example) a given proposition become more and more remote.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My view of the evidence is that the description of the plaintiff's psychiatric state given by Dr. Misri is accurate: that is how the plaintiff is. I do not necessarily accept that the plaintiff's perception of pain and disability is accurate, but accept that in the case of her disorder, perception may be reality.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do not accept that the plaintiff's present condition is entirely due to the accident. Given the lack of any tangible evidence of weakness in the leg associated with the accident, I think it more likely that the plaintiff simply suffered a fall on September 23, 2010, unrelated to the accident. I think the second fall was more likely to be causally related to the first fall than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This is not to say that thereafter the plaintiff's difficulties are entirely due to these subsequent events. The plaintiff's problems are multifactorial, and relate to her pre-existing conditions, the accident, and her falls. I accept that the combination of factors has left her significantly disabled. The task is to assess the contribution of the injuries suffered in the accident to this profile.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submits that the range of damages for pain and suffering and loss of enjoyment of life is between $95,000 and $125,000. The defendants submit that the range is $25,000 -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plaintiff submits that the plaintiff suffered a loss of housekeeping capacity which is divided into what she calls "outdoor work" and "indoor work". The ranges she suggests are $45,000 - $50,000 for "outdoor work" and $65,000 - $75,000 for "indoor work". Taking account of the discount rate published in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R.S.B.C. 1996, c. 253, s. 56</w:t>
        </w:r>
      </w:hyperlink>
      <w:r>
        <w:rPr>
          <w:rFonts w:ascii="arial" w:eastAsia="arial" w:hAnsi="arial" w:cs="arial"/>
          <w:color w:val="000000"/>
          <w:sz w:val="20"/>
          <w:lang w:val="en-US" w:eastAsia="en-US" w:bidi="ar-SA"/>
        </w:rPr>
        <w:t>, the plaintiff submits that a proper allowance for housekeeping is $10,000 per year for 10 years discounted to a present value of $87,521.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plaintiff's analysis underlying the amounts submitted for loss of housekeeping is essentially arithmetical, turning outside work into a number of hours per day multiplied by $15 which the plaintiff submits is reasonable on the authority of </w:t>
      </w:r>
      <w:r>
        <w:rPr>
          <w:rFonts w:ascii="arial" w:eastAsia="arial" w:hAnsi="arial" w:cs="arial"/>
          <w:i/>
          <w:color w:val="000000"/>
          <w:sz w:val="20"/>
          <w:lang w:val="en-US" w:eastAsia="en-US" w:bidi="ar-SA"/>
        </w:rPr>
        <w:t>Deo v. Deo</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2005 BCSC 1788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Chamberlain v. Giles</w:t>
      </w:r>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2008 BCSC 171</w:t>
        </w:r>
      </w:hyperlink>
      <w:r>
        <w:rPr>
          <w:rFonts w:ascii="arial" w:eastAsia="arial" w:hAnsi="arial" w:cs="arial"/>
          <w:color w:val="000000"/>
          <w:sz w:val="20"/>
          <w:lang w:val="en-US" w:eastAsia="en-US" w:bidi="ar-SA"/>
        </w:rPr>
        <w:t>. She undertakes a similar exercise with respect to the computation of indoor housekeeping.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defendants submit that there is no evidence of the extent of housekeeping assistance required and no evidence of replacement cost. They submit that the proper approach is to factor loss of housekeeping capacity into the assessment of non-pecuniary damages. They cite </w:t>
      </w:r>
      <w:r>
        <w:rPr>
          <w:rFonts w:ascii="arial" w:eastAsia="arial" w:hAnsi="arial" w:cs="arial"/>
          <w:i/>
          <w:color w:val="000000"/>
          <w:sz w:val="20"/>
          <w:lang w:val="en-US" w:eastAsia="en-US" w:bidi="ar-SA"/>
        </w:rPr>
        <w:t>Eaton v. Regan</w:t>
      </w:r>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2005 BCSC 3</w:t>
        </w:r>
      </w:hyperlink>
      <w:r>
        <w:rPr>
          <w:rFonts w:ascii="arial" w:eastAsia="arial" w:hAnsi="arial" w:cs="arial"/>
          <w:color w:val="000000"/>
          <w:sz w:val="20"/>
          <w:lang w:val="en-US" w:eastAsia="en-US" w:bidi="ar-SA"/>
        </w:rPr>
        <w:t>,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As I read </w:t>
      </w:r>
      <w:r>
        <w:rPr>
          <w:rFonts w:ascii="arial" w:eastAsia="arial" w:hAnsi="arial" w:cs="arial"/>
          <w:i/>
          <w:color w:val="000000"/>
          <w:sz w:val="20"/>
          <w:lang w:val="en-US" w:eastAsia="en-US" w:bidi="ar-SA"/>
        </w:rPr>
        <w:t>Kroeker v. Jansen</w:t>
      </w:r>
      <w:r>
        <w:rPr>
          <w:rFonts w:ascii="arial" w:eastAsia="arial" w:hAnsi="arial" w:cs="arial"/>
          <w:color w:val="000000"/>
          <w:sz w:val="20"/>
          <w:lang w:val="en-US" w:eastAsia="en-US" w:bidi="ar-SA"/>
        </w:rPr>
        <w:t xml:space="preserve"> [ </w:t>
      </w:r>
      <w:hyperlink r:id="rId361" w:history="1">
        <w:r>
          <w:rPr>
            <w:rFonts w:ascii="arial" w:eastAsia="arial" w:hAnsi="arial" w:cs="arial"/>
            <w:i/>
            <w:color w:val="0077CC"/>
            <w:sz w:val="20"/>
            <w:u w:val="single"/>
            <w:shd w:val="clear" w:color="auto" w:fill="FFFFFF"/>
            <w:lang w:val="en-US" w:eastAsia="en-US" w:bidi="ar-SA"/>
          </w:rPr>
          <w:t>(1995), 123 D.L.R. (4th) 652</w:t>
        </w:r>
      </w:hyperlink>
      <w:r>
        <w:rPr>
          <w:rFonts w:ascii="arial" w:eastAsia="arial" w:hAnsi="arial" w:cs="arial"/>
          <w:color w:val="000000"/>
          <w:sz w:val="20"/>
          <w:lang w:val="en-US" w:eastAsia="en-US" w:bidi="ar-SA"/>
        </w:rPr>
        <w:t xml:space="preserve"> (B.C.C.A.)] and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[2000] B.C.J. No. 507</w:t>
        </w:r>
      </w:hyperlink>
      <w:r>
        <w:rPr>
          <w:rFonts w:ascii="arial" w:eastAsia="arial" w:hAnsi="arial" w:cs="arial"/>
          <w:color w:val="000000"/>
          <w:sz w:val="20"/>
          <w:lang w:val="en-US" w:eastAsia="en-US" w:bidi="ar-SA"/>
        </w:rPr>
        <w:t xml:space="preserve"> (C.A.)] it is open to a trial judge to compensate for this loss as a factor in the assessment of the non-pecuniary loss. Given the lack of evidence with regard to replacement cost, that is the most appropriate way to compensate the plaintiff in this case and the one I have chosen.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seeks an allowance for the cost of future care totalling $47,515, including $22,190 for a chronic pain program, and cognitive pain, exercise and other therapies totalling another $20,000 or so. She also seeks $5,000 for future costs of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defendants submit that all the record supports is some medication and physiotherapy, or in the alternative, some $14,390 for chronic pain through the Back in Motion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Special damages are claimed at $3,353.90.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plaintiff's summary of damages is as follows:</w:t>
      </w:r>
      <w:r>
        <w:rPr>
          <w:rFonts w:ascii="arial" w:eastAsia="arial" w:hAnsi="arial" w:cs="arial"/>
          <w:sz w:val="20"/>
          <w:lang w:val="en-US" w:eastAsia="en-US" w:bidi="ar-SA"/>
        </w:rPr>
        <w:cr/>
      </w:r>
    </w:p>
    <w:p>
      <w:pPr>
        <w:numPr>
          <w:numId w:val="2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$95,000 to $125,000 b. Past loss of housekeeping capacity $110,000 to $125,000 c. Future loss of housekeeping capacity $87,521 d. Cost of future care $47,515 e. Special damages $3,353.90 Total: $343,390 to $388,390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defendants' summary of damages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646"/>
        <w:gridCol w:w="376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Non-pecuniary damages</w:t>
            </w:r>
          </w:p>
        </w:tc>
        <w:tc>
          <w:tcPr>
            <w:tcW w:w="368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$25,000 - $75,000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 Past loss of housekeeping capacity</w:t>
            </w:r>
          </w:p>
        </w:tc>
        <w:tc>
          <w:tcPr>
            <w:tcW w:w="368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Future loss of housekeeping capacity</w:t>
            </w:r>
          </w:p>
        </w:tc>
        <w:tc>
          <w:tcPr>
            <w:tcW w:w="368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 Cost of future care</w:t>
            </w:r>
          </w:p>
        </w:tc>
        <w:tc>
          <w:tcPr>
            <w:tcW w:w="368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$14,300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 Special damages</w:t>
            </w:r>
          </w:p>
        </w:tc>
        <w:tc>
          <w:tcPr>
            <w:tcW w:w="368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368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$42,300 - $92,300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As I have indicated, I accept that the plaintiff suffers from the psychiatric symptoms noted by Dr. Misri. Given the complex of pre-accident conditions, her falls (which can only be speculatively associated with the injuries for which the defendant can be found liable), and the widespread nature of the injuries relative to any possible impact the accident may have had, I am of the view that the accident simply cannot be the cause of all the plaintiff's present complaints. Despite the willingness of the doctors called on behalf of the plaintiff to assign all her symptoms to the accident, and despite the plaintiff's submission that the accident accounts for her subsequent falls -- apart from what Dr. Boyle says, the plaintiff's explanation is all the court has -- I do not think it reasonable to accept such assumptions. The court is not "stuck" with the plaintiff's explanations, just because they are uncontradicted. Assessing the case on the whole of the evidence, I think that all that can fairly be said is that the accident triggered pain and suffering that significantly contributed to the plaintiff's present condition. Doing the best I can to be fair to both parties, I am of the view that the plaintiff's injuries suffered in the accident account for 50% of her overall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With respect to the losses of gardening and housekeeping assistance, the evidence is that the garden was a hobby for both the plaintiff and her husband and that the house is a very large Tudor-style establishment that is not fully occupied by the plaintiff and her husband. It is hard to see how large parts of the house would need more than occasional cleaning. I think it must also be said that many people the plaintiff's age "downsize" their domiciles. The plaintiff cannot be expected to do so, but I think it can be anticipated that in any event the time is coming when assistance might have been required in any case. Any allowance for housekeeping should, in my view, be modest.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think the defendants' point with respect to the gardening is well taken, and that in the circumstances of this case an allowance for gardening in the assessment of general damages more readily meets the plaintiff's situation than the notion of a replacement gardener.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Considering the plaintiff's loss of the ability to garden as a feature of the plaintiff's pain and suffering, I think an appropriate award cannot exceed half of what I would consider the plaintiff's overall general damages to be, were all of her claims referable to the accident. This means that I would have assessed the plaintiff's overall pain and suffering at a higher figure than the plaintiff proposed, but with a corresponding reduction in the claims for housekeeping/gardening. I assess pain and suffering at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assess loss of indoor housekeeping capacity, past and future, at $30,000 for occasional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assess the cost of future care at $20,000 inclusive of medications and all therapies.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allow special damages at $3,353.90. Inasmuch as the plaintiff's injuries suffered in the accident contributed to these expenses, I consider it artificial to divide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total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3869"/>
        <w:gridCol w:w="470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Housekeeping past and future</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3,353.90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$153,353.90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If it is necessary to say so, I make this assessment on the basis that had I found the accident wholly responsible for the plaintiff's condition, I would have assessed damages at approximately double the amounts I have fixed. I cannot be more precise.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 shall have her costs and disbursements unless there is reason to speak to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T.M. McEWAN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6"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Choi v. Kansas Enterprises Ltd., [2014] B.C.J. No. 2896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M.B. Blok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28-30, May 1 and 2,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26,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S136576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2896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2220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Hong Jin Choi, Don Maker Enterprises Inc., Plaintiffs, and Kansas Enterprises Ltd., Suthakaran Nadarajah,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7"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2" w:name="Keywords_17"/>
      <w:bookmarkEnd w:id="122"/>
      <w:r>
        <w:rPr>
          <w:rFonts w:ascii="arial" w:eastAsia="arial" w:hAnsi="arial" w:cs="arial"/>
          <w:b/>
          <w:color w:val="000000"/>
          <w:sz w:val="20"/>
          <w:lang w:val="en-US" w:eastAsia="en-US" w:bidi="ar-SA"/>
        </w:rPr>
        <w:t>Contracts — Terms — Express terms — Entire agreement — Action by plaintiff for damages for false representation dismissed — Plaintiff claimed that defendant induced him to enter into contract to purchase hotel store by saying that nearby 7-Eleven store would be closing — Plaintiff did not prove that defendant made alleged representation and, in any event, plaintiff did not prove that he relied on alleged representation, it was not actionable and "entire agreement" clause precluded him from arguing that there were additional representations.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Misrepresentation — Action by plaintiff for damages for false representation dismissed — Plaintiff claimed that defendant induced him to enter into contract to purchase hotel store by saying that nearby 7-Eleven store would be closing — Plaintiff did not prove that defendant made alleged representation and, in any event, plaintiff did not prove that he relied on alleged representation, it was not actionable and "entire agreement" clause precluded him from arguing that there were additional representations.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3" w:name="Case Summary_16"/>
            <w:bookmarkEnd w:id="12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for false representations. The plaintiff claimed that the defendant induced him to enter into a contract to purchase a hotel store by saying that a nearby 7-Eleven store would be closing within six months and that a sign would be placed on an outside pillar to address a storefront visibility problem. The plaintiff said that the defendant confirmed the apparent departure of the 7-Eleven store by calling a property manager. The contract contained an "entire agreement" clause stating that the contract superseded all prior agreements or representations. The 7-Eleven store did not close until much later and the signage never materialized.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4" w:name="Holdings of Court_15"/>
            <w:bookmarkEnd w:id="124"/>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did not prove that the defendant made the alleged representation about the 7-Eleven store. The fact that the buyer's condition relating to the closure was crossed out supported the defendant's evidence that he declined to confirm the closure because it was not within his knowledge. In any event, the plaintiff did not prove that he relied on the alleged representation, it was not actionable and the "entire agreement" clause precluded him from arguing that there were additional representations. It was much more likely that he would have relied on the confirmation from the property manager than on any statement by the defendant. Since the alleged representation concerned a future event and since any intention about the future of the 7-Eleven store would have had to have been the intention of someone connected to it, the alleged representation was not actionable. The plaintiff did not prove that the defendant made the alleged representation about the sign. The sign requirement was not one of the buyer's conditions and the landlord had sole discretion over signs. In any event, the "entire agreement" clause applied.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5" w:name="Counsel_17"/>
      <w:bookmarkEnd w:id="12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8"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J.S. Piamonte.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K.W. Wince.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6" w:name="Judgment_17"/>
      <w:bookmarkEnd w:id="126"/>
      <w:r>
        <w:pict>
          <v:line id="_x0000_s1119" style="position:absolute;z-index:2517790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7" w:name="M.B. BLOK J."/>
            <w:bookmarkEnd w:id="127"/>
            <w:r>
              <w:rPr>
                <w:rFonts w:ascii="arial" w:eastAsia="arial" w:hAnsi="arial" w:cs="arial"/>
                <w:b/>
                <w:color w:val="000000"/>
                <w:sz w:val="30"/>
                <w:lang w:val="en-US" w:eastAsia="en-US" w:bidi="ar-SA"/>
              </w:rPr>
              <w:t>M.B. BLOK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 autumn of 2010 Hong Jin Choi purchased a franchise business from the defendant Kansas Enterprises Ltd. for the sum of $117,000. The purchase turned out to be an improvident one for Mr. Choi.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Mr. Choi and his company claim that the defendants made false representations that induced them to enter into the purchase and sale contract. The plaintiffs make an alternative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alleging that there was an implied term in the contract that the defendants would exercise reasonable care and skill while acting for the plaintiffs as franchisor and as their agent in negotiating a lease of the retail premises. The plaintiffs allege that these terms were breached by the defendants. They seek to recover both the purchase price and his business losses from the defendant company and its principal, Suthakaran Nadarajah.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Mr. Choi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Choi is of Korean heritage and he gave his evidence through a Korean interpreter. At the time of these events Mr. Choi was the owner of an existing small business (a coffee shop) and was looking to run a different business with his son. Don Maker Enterprises Inc. is his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2010 Mr. Choi was a friend or close acquaintance of Mr. Lee, a realtor. Mr. Lee had a prior business relationship with the defendants as he had been involved in the sale of one or two of the defendants' smoke shop or convenience store franchises. Mr. Choi told Mr. Lee that he was interested in acquiring a new business. Mr. Lee introduced Mr. Choi to Mr. Nadarajah, telling Mr. Choi that Mr. Nadarajah had 26 smoke shops around Vancouver, was an active franchisor of these businesses and was successful. Neither Mr. Choi nor his son had any prior experience with this type of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July or August 2010 Mr. Lee, Mr. Choi and Mr. Nadarajah met to discuss Mr. Nadarajah's plans to open up a smoke shop in Coquitlam. Although Mr. Choi subsequently put in an offer, it was not accepted and ultimately, it appears, that smoke shop never came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Through Mr. Lee, Mr. Choi learned of a store location that Mr. Nadarajah was developing in the Shangri-La Hotel, a luxury hotel in downtown Vancouver. Mr. Choi went to the site to see it for himself, returning on several subsequent occasions (sometimes accompanied by his wife and son) to view the location and to observe the potential customer traffic. In cross-examination Mr. Choi said that the shop was usually closed when he was there, as it was for sale and on reduced opening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a result of his attendances and observations Mr. Choi had several concerns, including: (1) the visibility of the store; (2) the presence of a nearby 7-Eleven corner store and another smoke shop in the next block; and most importantly, (3) obtaining the sales figures for the existing location. The visibility concern related to the shop's visibility from Alberni Street. Although Alberni Street had a high volume of foot traffic, the storefront was obstructed by a large concrete pillar.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Despite his concerns Mr. Choi put in an offer to purchase, with conditions, an offer that was drawn up by Mr. Lee. Mr. Choi also directed his concerns to Mr. Lee. Mr. Choi noted that other stores in the area had signage and asked Mr. Lee if additional signage was a possibility. He also asked for the sales history for the location, but he was told that these figures could not be obtained. When he learned from Mr. Lee that the sales figures could not be obtained, Mr. Choi "cancelled" the offer he had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 few days later Mr. Nadarajah contacted Mr. Choi, informing him that he had managed to obtain some past sales figures. A meeting was arranged, which took place on September 29. Later in his testimony Mr. Choi said that the meeting was instead arranged through Mr.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offer submitted by Mr. Choi had a number of buyer's conditions. These included the following terms (as written):</w:t>
      </w:r>
      <w:r>
        <w:rPr>
          <w:rFonts w:ascii="arial" w:eastAsia="arial" w:hAnsi="arial" w:cs="arial"/>
          <w:sz w:val="20"/>
          <w:lang w:val="en-US" w:eastAsia="en-US" w:bidi="ar-SA"/>
        </w:rPr>
        <w:cr/>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buyer being satisfied with ... the financial statements for and financial condition of the business;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seller providing an] equipment list, blueprint drawing and specification, lease contract/ franchise contract/ current gift shop sales report (two months);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ability of the buyer to obtain an assignment of the lease of the Business premises (if any) and an approval by the franchisor;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evidence of the 7-Elevens close [sic]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Conditions 1 and 4, listed above, were crossed out at some point. When asked about the 7-Eleven condition Mr. Choi was unable to say how this term was added and removed other than to say that the offer was drafted by Mr. Lee and that he (Mr. Choi) initialed the deletion.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Choi said that at the meeting on September 29 Mr. Nadarajah "did a presentation" to Mr. Choi where, among other things, he addressed Mr. Choi's request to see sales figures. He told Mr. Choi that he had obtained from the previous owner sales figures going back four months. Mr. Nadarajah told him that he received it by email but it was confidential so he (Mr. Nadarajah) could only write out the figures from the computer screen. He then showed those handwritten figures to Mr. Choi and Mr. Lee. This document showed a monthly sales average of about $29,000.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the same meeting, Mr. Nadarajah addressed Mr. Choi's other concerns. As to the obscuring pillar and the signage that might alleviate that problem, Mr. Nadarajah told Mr. Choi he would install a prominent sign at the shop plus a two metre wide sign on the pillar, with the latter sign itemizing the goods available in the shop. As to the 7-Eleven store, Mr. Nadarajah told him that the 7-Eleven was supposed to move out within six months and a private college was moving in with a lot of students, so he said to Mr. Choi "don't worry about it". Later, Mr. Choi said that the 7-Eleven conversation may have happened on October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Although Mr. Choi had expressed concerns about purchasing the business at that location, once he saw the sales figures for the prior business his concerns were largely addressed and so he decided to proceed. He signed the subject-removal document on October 4, 2010. Mr. Choi agreed that he was aware then that the contract was now binding.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concept for this store was less a smoke shop or corner store than it was a high-end perfume, gifts and cigar shop. Evidently the hotel was concerned that the shop not be a downmarket corner store outlet and the lease agreement (between the landlord and Kansas Enterprises Ltd., later assigned to Mr. Choi's company) contained language that restricted the goods that could be sold to higher-end goods.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Choi proceeded to purchase inventory. He purchased about $7,000 worth of inventory from the Shangri-La Hotel, being hotel-related merchandise. He also purchased about $40,000 worth of various goods, including perfumes, from Mr. Nadarajah. Mr. Choi said he felt forced to purchase more inventory than he wanted, particularly the perfumes.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store opened in December 2010. The store was open from 8:00 a.m. to 8:00 p.m. Monday through Thursday, 8:00 a.m. to 10:00 p.m. on Friday and Saturday and 12:00 p.m. to 6:00 p.m. on Sundays. Later, the hours were shortened and Mr. Choi closed the shop on Sundays and holidays. These decisions were made in conjunction with Mr. Nadarajah and with hotel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Business was very poor. Mr. Choi started keeping customer counts in January 2011. The store never had more than seven customers in any one day and frequently had three customers or fewer in a day. Daily sales ranged from $0 to $1,000, and the monthly average was $3,000 to $5,000. His full monthly rent obligation commenced February 2011 and totalled about $4,700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Choi closed the business on June 3, 2011. His business volume was such that he could not even cover the rent. Through negotiations with the hotel he resolved his rent obligation in November 2011. As for the inventory, he was able to return some of it, he kept some and he gave some to the hotel on account of unpaid rent. He still retains inventory worth about $12,000.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cross-examination Mr. Choi said he can read English better than he can speak it. Prior to October 4, 2010, the day on which subjects were removed, Mr. Lee was always present in meetings with Mr. Nadarajah to help with language translation. In their meetings Mr. Choi sometimes conversed directly with Mr. Nadarajah in English, but he would look to Mr. Lee to confirm what was said if the point was an important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Also in cross-examination Mr. Choi said:</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read the "entire agreement" clause in his offer, and Mr. Lee did not explain that clause to him;</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his concerns about the nearby 7-Eleven store and getting past sales records were reflected in handwritten conditions in his offer, there were no conditions addressing the visibility issue or signage. Mr. Choi said that this was because Mr. Lee explained to him that further signage would be put up and in fact there was a sign permit application being processed at City Hall. Later Mr. Choi said that this sign information was conveyed to him by Mr. Nadarajah at the September 29 meeting;</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his concern about the nearby 7-Eleven store was discussed at the September 29 meeting. There, Mr. Nadarajah put in a call to a property management company and put the telephone on speaker, where it was confirmed that the 7-Eleven was moving out within six months;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Choi engaged a lawyer to review the purchase and sale contract, the franchise agreement and the lease. The lawyer provided Mr. Choi with her opinion prior to date on which he removed the subjects;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dealings he had with the landlord were always done through Mr. Nadarajah;</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aware that pursuant to the terms of the lease the landlord had sole discretion over the products that could be sold at the premises;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he was asked if he was aware that the landlord also had sole discretion over signs, Mr. Choi said his lawyer did not mention any issue with signs and he did not think there would be a problem because every business has to have signs;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signed the franchise agreement on November 30. There was a handwritten addition to a royalty clause that provided a royalty waiver in the event that the franchisee failed to gross $75,000 "at the average per month" during the first year of the agreement. The handwriting changed the benchmark from an annual amount to a monthly amount. Mr. Choi said he and Mr. Nadarajah both initialled this change;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acknowledged that he did not heed recommendations from Mr. Nadarajah as to what inventory to buy. An one point he and Mr. Nadarajah argued over inventory;</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employee of Mr. Nadarajah's, Sarah Joshi, worked at the shop for three weeks for training purposes;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denied sending Ms. Joshi to go for coffee following large sales so that he could complete those sales without running them through the cash register.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Seung Hwan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Lee was the realtor involved in the transaction. He heard of this business opportunity in September 2010. A gift shop had been run by the hotel but business was not good, so the hotel had decided to lease the premises and allow another kind of gift shop to operate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Lee told Mr. Choi about the opportunity and Mr. Choi expressed interest. Mr. Lee then obtained the listing for the location through a listing contract entered into with Kansas Enterprises Ltd. on September 20,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Lee attended at the site with Mr. Choi. Mr. Choi expressed concerns about the visibility of the shop; the store was in the lobby area of the hotel but was not visible from the street because of a concrete pillar. Mr. Lee said that this was Mr. Choi's major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Lee said Mr. Choi "wrote the offer" on September 24, which I took to mean Mr. Choi signed the offer, since the handwritten additions to the offer form were all in Mr. Lee's handwriting. The offer was delivered to Mr. Nadarajah the same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handwritten condition concerning "evidence that the 7-Elevens close down" was rejected by Mr. Nadarajah because this was not information that was within his ability to obtain. Later, Mr. Lee said that although Mr. Nadarajah could not get anything in writing on this, he (Mr. Nadarajah) put in a call to a leasing manager for the 7-Eleven building and after that call Mr. Nadarajah confirmed that the 7-Eleven was closing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some early point there was a discussion about signage, which took place at a meeting between Mr. Choi and Mr. Nadarajah. Mr. Nadarajah said that the problem could be solved by using the concrete pillar as a sign board, using a sign of certain specific dimensions listing the items available for sale in the 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Lee did not recall how many times Mr. Choi and Mr. Nadarajah met prior to acceptance of the offer. There was a further meeting after the offer was accepted. Mr. Choi was worrying about lack of visibility and they got the answer that a sign would be put up on the pillar. Mr. Choi removed the subjects after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When asked if sales information was discussed prior to October 4, Mr. Lee said that "the franchisor called somebody, he got all the numbers and gave these to the buyer". He said that Mr. Nadarajah wrote the figures down on a sheet of paper, in Mr. Lee's presence, and the document was given to Mr. Choi. Mr. Lee understood the figures to reflect sales over a four-month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Lee testified that Mr. Nadarajah said he expected future sales to be higher than those shown on the sheet, about $2,500 per day, because the hotel outlet only sold gift items and the new shop would sell a wider variety of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As to the handwritten addition to the franchise agreement that modified the royalty abatement from </w:t>
      </w:r>
      <w:r>
        <w:rPr>
          <w:rFonts w:ascii="arial" w:eastAsia="arial" w:hAnsi="arial" w:cs="arial"/>
          <w:i/>
          <w:color w:val="000000"/>
          <w:sz w:val="20"/>
          <w:lang w:val="en-US" w:eastAsia="en-US" w:bidi="ar-SA"/>
        </w:rPr>
        <w:t>annual</w:t>
      </w:r>
      <w:r>
        <w:rPr>
          <w:rFonts w:ascii="arial" w:eastAsia="arial" w:hAnsi="arial" w:cs="arial"/>
          <w:color w:val="000000"/>
          <w:sz w:val="20"/>
          <w:lang w:val="en-US" w:eastAsia="en-US" w:bidi="ar-SA"/>
        </w:rPr>
        <w:t xml:space="preserve"> sales of $75,000 to </w:t>
      </w:r>
      <w:r>
        <w:rPr>
          <w:rFonts w:ascii="arial" w:eastAsia="arial" w:hAnsi="arial" w:cs="arial"/>
          <w:i/>
          <w:color w:val="000000"/>
          <w:sz w:val="20"/>
          <w:lang w:val="en-US" w:eastAsia="en-US" w:bidi="ar-SA"/>
        </w:rPr>
        <w:t>monthly</w:t>
      </w:r>
      <w:r>
        <w:rPr>
          <w:rFonts w:ascii="arial" w:eastAsia="arial" w:hAnsi="arial" w:cs="arial"/>
          <w:color w:val="000000"/>
          <w:sz w:val="20"/>
          <w:lang w:val="en-US" w:eastAsia="en-US" w:bidi="ar-SA"/>
        </w:rPr>
        <w:t xml:space="preserve"> sales of $75,000, Mr. Lee said that this insertion was in his handwriting. He said the figure was based on sales of $2,500 per day over 30 days, so it was appropriate that this should be corrected to be a monthly figure. He said he saw both Mr. Choi and Mr. Nadarajah initial that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Lee had some involvement after Mr. Choi began operations because the signage was not ready and so he met with Mr. Nadarajah to discuss it. Mr. Nadarajah was doing his best but was having problems getting landlord and city approvals. By Spring 2011 it emerged that it would be difficult to obtain approval from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cross-examination Mr. Lee agreed he had a prior business relationship with Mr. Nadarajah, having acted as a dual agent in the sale of a convenience store franchise near the Woodwards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Lee was asked about the handwritten sales figures he said were supplied by Mr. Nadarajah. These were shown in seven categories. Mr. Lee testified that Mr. Nadarajah explained the figures, but when asked about one category ("consignment sales") he said Mr. Nadarajah did not explain that. Asked about the second category ("signage"), Mr. Lee said "we did not put much meaning in this, we just wanted the total sales". He denied that these figures were actually the sales figures for a different convenience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Lee was asked about the sequence and dates of meetings, and while he answered these at least in part, he had difficulty doing so. He said he does not have a good memory and he does not keep notes of meetings.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Also in cross-examination Mr. Lee said:</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explain the "entire agreement" clause to Mr. Choi "because there were no prior agreements";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due diligence period (the time between the acceptance of the offer and the removal of the conditions) there may have been two meetings between Mr. Choi, Mr. Lee and Mr. Nadarajah. At one of the meetings they discussed signage, and at that meeting or possibly a second meeting Mr. Nadarajah gave them the past sales figures and also called the leasing manager at the 7-Eleven building;</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subjects were to be removed on October 1, but this deadline was moved to October 4 because Mr. Choi was not prepared to remove subjects then for reasons Mr. Lee cannot remember;</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to the franchise agreement, Mr. Lee gave Mr. Choi a copy of Mr. Nadarajah's standard agreement either before or after Mr. Choi made the offer to purchase;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thought he was present when the franchise agreement was signed on November 30. He did not recall if multiple copies were signed;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wrote in the phrase that changed the sales benchmark (for royalty purposes) to read $75,000 monthly. He saw that this was missing so he wrote it in. They had already been told that the sales forecast was $2,500 per day; and</w:t>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pressed about that sales forecast Mr. Lee said that Mr. Choi had that sales forecast before he wrote his offer. Mr. Choi obtained that either from Mr. Lee himself or from Mr. Nadarajah, although then he acknowledged that Mr. Choi did not speak to Mr. Nadarajah directly prior to making the offer.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Mr. Nadarajah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Nadarajah said he has been working in retail sales of one type or another since at least 2003. Commencing in 2005 he opened a number of convenience stores and these did well, so he began franchising them. He learned of the opportunity in the Shangri-La Hotel and was interested, so he met the on-site manager and subsequently made inquiries of his suppliers and others about the viability of the location. He was satisfied that the location was good so he signed an offer to lease in July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Nadarajah first met Mr. Lee in early 2010 in relation to an outlet Mr. Nadarajah had in the Woodwards Building. Ultimately he sold that store to Mr. Lee's client. He had other dealings with Mr. Lee, though no other concluded transactions, as Mr. Lee was interested any other franchise opportunities Mr. Nadarajah had or any existing franchisees who might want to sell. He came into Mr. Nadarajah's office about every two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Nadarajah discussed with Mr. Lee the Shangri-La Hotel location after he had decided to proceed with it. Mr. Lee told him he had a buyer. A meeting was arranged. That meeting took place on July 31, 2010. It was a quick meeting at a coffee shop. Mr. Nadarajah gave Mr. Choi the address and the essential details, and Mr. Choi said he would look at the store and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 second meeting took place on September 24 in Mr. Nadarajah's office. Mr. Lee presented Mr. Choi's offer to purchase the business for $115,000. This offer contained no handwritten buyer's conditions other than the crossing out of the printed words referring to "financial statements and financial condition of the business". Mr. Nadarajah said the money was not enough. Mr. Lee then proposed that the price be changed to $117,000 and Mr. Nadarajah agreed, and he initialled the change to the purchase price. Mr. Lee went away, returning with the offer that now had additional buyer's conditions, asking Mr. Nadarajah to initial them. He said "no" to the condition that required evidence that the 7-Eleven was closing down, and he crossed this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Choi was present at this meeting, but he did not speak.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Nadarajah said there was a discussion with Mr. Lee about 7-Eleven: Mr. Lee said that he had heard the 7-Eleven was closing down and that Mr. Nadarajah could confirm that. Mr. Nadarajah said he would not, as it was not his business. As it turned out, the 7-Eleven closed within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meeting closed with Mr. Lee saying that the lease would be reviewed by Mr. Choi's lawyer and they would remove the subjects in a few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There were further meetings, but between Mr. Nadarajah and Mr. Lee only, on October 1 (to extend the subject removal date) and October 4, when Mr. Lee delivered Mr. Choi's subject-removal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Importantly, Mr. Nadarajah said there was no meeting and no "presentation" on September 29. There was no meeting at all to discuss signage or sales figures and there was no further discussion of the status of the 7-Eleven.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to the document with the handwritten sales figures on it, Mr. Nadarajah said that he gave this document to Mr. Lee in the course of discussing another location near the downtown Hudson's Bay store. He gave it to Mr. Lee on the same day that Mr. Lee presented the offer on the Shangri-La location. The listed sales figures are in the handwriting of his employee, Ms. Joshi, although three figures jotted at the top are in his handwriting.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franchise agreement was signed on November 30, 2010. Mr. Nadarajah had given a draft to Mr. Lee and this, in turn, had been given to Mr. Choi's lawyer. Some of the detail was modified, and Mr. Lee and Mr. Choi brought it to him to sign. The document was initialled and signed. Mr. Lee and Mr. Choi left. About an hour later they returned. They asked to see the signed document, and they then checked it page by page. Mr. Lee started writing on page 5 of the agreement (adding the words "at the average per month") but Mr. Nadarajah refused to initial it, and he told them to leave. The initials that appear on page 5 of Mr. Choi's version of the franchise agreement are not his initials. Mr. Nadarajah's own copy of the franchise agreement shows a blank space for his initials.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shop opened on December 1. Mr. Nadarajah changed the product mix of the store from that previously offered when the shop was run by the hotel. Existing fixtures were removed and new custom fixtures made and installed. He and Mr. Choi had a vigorous disagreement over the stocking of perfumes. Mr. Choi told him words to the effect that Mr. Nadarajah should not interfere.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franchise agreement entitled Mr. Choi to four weeks of training, two in Mr. Nadarajah's office and two on site. The training was supposed to be for Mr. Choi's older son, but that son was still involved with Mr. Choi's coffee shop. Mr. Choi told Mr. Nadarajah that his son would show up "soon" but he only showed up once to say that he could not be there because the coffee shop had not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the first month Mr. Nadarajah was on site for five hours each day. Ms. Joshi was there too. Mr. Choi reduced the store hours almost immediately, and he closed on Sundays as of the third week. He noted that Mr. Choi was not good dealing with customers. Also, if sales were under $20 or $30 he would run these through the cash register but for larger sales or U.S. dollar sales he would carry out the sale without giving any exchange and not charging tax. Although he did not say this expressly, I took his evidence to mean that Mr. Choi would not run the sale through the cash register. Mr. Nadarajah warned him about this practice but Mr. Choi complained to Mr. Lee, who told Mr. Nadarajah it was none of his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cross-examination Mr. Nadarajah said:</w:t>
      </w:r>
      <w:r>
        <w:rPr>
          <w:rFonts w:ascii="arial" w:eastAsia="arial" w:hAnsi="arial" w:cs="arial"/>
          <w:sz w:val="20"/>
          <w:lang w:val="en-US" w:eastAsia="en-US" w:bidi="ar-SA"/>
        </w:rPr>
        <w:cr/>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location was one of two adaptations of his usual business model to suit a high-end hotel. His original intention had been to run it himself for a time;</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offer to lease he signed with the hotel contained restrictions on signage;</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discussion with Mr. Choi and Mr. Lee about putting a sign on the pillar, and there was no discussion with the hotel about a pillar sign. The hotel does not own the pillar and so would have had no say in it anyway. The only mention of a pillar sign occurred after December 14 when Mr. Choi asked to put a sign on the pillar;</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hotel had previously sold art by consignment but it took up a lot of space and had more of a fundraising focus than a retail focus. He and Mr. Choi agreed this should be discontinued. The figure on the sales revenue document shown as "consignment" was not for sales of this art but was for glass products sold at the Hudson's Bay location;</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 sign for the shop, above the street number, on the Alberni Street frontage but Mr. Choi asked him to take it down because he felt it obscured a sign located on the shop's back wall;</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told Mr. Lee and Mr. Choi that he did not have the sales information for the previous operation. He wanted this item crossed off in the buyer's conditions but Mr. Lee said not to worry about it because they had already spoken to the clerk who was working in the store;</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 price was paid the same day the franchise agreement was signed; and</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angry when he was presented with the franchise agreement bearing the additional handwriting of Mr. Lee, but he was content to leave the handwriting on the document because he had not signed or initialled that change.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Other Witnesses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Ryan Fowler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Fowler is the former senior safety and security officer for the hotel. He said the hotel-run gift shop was "very slow" and on many days he would not see any customers there. There was the same amount of traffic after Mr. Choi took over the location. The premises are now occupied by an esthetics salon.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Jason Gautreau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Gautreau is the director of finance for the Shangri-La Hotel. He testified that in 2009 the total revenue from the shop was $57,577. The hotel recorded a loss on the shop operation in that year. In 2010 (which would have been for a period less than a year), total shop revenue was $73,334, and the shop operation showed a loss that year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shop was located near the staff entrance for the hotel, so he saw it on entry and exit. He did not notice any difference in the volume of customer traffic from the time the hotel ran the shop to the time Mr. Choi ran it.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Ji Wan Choi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Ji Wan Choi is Mr. Choi's younger son. He was not involved in his father's business search or the investigation of the location. He first attended there at the end of November 2010. On that occasion Mr. Nadarajah portrayed himself as the retail expert and said the location was a "jackpot spot". He told them two signs would be installed, including a two-metre sign on the pillar. The outside sign never happened; an in-store sign arrived at the end of January.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He worked at the shop every day but had to fit this work around his university classes and studies. He received two weeks of training from Ms. Joshi.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He said his father did not have English difficulties with customers. He said that, first of all, there were no customers, and second, his father had experience dealing with the public at the coffee shop. He never saw his father do cash sales, which I took to mean sales not put through the cash register, and he did not do any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Ji Wan Choi made a number of comments critical of the lack of support they received from Mr. Nadarajah.</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 Shika Joshi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Joshi, referred to by the witnesses in this case as "Sarah", is a former employee of the defendant company, having worked there from 2009 to 2013. She worked at Mr. Choi's shop at the Shangri-La Hotel from December 1, 2010 to the first week of January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idea was that she was to have trained Mr. Choi's older son, but instead she trained Mr. Choi. She first met him in mid-November 2010, when Mr. Choi started his two-week training session in their office. She trained him on cash register use, customer service, dealings with vendors, cigar storage and product ordering. She said she had concerns about Mr. Choi's understanding because he could not read the materials, he did not seem to understand cigar storage and he could not talk to customers properly. He told her that she should just give him a little bit of training because his son would be minding the 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For the in-store training her hours were 9 a.m. to 7 p.m. At the beginning Mr. Choi arrived at 9 a.m. but after a while his start time moved to 10:30 or 11:00 a.m. She would wait for him in a nearby coffee shop. During her time there Mr. Choi did not deal with customers much, preferring to watch Ms. Joshi deal with them, although he would take over when it came to payment. He did not like recording sales through the cash register and when any high-priced item was being purchased he would offer the sale with no tax provided the customer paid cash.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Choi's son came twice while she was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Joshi was asked about the document that Mr. Lee and Mr. Choi had said evidenced the prior sales at that location. She said she wrote the listed figures for the Hudson's Bay location. Mr. Lee came to the office and asked her to call that shop and get the details. He told her it was urgent because he had buyers waiting outside, so she obtained the figures over the phone. It was her recollection that this took place in September 2010, on a Saturday. Usually Mr. Lee would have dealt with Mr. Nadarajah for this, but he was off on Saturdays.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Three other figures on the page were already there when she wrote her list of sales figures. Mr. Lee told her that he had already obtained those three figures from Mr. Nadarajah.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Joshi did not consider that business was slow. Mr. Choi never complained to her about a lack of customer traffic. She had no involvement in any conversations about signage or the visibility of the location.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5.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witnesses testified at some length about disputes or disagreements between Mr. Choi and Mr. Nadarajah during the time the shop was operating. I have found it unnecessary to delve into these details.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Choi also gave evidence concerning his losses. Given the result, I have not summarized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Positions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plaintiffs submit that they were induced to enter into a purchase and sale contract by the false representations of Mr. Nadarajah, specifically that:</w:t>
      </w:r>
      <w:r>
        <w:rPr>
          <w:rFonts w:ascii="arial" w:eastAsia="arial" w:hAnsi="arial" w:cs="arial"/>
          <w:sz w:val="20"/>
          <w:lang w:val="en-US" w:eastAsia="en-US" w:bidi="ar-SA"/>
        </w:rPr>
        <w:cr/>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experience with this type of shop and his experience extended to shops in luxury hotels;</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hotel was ideally suited for a shop, as confirmed by his market research;</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nearby 7-Eleven store would be closing down within six months;</w:t>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their concern about lack of visibility would be addressed by installing a two-metre sign on the outside pillar as well as interior signs; and</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prior sales records for the shop showed average monthly sales of $29,000 and average daily sales of $970.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Based on the enhanced operation described by Mr. Nadarajah, Mr. Choi expected daily sales in the range of $2,500 per day. This is confirmed by the handwritten insertion in the franchise agreement which refers to a royalty abatement in the event that sales revenue does not exceed $75,000 per </w:t>
      </w:r>
      <w:r>
        <w:rPr>
          <w:rFonts w:ascii="arial" w:eastAsia="arial" w:hAnsi="arial" w:cs="arial"/>
          <w:i/>
          <w:color w:val="000000"/>
          <w:sz w:val="20"/>
          <w:lang w:val="en-US" w:eastAsia="en-US" w:bidi="ar-SA"/>
        </w:rPr>
        <w:t>month</w:t>
      </w:r>
      <w:r>
        <w:rPr>
          <w:rFonts w:ascii="arial" w:eastAsia="arial" w:hAnsi="arial" w:cs="arial"/>
          <w:color w:val="000000"/>
          <w:sz w:val="20"/>
          <w:lang w:val="en-US" w:eastAsia="en-US" w:bidi="ar-SA"/>
        </w:rPr>
        <w:t xml:space="preserve"> (changing it from yearly), which is $2,500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promised signage never materialized, the 7-Eleven store did not leave the area until much later, and the prior average monthly sales were in the range of $3,800 per month, not $29,000.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defendants submit that the representation about past sales at the premises, the principal allegation of the plaintiffs, was never made. The evidence of Mr. Choi and Mr. Lee on this subject was in conflict: Mr. Choi said Mr. Nadarajah copied the figures from a computer screen, while Mr. Lee said Mr. Nadarajah wrote down the figures while on the telephone with someone. However, the figures relied on by the plaintiffs are figures relating to another location altogether, a location in which Mr. Lee was interested at around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defendants say that the evidence has been reconstructed by one or both of Mr. Choi or Mr. Lee in an effort to find fault with others. They submit that Mr. Lee was a poor witness who had a poor grasp of the events. Most, if not all, of the material information came from Mr. Lee and Mr. Choi was not well-served by Mr.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lease agreement had restrictions on signage and on the nature of the goods Mr. Choi could sell, giving significant control to the landlord over these matters. Mr. Choi had this agreement reviewed by a lawyer and so was well aware of these restrictions.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As to the other alleged representations, Mr. Nadarajah was in fact very experienced with this general type of retail outlet, so that representation was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shop business failed because Mr. Choi did not follow Mr. Nadarajah's advice or business plan. Mr. Choi took on too much inventory from the previous shop, he failed to re-stock items that were in demand, he refused the additional sign that was to be placed on the Alberni Street side of the store, and within a short period of time he cut down the store hours and closed the business on Sundays.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defendants submit that in light of the fact that the plaintiffs have failed to prove that misrepresentations were made, it is unnecessary to address whether the alleged representation about past sales volume was true, whether any representations were relied upon by Mr. Choi, or the legal barrier faced by Mr. Choi with the "entire agreement" clause, although they rely on the latter in the alternative.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Past Sales Figures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begin by addressing the principal alleged misrepresentation, the sales figures for the shop while it was being run by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agree with the submission of the defendants that the evidence of Mr. Choi and Mr. Lee was at least somewhat in conflict insofar as Mr. Choi said Mr. Nadarajah derived the sales figures from the computer screen, whereas Mr. Lee said Mr. Nadarajah obtained the figures in a telephone call. This alone gave me pause, though other evidence was much more conclusive against their version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Neither Mr. Choi nor Mr. Lee were very good witnesses. Mr. Choi did not seem to have a strong understanding of what was going on, or a reliable recall of the sequence, timing or detail of events. While Mr. Lee seemed to have a better grasp of the general steps involved in the sale, his recollection of specific events was poor. By Mr. Lee's own admission he does not have a good memory and he did not make up for that frailty by keeping notes of meetings or important developments.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Nadarajah was a better witness in that he seemed to have a much better recall of the events, but his tendency to state matters in absolute or categorical terms dissuaded me from accepting his evidence uncritically.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document that was said to convey the prior sales information is a single-page document that is mostly in Ms. Joshi's handwriting. It reads as follows:</w:t>
      </w:r>
      <w:r>
        <w:rPr>
          <w:rFonts w:ascii="arial" w:eastAsia="arial" w:hAnsi="arial" w:cs="arial"/>
          <w:sz w:val="20"/>
          <w:lang w:val="en-US" w:eastAsia="en-US" w:bidi="ar-SA"/>
        </w:rPr>
        <w:cr/>
      </w:r>
    </w:p>
    <w:p>
      <w:pPr>
        <w:numPr>
          <w:numId w:val="3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consignment sales $70560.32</w:t>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signage $28321.08</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cards $00460.01</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spa $03860.14</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jewellery $07506.28</w:t>
      </w:r>
    </w:p>
    <w:p>
      <w:pPr>
        <w:numPr>
          <w:numId w:val="4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important $05600.05</w:t>
      </w:r>
    </w:p>
    <w:p>
      <w:pPr>
        <w:numPr>
          <w:numId w:val="4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Indian $00307.00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Three other figures are on the page. These are in Mr. Nadarajah's handwriting. One is "$116614.88". That happens to be the total of the seven figures in the list. Dividing that figure by four brings about the second figure written by Mr. Nadarajah, "29153.72". Dividing that last figure by 30 brings about the third and last figure written by Mr. Nadarajah, "$971.79".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document is far from being a formal document. It is a single page with a list of seven figures as earlier described, plus the three other figures written in an informal, skewed fashion that suggests they are mere jottings on the page. There is nothing on the page that relates the figures to any particular shop or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accept Ms. Joshi's evidence that the list of figures is in her handwriting. I also accept her evidence that this list of figures relates to sales revenue for the Hudson's Bay outlet and had nothing to do with the shop at the Shangri-La Hotel. Her evidence is that Mr. Lee had a sheet with Mr. Nadarajah's jotted figures already on it and he urgently needed the breakdown of those figures. She telephoned the Hudson's Bay shop owner and obtained the figures from her, merely writing down what she was told (including, perhaps, the mishearing of a word such as "imported" as "important"). The arithmetic bears out her version of this event, that is, that Mr. Lee had already obtained from Mr. Nadarajah the overall sales figure for this location over a four-month period ($116,614.88), with an average monthly revenue of $29,153.72 and an average daily revenue of $971.79, but Mr. Lee wanted a breakdown of that revenue from Ms. Joshi.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note as well that revenue from "signage" makes no sense in the context of the Shangri-La shop (and by contrast there was evidence that there was a "signage machine" in the Hudson's Bay location) and the very high level of "consignment" revenue makes no sense either in that context, whereas there was an explanation for that with the Hudson's Bay shop (the sale of glass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evidence showed that Mr. Lee took a keen interest in the sale or potential sale of various of Mr. Nadarajah's shops. I conclude that the information in the sales revenue document related to another potential purchase and sale and was unrelated to the shop at the Shangri-La Hotel. If there was a representation to Mr. Choi about past sales at the Shangri-La shop it did not come from Mr. Nadarajah.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short, I am satisfied that Mr. Nadarajah did not convey to Mr. Lee and Mr. Choi any sales figures for the hotel-run shop.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Closure of the 7-Eleven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 second alleged false representation relates to the nearby 7-Eleven store. Mr. Choi said Mr. Nadarajah told him the 7-Eleven would be moving within six months. He initially said that this statement was made on September 29, but later said it might have happened on October 4. Mr. Choi did not know how it was that this item was added and then crossed out in the buyer's conditions. In cross-examination Mr. Choi said that on September 29 Mr. Nadarajah confirmed the apparent departure of the 7-Eleven store by placing a telephone call to a property manager, with the call being made with a speakerphone. Mr. Lee also testified that Mr. Nadarajah made a confirmatory call to a property manager, though he did not mention a speakerphone.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Nadarajah said he made no representation about the closing of the 7-Eleven store and in fact that condition was crossed out in Mr. Choi's offer because the 7-Eleven information was not within his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evidence supporting the plaintiffs' claim on this is far from clear. I am left in considerable doubt that Mr. Nadarajah told Mr. Choi that the 7-Eleven would shut down within six months. The fact that the buyer's condition relating to the closure of the 7-Eleven was crossed out by the parties supports Mr. Nadarajah's evidence, as confirmed by Mr. Lee, that he declined to give that confirmation because it was not within his knowledge. For this reason I conclude that it is more likely than not that Mr. Nadarajah made no such representation about the closure of the nearby 7-Eleven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However, even if I were to accept Mr. Choi's evidence on this issue the most that could be said is that there were representations from both Mr. Nadarajah and from a property manager (by speakerphone) who was evidently connected with the 7-Eleven building. So even if Mr. Nadarajah said anything about the expected departure of the 7-Eleven store, in the circumstances I am satisfied that it is much more likely that Mr. Choi would have relied on the confirmatory telephone call from someone involved with the property rather than any statement made by Mr. Nadarajah.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Choi faces other difficulties with this issue. First, there is a difficulty in that the alleged representation is about a future event, which is not actionable unless it implies something about existing facts or intentions. Since any intention about the future of the 7-Eleven store would have to be the intention of someone connected with 7-Eleven, Mr. Nadarajah's statement -- if made -- does not appear to be actionable. Second, there is the matter of the "entire agreement" clause in the purchase and sale agreement, which defines the agreement between the parties and limits the ability of a party to assert that there were additional agreements or representations. The clause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Contract embodies the entire agreement between the parties and supersedes all prior agreements, representations, warranties and understandings, whether oral or written, relative to the subject matter of this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Neither of these matters was addressed by counsel in their submissions, although the defendants did refer to the "entire agreement" clause in passing.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summary, I find that the plaintiffs have failed to prove that the alleged representation about the 7-Eleven store was made. Even if made, this aspect of the claim fails because: (1) reliance was not proven; (2) the alleged representation is not actionable; and (3) the "entire agreement" clause precludes the plaintiffs from arguing that there were additional representations or contractual terms not included in the purchase and sale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Expertise and Site Suitability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plaintiffs allege that Mr. Nadarajah falsely represented that he had expertise with these sorts of shops, including shops in luxury hotels. I am unable to conclude that Mr. Nadarajah made this representation. The evidence of Mr. Choi is that it was Mr. Lee who extolled Mr. Nadarajah's experience and expertise. There is no evidence of any representation from Mr. Nadarajah to this effect. In any event, it appears that such a representation would have been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 further allegation, referred to in the plaintiffs' submissions, is that Mr. Nadarajah falsely represented that the hotel was ideally suited for a shop as confirmed by his market research. However, again there was no evidence from either Mr. Choi or Mr. Lee of a representation from Mr. Nadarajah to this effect.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Signage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plaintiffs allege that Mr. Nadarajah told Mr. Choi that there would be a two-metre sign placed on the outside pillar in order to address the storefront visibility problem. Although Mr. Choi said that Mr. Nadarajah told him on September 29 that a sign would be placed on the outside pillar and that a sign permit application was pending, he also said this information came prior to that date from Mr. Lee, a point not confirmed by Mr. Lee. This was another example of uncertain or contradictory evidence from Mr. Choi and Mr. Lee on certain key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Nadarajah said there was no discussion of a pillar sign until after Mr. Choi opened the 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As already noted, the plaintiffs' evidence on this point was unsatisfactory and somewhat contradictory. I note as well that the sign issue was said to be very important to Mr. Choi, yet he did not include it as one of the buyer's conditions in his offer to purchase. The lease that Mr. Choi was going to have assigned to him gave the landlord sole discretion over signs. Mr. Choi had the lease reviewed by his lawyer. When these matters were put to him Mr. Choi merely said that he did not think signs would be a problem "because every business has to have 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Nadarajah was not in a position to represent that a sign would be placed on the pillar because he knew the landlord had sole discretion over sign approval. This is not to say that Mr. Nadarajah still could not have made the alleged misrepresentation, but I conclude that it makes it less 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While it may well be that the parties discussed signs in a more general sense prior to concluding their contract, for the reasons outlined in the previous paragraphs I am not persuaded that prior to October 4, 2010, the date the parties entered into a binding contract of purchase and sale, Mr. Nadarajah made the alleged representation to Mr. Choi that a sign of specific dimensions would be placed on the pillar outside Mr. Choi's 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Even if the alleged misrepresentation were made, this aspect of the claim also faces the barrier of the "entire agreement"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plaintiffs have failed to prove that the alleged misrepresentations were made.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Unless there are matters the parties wish to bring to my attention, the defendants will have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M.B. BLOK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0" style="position:absolute;z-index:2518302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Credit Suisse AG v.Great Basin Gold Ltd., [2015] B.C.J. No. 1474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S.C. Fitzpatrick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10,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S134749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1474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1199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CarswellBC 1953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27 C.B.R. (6th) 32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Credit Suisse AG, Petitioner, and Great Basin Gold Ltd.,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1"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8" w:name="Keywords_18"/>
      <w:bookmarkEnd w:id="128"/>
      <w:r>
        <w:rPr>
          <w:rFonts w:ascii="arial" w:eastAsia="arial" w:hAnsi="arial" w:cs="arial"/>
          <w:b/>
          <w:color w:val="000000"/>
          <w:sz w:val="20"/>
          <w:lang w:val="en-US" w:eastAsia="en-US" w:bidi="ar-SA"/>
        </w:rPr>
        <w:t>Bankruptcy and insolvency law — Proceedings — Practice and procedure — Effect on other proceedings — Stays — Application by creditors for declaration action was unaffected by stay of proceedings allowed — Receivership order followed termination of creditor protection proceedings that had resulted in commencement of sale of company's gold mining assets — Order included stay of proceedings in respect of company and its property — Applicants sued company's directors and officers alleging misrepresentations in public documents and breaches of various duties — Based on surrounding circumstances, wording of stay and nature of allegations, action was not in respect of company or property and was outside scope of stay — Companies' Creditors Arrangement Act, s. 11.03(1).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9" w:name="Case Summary_17"/>
            <w:bookmarkEnd w:id="12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creditors, Linden Advisors, Crystalline Management and Wolverine Asset Management for declaration that their action was unaffected by a stay of proceedings. A receivership order granted following the termination of creditor protection proceedings in respect of Great Basin Gold included a stay of proceedings. The creditor protection proceedings had resulted in the commencement of the sale of major gold-mining assets. The stay of proceedings in the receivership order was granted in respect of the property of Great Basin, which was defined as all of the assets, undertakings and properties acquired for, or used in relation to the business, including all proceeds thereof. The receivership included an indemnity provision in favour of Great Basin's directors and officers. The applicants commenced an action against Great Basin's directors and officers alleging misrepresentations and omissions in financial statements, prospectuses and press releases. They sought $40 million in damages for breaches of common-law, statutory and fiduciary duties. The applicants sought a declaration that proper interpretation of the receivership order permitted continuation of their action without leave of the court.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0" w:name="Holdings of Court_16"/>
            <w:bookmarkEnd w:id="130"/>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All aspects of the matter, including the creditor protection circumstances predating the receivership order, the pleadings, the circumstances surrounding the proposed action, and the wording of the order itself, supported a conclusion that the receivership order did not stay the applicants' action against Great Basin's directors and officers. A stay in respect of the directors and officers was granted in the course of the creditor protection proceedings, and was specifically terminated prior to the receivership order. The change in the scope of the stay was reflected in the express language within the receivership order. A plain reading of the pleadings supported the view that the allegations were that the directors and officers were personally liable. The action was not in respect of Great Basin or its property, and therefore was not caught within the scope of the stay.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1" w:name="Legislation Cited_15"/>
      <w:bookmarkEnd w:id="13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2"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Bankruptcy and Insolvency Act, </w:t>
      </w:r>
      <w:hyperlink r:id="rId377" w:history="1">
        <w:r>
          <w:rPr>
            <w:rFonts w:ascii="arial" w:eastAsia="arial" w:hAnsi="arial" w:cs="arial"/>
            <w:i/>
            <w:color w:val="0077CC"/>
            <w:sz w:val="20"/>
            <w:u w:val="single"/>
            <w:shd w:val="clear" w:color="auto" w:fill="FFFFFF"/>
            <w:lang w:val="en-US" w:eastAsia="en-US" w:bidi="ar-SA"/>
          </w:rPr>
          <w:t>R.S.C. 1985, c. B-3, s. 243</w:t>
        </w:r>
      </w:hyperlink>
      <w:r>
        <w:rPr>
          <w:rFonts w:ascii="arial" w:eastAsia="arial" w:hAnsi="arial" w:cs="arial"/>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Business Corporations Act, </w:t>
      </w:r>
      <w:hyperlink r:id="rId378" w:history="1">
        <w:r>
          <w:rPr>
            <w:rFonts w:ascii="arial" w:eastAsia="arial" w:hAnsi="arial" w:cs="arial"/>
            <w:i/>
            <w:color w:val="0077CC"/>
            <w:sz w:val="20"/>
            <w:u w:val="single"/>
            <w:shd w:val="clear" w:color="auto" w:fill="FFFFFF"/>
            <w:lang w:val="en-US" w:eastAsia="en-US" w:bidi="ar-SA"/>
          </w:rPr>
          <w:t>SBC 2002, CHAPTER 57, s. 105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Companies' Creditors Arrangement Act, </w:t>
      </w:r>
      <w:hyperlink r:id="rId379" w:history="1">
        <w:r>
          <w:rPr>
            <w:rFonts w:ascii="arial" w:eastAsia="arial" w:hAnsi="arial" w:cs="arial"/>
            <w:i/>
            <w:color w:val="0077CC"/>
            <w:sz w:val="20"/>
            <w:u w:val="single"/>
            <w:shd w:val="clear" w:color="auto" w:fill="FFFFFF"/>
            <w:lang w:val="en-US" w:eastAsia="en-US" w:bidi="ar-SA"/>
          </w:rPr>
          <w:t>R.S.C. 1985, c. C-36, s. 11.03</w:t>
        </w:r>
      </w:hyperlink>
      <w:r>
        <w:rPr>
          <w:rFonts w:ascii="arial" w:eastAsia="arial" w:hAnsi="arial" w:cs="arial"/>
          <w:color w:val="000000"/>
          <w:sz w:val="20"/>
          <w:lang w:val="en-US" w:eastAsia="en-US" w:bidi="ar-SA"/>
        </w:rPr>
        <w:t>(1)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2" w:name="Counsel_18"/>
      <w:bookmarkEnd w:id="13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3" style="position:absolute;z-index:2517800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Linden Advisors LP, Crystalline Management Inc. and Wolverine Asset Management, LLC: S. Dvorak, R. Jacobs, J. Dietrich.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Patrick Cooke, Estate of David M.S. Elliott, Octavia Matloa, Terrence Barry Coughlan, Harry Wayne Kirk, Joshua C. Ngoma, Walter T. Segsworth, Anu Dhir, Philip Kotze and Ronald Thiessen: M. Clemens,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Ferdinard Dippenaar, Lourens van Vuuren, Willem Beckmann, Philip N. Bentley, Bheki Khumalo and Dana Roets: J.K. McEwan, Q.C., J. Hughes.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Credit Suisse AG: P. Rubin.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3" w:name="Judgment_18"/>
      <w:bookmarkEnd w:id="133"/>
      <w:r>
        <w:pict>
          <v:line id="_x0000_s1124" style="position:absolute;z-index:2518312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4" w:name="S.C. FITZPATRICK J._0"/>
            <w:bookmarkEnd w:id="134"/>
            <w:r>
              <w:rPr>
                <w:rFonts w:ascii="arial" w:eastAsia="arial" w:hAnsi="arial" w:cs="arial"/>
                <w:b/>
                <w:color w:val="000000"/>
                <w:sz w:val="30"/>
                <w:lang w:val="en-US" w:eastAsia="en-US" w:bidi="ar-SA"/>
              </w:rPr>
              <w:t>S.C. FITZPATRICK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application concerns the scope of a stay of proceedings ordered by the court arising from the granting of a receivership order as against the respondent, Great Basin Gold Ltd. ("Great Basin").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issue is whether the proper interpretation of the stay provision is such that it includes a stay of proceedings in favour of the former directors and officers of Great Basin.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Linden Advisors LP, Crystalline Management Inc. and Wolverine Asset Management, LLC (collectively, the "Applicant Creditors"), had previously commenced an action against Great Basin's directors and officers and the issue of the stay has been recently raised. The Applicant Creditors now seek clarification concerning the proper interpretation of the receivership order, namely, whether the stay prevents them from continuing with their action, save with leave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Insolvency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On September 19, 2012, Great Basin applied for and was granted creditor protection under the </w:t>
      </w:r>
      <w:r>
        <w:rPr>
          <w:rFonts w:ascii="arial" w:eastAsia="arial" w:hAnsi="arial" w:cs="arial"/>
          <w:i/>
          <w:color w:val="000000"/>
          <w:sz w:val="20"/>
          <w:lang w:val="en-US" w:eastAsia="en-US" w:bidi="ar-SA"/>
        </w:rPr>
        <w:t>Companies' Creditors Arrangement Act,</w:t>
      </w:r>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R.S.C. 1985, c. C-36</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Despite the filing having taken place in Vancouver, British Columbia, Great Basin's gold-mining operations, through its subsidiaries, were principally located elsewhere. Various properties were held around the world, but the principal assets were gold mines in Nevada and South Africa.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On the filing date, I granted an initial order, as is typically granted in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proceedings (the "Initial Order"). I remained seized of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proceedings and would issue all of the court orders in those proceedings and in the later receivership proceedings as discussed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Initial Order imposed a stay of proceedings against or in respect of Great Basin or affecting the "Business" and "Property" of Great Basin:</w:t>
      </w:r>
      <w:r>
        <w:rPr>
          <w:rFonts w:ascii="arial" w:eastAsia="arial" w:hAnsi="arial" w:cs="arial"/>
          <w:sz w:val="20"/>
          <w:lang w:val="en-US" w:eastAsia="en-US" w:bidi="ar-SA"/>
        </w:rPr>
        <w:cr/>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Until and including October 19, 2012 or such later date as this Court may order (the "Stay Period"), no action, suit or proceeding in any court or tribunal (each, a "Proceeding") against or in respect of [Great Basin] or the Monitor, or affecting the Business or the Property, shall be commenced or continued except with the written consent of [Great Basin] and the Monitor or with leave of this Court, and any and all Proceedings currently under way against or in respect of [Great Basin] or affecting the Business or the Property are hereby stayed and suspended pending further Order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"Property" was defined in the Initial Order as "current and future assets, undertakings and properties of every nature and kind whatsoever, and wherever situate including all proceeds thereof". Great Basin was ordered to continue to carry on its business in the ordinary course (defined as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addition, the Initial Order provided for a stay of proceedings as against the directors and officers of Great Basin in respect of pre-filing matters: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Stay Period, and except as permitted by subsection 11.03(2) of the CCAA, no Proceeding may be commenced or continued against the directors or officers of [Great Basin] with respect to any claim against the directors or officers that arose before the date hereof and that relates to any obligations of [Great Basin] whereby the directors or officers are alleged under any law to be liable in their capacity as directors or officers for the payment or performance of a such obligations, until a compromise or arrangement in respect of [Great Basin], if one is filed, is sanctioned by this Court or is refused by the creditors of [Great Basin] or this Court. Nothing in this Order, including in this paragraph, shall prevent the commencement of a Proceeding to preserve any claim against a director or officer of [Great Basin] that might otherwise be barred or extinguished by the effluxion of time, provided that no further step shall be taken in respect of such Proceeding except for service of the initiating documentation on the applicable director or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By June 28, 2013,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proceedings had run their course with sales of the major gold-mining assets having been concluded or substantially underway. On that date, this Court granted an order terminating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proceedings at the request of Great Basin and with the support of its largest secured creditor, the petitioner Credit Suisse AG (the "Termination Order"). The Termination Order specifically provided that the stays of proceedings as set out above in paragraphs 15 and 22 of the Initial Order were terminated and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Concurrent with the termination of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proceedings, on June 28, 2013, Credit Suisse AG applied to the Court and was granted an order (the "Receivership Order"), appointing a receiver over the ''Property" of Great Basin, who was defined as the "Debtor".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definition of "Property" in the Receivership Order was different than that found in the Initial Order. The term was defined as "all of the assets, undertakings and properties of the Debtor acquired for, or used in relation to a business carried on by the Debtor, including all proceeds thereof." This definition of "Property" was consistent with the wording of the model receivership order published on the Court's website, and also consistent with the language found in s. 243(1) of the </w:t>
      </w:r>
      <w:r>
        <w:rPr>
          <w:rFonts w:ascii="arial" w:eastAsia="arial" w:hAnsi="arial" w:cs="arial"/>
          <w:i/>
          <w:color w:val="000000"/>
          <w:sz w:val="20"/>
          <w:lang w:val="en-US" w:eastAsia="en-US" w:bidi="ar-SA"/>
        </w:rPr>
        <w:t>Bankruptcy and Insolvency Act</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R.S.C. 1985, c. B-3</w:t>
        </w:r>
      </w:hyperlink>
      <w:r>
        <w:rPr>
          <w:rFonts w:ascii="arial" w:eastAsia="arial" w:hAnsi="arial" w:cs="arial"/>
          <w:color w:val="000000"/>
          <w:sz w:val="20"/>
          <w:lang w:val="en-US" w:eastAsia="en-US" w:bidi="ar-SA"/>
        </w:rPr>
        <w:t>, which is the statutory authority for the appointment of the receiver.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central issue on this application arises from the terms of the Receivership Order which imposed a stay of proceedings against or "in respect of" Great Basin and the Property, as defined:</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Proceedings against or in respect of the Debtor or the Property shall be commenced or continued except with the written consent of the Receiver or with leave of this Court and any and all Proceedings currently under way against or in respect of the Debtor or the Property are hereby stayed and suspended pending further Order of this Court; provided, however, that nothing in this Order shall prevent any Person from commencing a Proceeding regarding a claim that might otherwise become barred by statute or an existing agreement if such Proceeding is not commenced before the expiration of the stay provided by this paragraph and provided that no further step shall be taken in respect of Proceeding except for service of the initiating documentation on the Debtor and the Receiver.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Under the Receivership Order, FTI Consulting Canada Inc. was appointed receiver and manager (the "Receiver").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evidence at the June 28, 2013 hearing -- at which time the Termination Order and the Receivership Order were granted -- referred to the following relevant circumstances:</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stay of proceedings under the Initial Order was set to expire on June 30, 2013;</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 extension of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proceedings was being sought by Great Basin as there was no prospect for a restructuring of Great Basin and there was no on-going business being conducted by Great Basin. As such, there was no need to continue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proceedings and incur the cost of doing so;</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remaining directors and officers of Great Basin were set to resign on the earlier of June 30, 2013 or the date on which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proceedings were terminated. This was tied to the expiry of the then-existing insurance policy in place for the directors and officers of Great Basin; and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was considered necessary that a receiver be appointed to complete the remaining matters that were outstanding in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proceedings. Those matters included causing Great Basin's subsidiaries in other jurisdictions to finalize the sales of the principal gold-mining assets through insolvency proceedings in those jurisdictions. Specifically:</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May 2013, the Hollister gold mine in Nevada had been sold through insolvency proceedings commenced under chapter 11 of the </w:t>
      </w:r>
      <w:r>
        <w:rPr>
          <w:rFonts w:ascii="arial" w:eastAsia="arial" w:hAnsi="arial" w:cs="arial"/>
          <w:i/>
          <w:color w:val="000000"/>
          <w:sz w:val="20"/>
          <w:lang w:val="en-US" w:eastAsia="en-US" w:bidi="ar-SA"/>
        </w:rPr>
        <w:t>United States Bankruptcy Code</w:t>
      </w:r>
      <w:r>
        <w:rPr>
          <w:rFonts w:ascii="arial" w:eastAsia="arial" w:hAnsi="arial" w:cs="arial"/>
          <w:color w:val="000000"/>
          <w:sz w:val="20"/>
          <w:lang w:val="en-US" w:eastAsia="en-US" w:bidi="ar-SA"/>
        </w:rPr>
        <w:t>, 11 U.S.C. and it was anticipated that certain administrative matters needed to be finalized to conclude those proceedings; and</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sales process of the Burnstone mine in South Africa was underway at the time pursuant to business rescue proceedings commenced in South Africa. Those sale proceedings had not been completed, and it was contemplated that a sale would require later transactions to be completed by Great Basin and certain Cayman Islands subsidiaries.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Paragraph 23 of the Initial Order provided that Great Basin indemnify its directors and officers against obligations and liabilities that they may incur as directors or officers on account of legal defence costs after the commencement of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proceedings. As security for this obligation, the directors and officers were granted a "Directors' Charge" as against Great Basin's "Property" (as defined in the Initial Order) limited to $500,000. The Director's Charge was granted priority behind the "Administration Charge" but ahead of the "DIP Lenders' Charge" for the interim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Pursuant to paragraph 22 of the Termination Order, the Directors' Charge continued to attach to the "Property" as defined in the Initial Order. The priorities of the various court-ordered charges were further addressed in the Receivership Order, but the Directors' Charge remained second in priority only behind the Administration Charge.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Action Brought by the Applicant Creditors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August 14, 2014, the Applicant Creditors commenced an action in this Court against the former directors and officers of Great Basin (the "Action"). In essence, the Applicant Creditors allege that various public disclosures, including financial statements, prospectuses and press releases made by Great Basin contained misrepresentations and omissions. The Applicant Creditors allege that the directors and officers breached their common-law, statutory and fiduciary duties and obligations owed to certain stakeholders of Great Basin, including the Applicant Creditors. They seek damages in the amount of $40 million plus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counsel for the directors and officers point out, there is some emphasis in the Action on the disclosure in a November 2009 prospectus issued by Great Basin for certain unsecured convertible debentures in which the Applicant Creditors invested. There are also allegations concerning the public disclosure made before and after that offering.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addition, on January 9, 2015, Credit Suisse AG commenced a claim against some directors and officers of Great Basin in the Second Judicial District Court of the State of Nevada. Similar to the action commenced by the Applicant Creditors, Credit Suisse AG alleges that the officers and directors misrepresented certain matters relating to Great Basin, which Credit Suisse AG relied upon in granting significant loans to Great Basin, both prior to and after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proceedings began. Credit Suisse AG also alleges that the officers and directors "recklessly mismanaged" Great Basin's subsidiaries.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May 2015, counsel for the officers and directors advised counsel for the Applicant Creditors of their position that the Applicant Creditors had filed the Action in violation of the stay of proceedings granted per paragraph 12 of the Receivership Order. Among other things, the directors and officers asserted that, given the allegations about public disclosures made by Great Basin, and the indemnities that Great Basin gave to each of the officers and directors, the stay applied. Counsel for the officers and directors therefore took the position that the Receivership Order stayed the Action unless and until written consent was obtained from the Receiver or leave was obtained from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Initially, there was some issue about why the matter of the stay was only being raised some time following the commencement of the Action in August 2014. However, counsel for the officers and directors advised that the Receivership Order had only recently come to their attention in May 2015, which explanation I accept. In my view, nothing arises from any delay in bringing forward the issue as the matter can be addressed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Certain of the defendants in the Action, being officers and directors appointed prior to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proceedings, intend to file response material denying any wrongdoing. Specifically, they contend that the acts that are the subject of the Action are "the acts of [Great Basin] and not the acts of the [officers and directors]". In addition, they propose to file a counterclaim alleging that the Action is in breach of the trust indenture by which the Applicant Creditors invested in Great Basin. That trust indenture provided that there would be no recourse against certain persons, including directors and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Other defendants in the Action, being directors and officers appointed after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proceedings began, also intend to file response material. They also contend that the representations and conduct that are the subject of the Action were "representations made by or conduct of [Great Basin], not these Defendants personally". They also propose to file a counterclaim alleging that the Action is in breach of the trust indenture by which the Applicant Creditors invested in Great Basin.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Applicant Creditors dispute the interpretation of paragraph 12 of the Receivership Order advanced by the directors and officers that they require leave of the court in order to proceed with the Action. Nevertheless, in order to clarify the matter, the Applicant Creditors now bring this application for a declaration that the stay of proceedings does not operate to stay the Action and that no leave is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Receiver has indicated that it takes no position in respect of this application so, obviously, no consent to bring the Action is forthcoming to obviate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parties agree that the Receivership Order is to be interpreted in accordance with the approach as set out in </w:t>
      </w:r>
      <w:r>
        <w:rPr>
          <w:rFonts w:ascii="arial" w:eastAsia="arial" w:hAnsi="arial" w:cs="arial"/>
          <w:i/>
          <w:color w:val="000000"/>
          <w:sz w:val="20"/>
          <w:lang w:val="en-US" w:eastAsia="en-US" w:bidi="ar-SA"/>
        </w:rPr>
        <w:t>Yu v. Jordan</w:t>
      </w:r>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2012 BCCA 367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In my view, the interpretation of a court order is not governed by the subjective views of one or more of the parties as to its meaning after the order is made. Rather an order, whether by consent or awarded in an adjudicated disposition, is a decision of the court. As such, it is the court, not the parties, that determines the meaning of its order. In my view, the correct approach to interpreting the provisions of a court order is to examine the pleadings of the action in which it is made, the language of the order itself, and the circumstances in which the order was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All of the aspects leading to and including the granting of the Receivership Order -- the pleadings, relevant circumstances and language of the order itself -- are considerably interrelated in this case. In my view, all aspects support the conclusion that the Receivership Order did not stay the Action against the directors and officers.</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pleadings that are relevant here include the backdrop of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proceedings, the terms of the Initial Order and, later still, the Receivership Order and the Termination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context, imposing a stay of proceedings is generally seen as a critical component of the relief sought by the debtor company in preserving the </w:t>
      </w:r>
      <w:r>
        <w:rPr>
          <w:rFonts w:ascii="arial" w:eastAsia="arial" w:hAnsi="arial" w:cs="arial"/>
          <w:i/>
          <w:color w:val="000000"/>
          <w:sz w:val="20"/>
          <w:lang w:val="en-US" w:eastAsia="en-US" w:bidi="ar-SA"/>
        </w:rPr>
        <w:t>status quo</w:t>
      </w:r>
      <w:r>
        <w:rPr>
          <w:rFonts w:ascii="arial" w:eastAsia="arial" w:hAnsi="arial" w:cs="arial"/>
          <w:color w:val="000000"/>
          <w:sz w:val="20"/>
          <w:lang w:val="en-US" w:eastAsia="en-US" w:bidi="ar-SA"/>
        </w:rPr>
        <w:t xml:space="preserve"> while a company attempts to restructure. The need for a stay of proceedings against creditors of the debtor company seems evident enough; however, it is also well-recognized that a stay of proceedings against third parties could, in some cases and, indeed, often does, equally assist in achieving the objectives of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addition, the need to cast a large net in terms of protecting the debtor's ownership and management of its assets pending reorganization is generally seen as justifying the typical broad definition of "Property", as is found in the Initial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Early cases tended to rely on inherent jurisdiction as the jurisdictional basis for a stay as against third parties. In that regard, the comments of Tysoe J. (as he then was) in </w:t>
      </w:r>
      <w:r>
        <w:rPr>
          <w:rFonts w:ascii="arial" w:eastAsia="arial" w:hAnsi="arial" w:cs="arial"/>
          <w:i/>
          <w:color w:val="000000"/>
          <w:sz w:val="20"/>
          <w:lang w:val="en-US" w:eastAsia="en-US" w:bidi="ar-SA"/>
        </w:rPr>
        <w:t>Re Woodward's Ltd.</w:t>
      </w:r>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(1993) 79 B.C.L.R. (2d) 257</w:t>
        </w:r>
      </w:hyperlink>
      <w:r>
        <w:rPr>
          <w:rFonts w:ascii="arial" w:eastAsia="arial" w:hAnsi="arial" w:cs="arial"/>
          <w:color w:val="000000"/>
          <w:sz w:val="20"/>
          <w:lang w:val="en-US" w:eastAsia="en-US" w:bidi="ar-SA"/>
        </w:rPr>
        <w:t xml:space="preserve"> at 268 (S.C.) are instructive in that such a stay must be important to the reorganization process and the court must weigh the relative prejudice arising from the stay: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Hence, it is my view that the inherent jurisdiction of the Court can be invoked for the purpose of imposing stays of proceedings against third parties. However, it is a power that should be used cautiously. In </w:t>
      </w:r>
      <w:r>
        <w:rPr>
          <w:rFonts w:ascii="arial" w:eastAsia="arial" w:hAnsi="arial" w:cs="arial"/>
          <w:i/>
          <w:color w:val="000000"/>
          <w:sz w:val="20"/>
          <w:lang w:val="en-US" w:eastAsia="en-US" w:bidi="ar-SA"/>
        </w:rPr>
        <w:t>Westar</w:t>
      </w:r>
      <w:r>
        <w:rPr>
          <w:rFonts w:ascii="arial" w:eastAsia="arial" w:hAnsi="arial" w:cs="arial"/>
          <w:color w:val="000000"/>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[1992] B.C.J. No. 1360</w:t>
        </w:r>
      </w:hyperlink>
      <w:r>
        <w:rPr>
          <w:rFonts w:ascii="arial" w:eastAsia="arial" w:hAnsi="arial" w:cs="arial"/>
          <w:color w:val="000000"/>
          <w:sz w:val="20"/>
          <w:lang w:val="en-US" w:eastAsia="en-US" w:bidi="ar-SA"/>
        </w:rPr>
        <w:t xml:space="preserve"> Macdonald J. relied upon the Court's inherent jurisdiction to create a charge against Westar's assets because he was of the view that Westar would have no chance of completing a successful reorganization if he did not create the charge. I do not think that it is a prerequisite to the Court exercising its inherent jurisdiction that the insolvent company will not be able to complete a reorganization unless the inherent jurisdiction is exercised. But I do think that </w:t>
      </w:r>
      <w:r>
        <w:rPr>
          <w:rFonts w:ascii="arial" w:eastAsia="arial" w:hAnsi="arial" w:cs="arial"/>
          <w:color w:val="000000"/>
          <w:sz w:val="20"/>
          <w:u w:val="single"/>
          <w:lang w:val="en-US" w:eastAsia="en-US" w:bidi="ar-SA"/>
        </w:rPr>
        <w:t>the exercise of the inherent jurisdiction must be shown to be important to the reorganization process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deciding whether to exercise its inherent jurisdiction </w:t>
      </w:r>
      <w:r>
        <w:rPr>
          <w:rFonts w:ascii="arial" w:eastAsia="arial" w:hAnsi="arial" w:cs="arial"/>
          <w:color w:val="000000"/>
          <w:sz w:val="20"/>
          <w:u w:val="single"/>
          <w:lang w:val="en-US" w:eastAsia="en-US" w:bidi="ar-SA"/>
        </w:rPr>
        <w:t>the Court should weigh the interests of the insolvent company against the interests of the parties who will be affected by the exercise of the inherent jurisdiction. If, in relative terms, the prejudice to the affected party is greater than the benefit that will be achieved by the insolvent company, the Court should decline to exercise its inherent jurisdiction</w:t>
      </w:r>
      <w:r>
        <w:rPr>
          <w:rFonts w:ascii="arial" w:eastAsia="arial" w:hAnsi="arial" w:cs="arial"/>
          <w:color w:val="000000"/>
          <w:sz w:val="20"/>
          <w:lang w:val="en-US" w:eastAsia="en-US" w:bidi="ar-SA"/>
        </w:rPr>
        <w:t>. The threshold of prejudice will be much lower than the threshold required to persuade the Court that it should not exercise its discretion under s. 11 of the CCAA to grant or continue a stay that is prejudicial to a creditor of the insolvent company (or other party affected by the stay).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Stays of proceedings in favour of former or current directors and officers of a debtor company in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proceedings were and are common. Such a stay is seen as consistent in achieving the policy objective of furthering the debtor company's restructuring efforts. A stay of proceedings in favour of officers and directors affords some protection to those individuals, in that it acts as an inducement to remain involved in the restructuring, which is benefited by the directors' and officers' knowledge and expertise. Other benefits include avoiding the allocation of time and resources to defend such proceedings at the expense of and detriment to the restructuring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2005,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was amended to provide the court with express statutory authority to stay proceedings against directors and officers with respect to pre-filing matters: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11.03(1) An order made under section 11.02 may provide that no person may commence or continue any action against a director of the company on any claim against directors that arose before the commencement of proceedings under this Act and that relates to obligations of the company if directors are under any law liable in their capacity as directors for the payment of those obligations, until a compromise or an arrangement in respect of the company, if one is filed, is sanctioned by the court or is refused by the creditors or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can be seen that the provision in the Initial Order staying actions against the directors and officers (paragraph 22) substantially tracks the language of s. 11.03(1).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rationale of the court in </w:t>
      </w:r>
      <w:r>
        <w:rPr>
          <w:rFonts w:ascii="arial" w:eastAsia="arial" w:hAnsi="arial" w:cs="arial"/>
          <w:i/>
          <w:color w:val="000000"/>
          <w:sz w:val="20"/>
          <w:lang w:val="en-US" w:eastAsia="en-US" w:bidi="ar-SA"/>
        </w:rPr>
        <w:t>Re Woodward's</w:t>
      </w:r>
      <w:r>
        <w:rPr>
          <w:rFonts w:ascii="arial" w:eastAsia="arial" w:hAnsi="arial" w:cs="arial"/>
          <w:color w:val="000000"/>
          <w:sz w:val="20"/>
          <w:lang w:val="en-US" w:eastAsia="en-US" w:bidi="ar-SA"/>
        </w:rPr>
        <w:t xml:space="preserve"> continues to be applied in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proceedings and, in particular, to the consideration as to whether stays in favour of officers and directors will be continued or lifted.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 Nortel Networks Corp.</w:t>
      </w:r>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(2009) 57 C.B.R. (5th) 232</w:t>
        </w:r>
      </w:hyperlink>
      <w:r>
        <w:rPr>
          <w:rFonts w:ascii="arial" w:eastAsia="arial" w:hAnsi="arial" w:cs="arial"/>
          <w:color w:val="000000"/>
          <w:sz w:val="20"/>
          <w:lang w:val="en-US" w:eastAsia="en-US" w:bidi="ar-SA"/>
        </w:rPr>
        <w:t xml:space="preserve"> at 239 (Ont. S.C.J.), Morawetz J. upheld a stay of proceedings in favour of certain directors and employees of Nortel: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Nortel restructuring is at a critical stage and the energies and activities of the Board should be directed towards the restructuring. I accept the argument of Mr. Barnes on this point. To permit the ERISA Litigation to continue at that time would, in my view, result in a significant distraction and diversion of resources at a time when that can be least afforded. It is necessary in considering whether to lift the stay, to weigh the interests of the Applicants against the interests of those who will be affected by the stay. Where the benefits to be achieved by the applicant outweighs the prejudice to affected parties, a stay will be granted. (See: </w:t>
      </w:r>
      <w:r>
        <w:rPr>
          <w:rFonts w:ascii="arial" w:eastAsia="arial" w:hAnsi="arial" w:cs="arial"/>
          <w:i/>
          <w:color w:val="000000"/>
          <w:sz w:val="20"/>
          <w:lang w:val="en-US" w:eastAsia="en-US" w:bidi="ar-SA"/>
        </w:rPr>
        <w:t>Woodwards Limited (Re)</w:t>
      </w:r>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(1993) 17 C.B.R. (3d) 236</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Importantly, the court in </w:t>
      </w:r>
      <w:r>
        <w:rPr>
          <w:rFonts w:ascii="arial" w:eastAsia="arial" w:hAnsi="arial" w:cs="arial"/>
          <w:i/>
          <w:color w:val="000000"/>
          <w:sz w:val="20"/>
          <w:lang w:val="en-US" w:eastAsia="en-US" w:bidi="ar-SA"/>
        </w:rPr>
        <w:t>Re Nortel</w:t>
      </w:r>
      <w:r>
        <w:rPr>
          <w:rFonts w:ascii="arial" w:eastAsia="arial" w:hAnsi="arial" w:cs="arial"/>
          <w:color w:val="000000"/>
          <w:sz w:val="20"/>
          <w:lang w:val="en-US" w:eastAsia="en-US" w:bidi="ar-SA"/>
        </w:rPr>
        <w:t xml:space="preserve"> emphasized that the stay was intended only as a postponement of the claims being brought or continued: </w:t>
      </w:r>
      <w:r>
        <w:rPr>
          <w:rFonts w:ascii="arial" w:eastAsia="arial" w:hAnsi="arial" w:cs="arial"/>
          <w:i/>
          <w:color w:val="000000"/>
          <w:sz w:val="20"/>
          <w:lang w:val="en-US" w:eastAsia="en-US" w:bidi="ar-SA"/>
        </w:rPr>
        <w:t>Nortel</w:t>
      </w:r>
      <w:r>
        <w:rPr>
          <w:rFonts w:ascii="arial" w:eastAsia="arial" w:hAnsi="arial" w:cs="arial"/>
          <w:color w:val="000000"/>
          <w:sz w:val="20"/>
          <w:lang w:val="en-US" w:eastAsia="en-US" w:bidi="ar-SA"/>
        </w:rPr>
        <w:t xml:space="preserve"> at 239. The postponement aspect is consistent with s. 11.03(1) of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and paragraph 22 of the Initial Order, which contemplate the continuation of the stay until such time as a compromise or arrangement is either accepted or refused by the creditors and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As Dewar J. stated in </w:t>
      </w:r>
      <w:r>
        <w:rPr>
          <w:rFonts w:ascii="arial" w:eastAsia="arial" w:hAnsi="arial" w:cs="arial"/>
          <w:i/>
          <w:color w:val="000000"/>
          <w:sz w:val="20"/>
          <w:lang w:val="en-US" w:eastAsia="en-US" w:bidi="ar-SA"/>
        </w:rPr>
        <w:t>Re Puratone Corp.</w:t>
      </w:r>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2013 MBQB 171</w:t>
        </w:r>
      </w:hyperlink>
      <w:r>
        <w:rPr>
          <w:rFonts w:ascii="arial" w:eastAsia="arial" w:hAnsi="arial" w:cs="arial"/>
          <w:color w:val="000000"/>
          <w:sz w:val="20"/>
          <w:lang w:val="en-US" w:eastAsia="en-US" w:bidi="ar-SA"/>
        </w:rPr>
        <w:t xml:space="preserve">, whether the stay will be lifted or continued is to be considered in the context of the nature and timing of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process before the court: para. 15. In that case, the court noted that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proceedings did not result in a restructuring but, rather, a liquidation of the assets with proceeds to be distributed. As such, the court, in considering relative prejudice, found that the balance of convenience favoured lifting the stay to allow the action against Puratone and the directors and officers to proceed "sooner rather than later":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It is in this context that the Termination Order and Receivership Order must be considered. In a situation similar to that in </w:t>
      </w:r>
      <w:r>
        <w:rPr>
          <w:rFonts w:ascii="arial" w:eastAsia="arial" w:hAnsi="arial" w:cs="arial"/>
          <w:i/>
          <w:color w:val="000000"/>
          <w:sz w:val="20"/>
          <w:lang w:val="en-US" w:eastAsia="en-US" w:bidi="ar-SA"/>
        </w:rPr>
        <w:t>Re Puratone</w:t>
      </w:r>
      <w:r>
        <w:rPr>
          <w:rFonts w:ascii="arial" w:eastAsia="arial" w:hAnsi="arial" w:cs="arial"/>
          <w:color w:val="000000"/>
          <w:sz w:val="20"/>
          <w:lang w:val="en-US" w:eastAsia="en-US" w:bidi="ar-SA"/>
        </w:rPr>
        <w:t>, by June 2013, much of the policy objectives underlying the stay in favour of Great Basin's directors and officers in the Initial Order had been spent. The receivership presented a sea change of sorts in the sense that a pure liquidation of the remaining assets was the focus and, importantly, the remaining liquidation efforts were to be handled by the Receiver and not by the directors and officers of Great Basin. In that regard, the focus of the Receivership Order was to protect the activities of the Receiver and the assets under its administration. The stay of proceedings found in paragraph 12 of the Receivership Order accomplished that, in part, along with the stay of proceedings in paragraph 13, and the specific stay as against the Receiver in paragraph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It is not unheard of that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proceedings simply segue into receivership proceedings with little regard to or change in the relief granted in court orders in terms of the effect of those orders on third parties. However, a receivership is a fundamentally different type of proceeding and the objectives to be achieved in each type of proceeding must be considered in terms of how third parties are to be affected. That is not to say that a stay of proceedings against third parties will never be appropriate in a receivership; rather, the court must be cognizant, as was stated in </w:t>
      </w:r>
      <w:r>
        <w:rPr>
          <w:rFonts w:ascii="arial" w:eastAsia="arial" w:hAnsi="arial" w:cs="arial"/>
          <w:i/>
          <w:color w:val="000000"/>
          <w:sz w:val="20"/>
          <w:lang w:val="en-US" w:eastAsia="en-US" w:bidi="ar-SA"/>
        </w:rPr>
        <w:t>Re Woodward's</w:t>
      </w:r>
      <w:r>
        <w:rPr>
          <w:rFonts w:ascii="arial" w:eastAsia="arial" w:hAnsi="arial" w:cs="arial"/>
          <w:color w:val="000000"/>
          <w:sz w:val="20"/>
          <w:lang w:val="en-US" w:eastAsia="en-US" w:bidi="ar-SA"/>
        </w:rPr>
        <w:t xml:space="preserve">, that the stay power should be used cautiously, and there must be some cogent reason underlying the interference with the rights of those third parties in either a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or receivership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That brings me more specifically to the Termination Order which must be considered alongside the Receivership Order. What can be gleaned from both these orders, when considered in the context of the Initial Order, is that counsel did what was expected of them, in that they carefully considered what relief was appropriate going forward, with or without amendment, and what relief should be terminated. This was the substance of the hearing on June 28, 2013 when the two orders were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It is significant that paragraph 15 of the Initial Order contained a broader stay protection for Great Basin than the stay in the Receivership Order since it provided for a stay "against or in respect of [Great Basin] or the Monitor, or affecting </w:t>
      </w:r>
      <w:r>
        <w:rPr>
          <w:rFonts w:ascii="arial" w:eastAsia="arial" w:hAnsi="arial" w:cs="arial"/>
          <w:color w:val="000000"/>
          <w:sz w:val="20"/>
          <w:u w:val="single"/>
          <w:lang w:val="en-US" w:eastAsia="en-US" w:bidi="ar-SA"/>
        </w:rPr>
        <w:t>the Business</w:t>
      </w:r>
      <w:r>
        <w:rPr>
          <w:rFonts w:ascii="arial" w:eastAsia="arial" w:hAnsi="arial" w:cs="arial"/>
          <w:color w:val="000000"/>
          <w:sz w:val="20"/>
          <w:lang w:val="en-US" w:eastAsia="en-US" w:bidi="ar-SA"/>
        </w:rPr>
        <w:t xml:space="preserve"> or the Property" [emphasis added]. Even with this broader stay protection, the Initial Order contained a separate stay of proceedings against directors and officers at paragraph 22, which supports the interpretation that the broader stay did not provide this protection to the officers and directors.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contrast, the Receivership Order included more limited stay protection for Great Basin's Property, which need only have been acquired for or used in relation to its business. It did not, as did the Initial Order, refer to the stay of proceeding in relation to any action that might affect Great Basin's "Business". This is understandable since it was expected that Great Basin would continue its "Business" in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proceedings: Initial Order at para. 4. This is also consistent with the evidence at the June 28, 2013 hearing that Great Basin had ceased to conduct any business by the time of the receivership.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Finally, it cannot be ignored that there was neither an application for nor an order for a separate stay of proceedings against the directors and officers in the Receivership Order as there was in the Initial Order. To the opposite effect, that provision was specifically terminated by the Termination Order. I agree with the Applicant Creditors that this change must be given some meaning. The directors and officers assert that they were not represented by counsel at the June 28, 2013 hearing. However, it must be inferred that they were well-aware of the protections afforded to them by reason of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proceedings (including the specific stay and the granting of the Directors' Charge), and that they either were or could have been, with some due diligence, aware of how matters were to be transitioned to the receivership.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At the very least, their knowledge of the expiry of the director and officer insurance policy, coupled with their resignations at the same time, would have highlighted to them that changes were afoot in terms of their participation in the proceedings and the protections that they had enjoyed to that time.</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Language of the Receivership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It is clear enough that the Receivership Order does not include any express language imposing a stay of proceedings in favour of Great Basin's directors and officers. This is in contrast to paragraph 22 of the Initial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Counsel for the directors and officers rely on the wording of paragraph 12 of the Receivership Order in arguing that there is a stay of proceedings "in respect of" both Great Basin and the Property, as defined. They contend that this wording is broad enough to include the Action now commenced by the Applicant Creditors.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CanadianOxy Chemicals Ltd. v. Canada (Attorney General)</w:t>
      </w:r>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[1999] 1 S.C.R. 743</w:t>
        </w:r>
      </w:hyperlink>
      <w:r>
        <w:rPr>
          <w:rFonts w:ascii="arial" w:eastAsia="arial" w:hAnsi="arial" w:cs="arial"/>
          <w:color w:val="000000"/>
          <w:sz w:val="20"/>
          <w:lang w:val="en-US" w:eastAsia="en-US" w:bidi="ar-SA"/>
        </w:rPr>
        <w:t xml:space="preserve"> at 751, Major J. discussed the Court's earlier consideration of the phrase "in respect of":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plain] reading is supported by Dickson J.'s interpretation of almost identical language in </w:t>
      </w:r>
      <w:r>
        <w:rPr>
          <w:rFonts w:ascii="arial" w:eastAsia="arial" w:hAnsi="arial" w:cs="arial"/>
          <w:i/>
          <w:color w:val="000000"/>
          <w:sz w:val="20"/>
          <w:lang w:val="en-US" w:eastAsia="en-US" w:bidi="ar-SA"/>
        </w:rPr>
        <w:t>Nowegijick v. The Queen</w:t>
      </w:r>
      <w:r>
        <w:rPr>
          <w:rFonts w:ascii="arial" w:eastAsia="arial" w:hAnsi="arial" w:cs="arial"/>
          <w:color w:val="000000"/>
          <w:sz w:val="20"/>
          <w:lang w:val="en-US" w:eastAsia="en-US" w:bidi="ar-SA"/>
        </w:rPr>
        <w:t xml:space="preserve">, </w:t>
      </w:r>
      <w:hyperlink r:id="rId387" w:history="1">
        <w:r>
          <w:rPr>
            <w:rFonts w:ascii="arial" w:eastAsia="arial" w:hAnsi="arial" w:cs="arial"/>
            <w:i/>
            <w:color w:val="0077CC"/>
            <w:sz w:val="20"/>
            <w:u w:val="single"/>
            <w:shd w:val="clear" w:color="auto" w:fill="FFFFFF"/>
            <w:lang w:val="en-US" w:eastAsia="en-US" w:bidi="ar-SA"/>
          </w:rPr>
          <w:t>[1983] 1 S.C.R. 29</w:t>
        </w:r>
      </w:hyperlink>
      <w:r>
        <w:rPr>
          <w:rFonts w:ascii="arial" w:eastAsia="arial" w:hAnsi="arial" w:cs="arial"/>
          <w:color w:val="000000"/>
          <w:sz w:val="20"/>
          <w:lang w:val="en-US" w:eastAsia="en-US" w:bidi="ar-SA"/>
        </w:rPr>
        <w:t>, at p. 39: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words "in respect of" are, in my opinion, words of the </w:t>
      </w:r>
      <w:r>
        <w:rPr>
          <w:rFonts w:ascii="arial" w:eastAsia="arial" w:hAnsi="arial" w:cs="arial"/>
          <w:color w:val="000000"/>
          <w:sz w:val="20"/>
          <w:u w:val="single"/>
          <w:lang w:val="en-US" w:eastAsia="en-US" w:bidi="ar-SA"/>
        </w:rPr>
        <w:t>widest possible scope</w:t>
      </w:r>
      <w:r>
        <w:rPr>
          <w:rFonts w:ascii="arial" w:eastAsia="arial" w:hAnsi="arial" w:cs="arial"/>
          <w:color w:val="000000"/>
          <w:sz w:val="20"/>
          <w:lang w:val="en-US" w:eastAsia="en-US" w:bidi="ar-SA"/>
        </w:rPr>
        <w:t>. They import such meanings as "in relation to", "with reference to" or "in connection with". The phrase "in respect of" is probably the widest of any expression intended to convey some connection between two related subject matters.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extent of the scope of that phrase was, however, tempered by the later comments of the Court in </w:t>
      </w:r>
      <w:r>
        <w:rPr>
          <w:rFonts w:ascii="arial" w:eastAsia="arial" w:hAnsi="arial" w:cs="arial"/>
          <w:i/>
          <w:color w:val="000000"/>
          <w:sz w:val="20"/>
          <w:lang w:val="en-US" w:eastAsia="en-US" w:bidi="ar-SA"/>
        </w:rPr>
        <w:t>Sarvanis v. Canada</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2002 SCC 28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It is fair to say, at the minimum, that the phrase "in respect of" signals an intent to convey a broad set of connections. The phrase is not, however, of infinite reach. Although I do not depart from Dickson J.'s view that "in respect of" is among the widest possible phrases that can be used to express connection between two legislative facts or circumstances, the inquiry is not concluded merely on the basis that the phrase is very broad.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Further, the Court in </w:t>
      </w:r>
      <w:r>
        <w:rPr>
          <w:rFonts w:ascii="arial" w:eastAsia="arial" w:hAnsi="arial" w:cs="arial"/>
          <w:i/>
          <w:color w:val="000000"/>
          <w:sz w:val="20"/>
          <w:lang w:val="en-US" w:eastAsia="en-US" w:bidi="ar-SA"/>
        </w:rPr>
        <w:t>Sarvanis</w:t>
      </w:r>
      <w:r>
        <w:rPr>
          <w:rFonts w:ascii="arial" w:eastAsia="arial" w:hAnsi="arial" w:cs="arial"/>
          <w:color w:val="000000"/>
          <w:sz w:val="20"/>
          <w:lang w:val="en-US" w:eastAsia="en-US" w:bidi="ar-SA"/>
        </w:rPr>
        <w:t xml:space="preserve"> discussed that the phrase "in respect of" must be considered by "looking to the context in which the words are found": see paras. 23-26.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What then is the connection between the terms of the Receivership Order, being Great Basin and its Property, and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Firstly, the directors and officers argue that the Action is "in respect of" Great Basin because the allegations concern the corporate actions of Great Basin, specifically as to the issuance of the 2009 prospectus by which the misrepresentations were said, at least in part, to have been made. As I have outlined above, the substance of the defences raised in the Action is that the directors and officers were acting in the course of their duties in those capacities and that, therefore, any misrepresentations are the misrepresentations of Great Basin and not of the directors and officers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Specifically, the officers and directors contend that the officer and director defendants in the Action could easily be replaced by simply naming Great Basin as a defendant given the causes of action advanced. While that may be true, one might wonder about the utility of doing so since the Applicant Creditors obviously have a more direct cause of action against Great Basin given the creditor/debtor relationship that currently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reality is that Great Basin is not named as a defendant in the Action even though it could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Further, I appreciate that the officers and directors have substantive defences to the Action. Those defences include that the directors and officers were only acting in the course of their duties and that they acted in a manner consistent with what the law requires.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will be met with the contention that the business judgment rule applies; allegations of breach of fiduciary and statutory duties will be met with the contention that their duties are owed to Great Basin, not to the Applicant Creditors as creditors, or that the claims are statute-barred.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Even so, a plain reading of the pleadings in the Action supports the view that the allegation is that the directors and officers are </w:t>
      </w:r>
      <w:r>
        <w:rPr>
          <w:rFonts w:ascii="arial" w:eastAsia="arial" w:hAnsi="arial" w:cs="arial"/>
          <w:i/>
          <w:color w:val="000000"/>
          <w:sz w:val="20"/>
          <w:lang w:val="en-US" w:eastAsia="en-US" w:bidi="ar-SA"/>
        </w:rPr>
        <w:t>personally</w:t>
      </w:r>
      <w:r>
        <w:rPr>
          <w:rFonts w:ascii="arial" w:eastAsia="arial" w:hAnsi="arial" w:cs="arial"/>
          <w:color w:val="000000"/>
          <w:sz w:val="20"/>
          <w:lang w:val="en-US" w:eastAsia="en-US" w:bidi="ar-SA"/>
        </w:rPr>
        <w:t xml:space="preserve"> liable for the actions or omissions by each of them. Accordingly, while many of the factual circumstances upon which those allegations are made involve Great Basin, that does not mean that the Action is "in respect of" Great Basin.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As the Applicant Creditors contend, if the language "in respect of" a corporate debtor is to be interpreted so broadly to encompass such claims against its directors and officers arising from their actions in that capacity, then a separate stay of proceedings against directors and officers (as was granted in the Initial Order) would never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argument of the directors and officers is also not assisted by the circumstances of the trust indenture issued by Great Basin that provided that there would be no recourse or personal liability against others, including directors and officers. Again, that document may form an important plank of the directors' and officers' defence against personal liability, but the fact that Great Basin issued that trust indenture does not mean that there is an inextricable connection between Great Basin and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Secondly, the directors and officers argue that their claim is "in respect of" Great Basin's Property, as defined in the Receivership Order. I would observe at the outset that the definition of Property in the Receivership Order is considerably narrower than that found in the Initial Order. As I will discuss below, that is an important factor in many aspects, including in interpreting the scope of the stay of proceedings imposed in both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and receivership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directors and officers also argue that this claim is "in respect of" Great Basin's Property arising from the circumstances of the indemnity agreement that Great Basin executed in favour of the directors and officers. However, if the Applicant Creditors are successful in the Action, they will recover judgment against the directors and officers personally, not against Great Basin to the extent that it may recover from its Property. At best, the indemnity agreement forms an independent contractual basis upon which the directors and officers might seek recovery from Great Basin. I agree that a third-party action by the directors and officers against Great Basin would obviously engage the stay of proceedings found in the Receivership Order. It seems clear enough why no such claim has been advanced, given that the directors and officers would in any event be unlikely to recover any judgment obtained given the substantial losses of even the secured creditors.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directors and officers argue that the Action is "in respect of" Great Basin's Property since the Directors' Charge was continued over the Property by the terms of the Termination Order and the Receivership Order. This represents a more substantial connection between the Action and Great Basin's Property than the above arguments, but is answered by the same points raised in relation to the indemnity. Again, this is an independent claim that might be advanced by the directors and officers against Great Basin and the Property. The fact that the directors and officers might in the future advance claims against the Property secured by the Directors' Charge, does not change the characterization of the claims of the Applicant Creditors which are not against Great Basin's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these circumstances, I cannot discern any connection or relationship between the relief sought in the Action and Great Basin and the Property, as defined in the Receivership Order. A plain reading of the Receivership Order evidences that the stay of proceedings was intended to maintain order in the realization proceedings that were then to be conducted by the Receiver in liquidating the assets of Great Basin. No issues are raised in the Action that directly affect the process by which that liquidation is to be accomplished by the Receiver.</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Applicable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Much of what I have discussed above includes the particular circumstances that were in existence leading up to the June 2013 hearing when the relief sought was granted in the Receivership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To summarize, the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proceedings had ceased to serve any purpose in that no restructuring was on the horizon. The only activities being conducted at the end were the sales of the gold-mining assets, and it was argued before the court that the proper person to conduct those later activities was a receiver. In that vein, the directors and officers were set to depart the scene in that their services were no longer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Indeed, upon the court order appointing the Receiver, the powers of the directors and officers ceased: see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S.B.C. 2002, c. 57, s. 105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that sense, the rationale behind continuing the stay of proceedings in favour of the directors and officers evaporated. There remained no useful purpose in continuing the stay in their favour. The matter of prejudice was not particularly argued before the court on June 28, 2013. However, in the main, the court would have intuitively recognized that a third party having a claim against the directors and officers would be prejudiced by the continuation of the stay and no corresponding prejudice was asserted by the directors and officers in terms of discontinuing the stay.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To put it another way, no evidence was presented upon which the court could have exercised its discretion in terms of continuing the extraordinary remedy of preventing actions being brought against Great Basin's directors and officers in the changed circumstances at play in June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directors and officers place considerable reliance on the reasoning and results found in </w:t>
      </w:r>
      <w:r>
        <w:rPr>
          <w:rFonts w:ascii="arial" w:eastAsia="arial" w:hAnsi="arial" w:cs="arial"/>
          <w:i/>
          <w:color w:val="000000"/>
          <w:sz w:val="20"/>
          <w:lang w:val="en-US" w:eastAsia="en-US" w:bidi="ar-SA"/>
        </w:rPr>
        <w:t>Sutherland v. Reeves,</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2014 BCCA 222</w:t>
        </w:r>
      </w:hyperlink>
      <w:r>
        <w:rPr>
          <w:rFonts w:ascii="arial" w:eastAsia="arial" w:hAnsi="arial" w:cs="arial"/>
          <w:color w:val="000000"/>
          <w:sz w:val="20"/>
          <w:lang w:val="en-US" w:eastAsia="en-US" w:bidi="ar-SA"/>
        </w:rPr>
        <w:t>. The court in that case had appointed a receiver, not to liquidate assets to pay debt, but to wind down the business and affairs of Tangerine, a limited partnership. Mr. Sutherland and Mr. Reeves, the main participants in the limited partnership, had substantial disputes concerning Tangerine's affairs. A stay of proceedings was imposed "in respect of" Tangerine and its property (as defined). Later still, Mr. Sutherland filed an action against Mr. Reeves alleging fraud in relation to the cancellation of shares in the general partner company and termination of a management services agreement. The Court of Appeal found that the interpretation of the stay of proceedings found in the receivership order should have prevented the filing of the later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While the analysis of the Court of Appeal is of some assistance on this application, I consider that the unique circumstances found in </w:t>
      </w:r>
      <w:r>
        <w:rPr>
          <w:rFonts w:ascii="arial" w:eastAsia="arial" w:hAnsi="arial" w:cs="arial"/>
          <w:i/>
          <w:color w:val="000000"/>
          <w:sz w:val="20"/>
          <w:lang w:val="en-US" w:eastAsia="en-US" w:bidi="ar-SA"/>
        </w:rPr>
        <w:t>Sutherland</w:t>
      </w:r>
      <w:r>
        <w:rPr>
          <w:rFonts w:ascii="arial" w:eastAsia="arial" w:hAnsi="arial" w:cs="arial"/>
          <w:color w:val="000000"/>
          <w:sz w:val="20"/>
          <w:lang w:val="en-US" w:eastAsia="en-US" w:bidi="ar-SA"/>
        </w:rPr>
        <w:t xml:space="preserve"> do not support a similar result here in that they provided an entirely different context in which to interpret a very different receivership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Firstly, the definition of "Property" in the receivership order in </w:t>
      </w:r>
      <w:r>
        <w:rPr>
          <w:rFonts w:ascii="arial" w:eastAsia="arial" w:hAnsi="arial" w:cs="arial"/>
          <w:i/>
          <w:color w:val="000000"/>
          <w:sz w:val="20"/>
          <w:lang w:val="en-US" w:eastAsia="en-US" w:bidi="ar-SA"/>
        </w:rPr>
        <w:t>Sutherland</w:t>
      </w:r>
      <w:r>
        <w:rPr>
          <w:rFonts w:ascii="arial" w:eastAsia="arial" w:hAnsi="arial" w:cs="arial"/>
          <w:color w:val="000000"/>
          <w:sz w:val="20"/>
          <w:lang w:val="en-US" w:eastAsia="en-US" w:bidi="ar-SA"/>
        </w:rPr>
        <w:t xml:space="preserve"> was stated by the court to be "undeniably broad" in that it referred to the "business, affairs, undertaking and assets" of Tangerine, which appears to have been operating as a business: para. 35. This expansive definition was clearly intended to encompass the entire business activities of Tangerine which had become dysfunctional by reason of the relationship of Mr. Sutherland and Mr. Reeves. The broader terms of "business" and "affairs" at issue in </w:t>
      </w:r>
      <w:r>
        <w:rPr>
          <w:rFonts w:ascii="arial" w:eastAsia="arial" w:hAnsi="arial" w:cs="arial"/>
          <w:i/>
          <w:color w:val="000000"/>
          <w:sz w:val="20"/>
          <w:lang w:val="en-US" w:eastAsia="en-US" w:bidi="ar-SA"/>
        </w:rPr>
        <w:t>Sutherland</w:t>
      </w:r>
      <w:r>
        <w:rPr>
          <w:rFonts w:ascii="arial" w:eastAsia="arial" w:hAnsi="arial" w:cs="arial"/>
          <w:color w:val="000000"/>
          <w:sz w:val="20"/>
          <w:lang w:val="en-US" w:eastAsia="en-US" w:bidi="ar-SA"/>
        </w:rPr>
        <w:t xml:space="preserve"> are not found in the Receivership Order, consistent with the lack of business activity of Great Basin and the intention to simply liquidate assets to pay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Secondly, it was evident that, although Mr. Sutherland had not named Tangerine as a defendant in his later action, his allegations were, in substance, about the infighting that had led to the receivership order in the first instance. Further, the relief sought included that relating to the shareholdings in Tangerine. The court found that Mr. Sutherland's action inherently involved the affairs and business of Tangerine, or was "in respect of" Tangerine: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Thirdly, the Court also found that Mr. Sutherland was obviously trying to do indirectly what he had been prevented from doing directly. His later action was the same as had been previously pled even before the receivership order and, as such, the order was characterized to capture such allegations: para.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What can be inferred from the decision in </w:t>
      </w:r>
      <w:r>
        <w:rPr>
          <w:rFonts w:ascii="arial" w:eastAsia="arial" w:hAnsi="arial" w:cs="arial"/>
          <w:i/>
          <w:color w:val="000000"/>
          <w:sz w:val="20"/>
          <w:lang w:val="en-US" w:eastAsia="en-US" w:bidi="ar-SA"/>
        </w:rPr>
        <w:t>Sutherland</w:t>
      </w:r>
      <w:r>
        <w:rPr>
          <w:rFonts w:ascii="arial" w:eastAsia="arial" w:hAnsi="arial" w:cs="arial"/>
          <w:color w:val="000000"/>
          <w:sz w:val="20"/>
          <w:lang w:val="en-US" w:eastAsia="en-US" w:bidi="ar-SA"/>
        </w:rPr>
        <w:t xml:space="preserve"> is that the court was attempting to bring order to a complex corporate situation which was chaotic and hamstrung by fighting between the parties. Mr. Sutherland was attempting to thwart that objective and his action had the potential to negatively affect the efforts of the receiver in dealing with the assets and business. In that sense, the objective behind the receivership order was more akin to the situation addressed by the Initial Order. Here, by the time of the Receivership Order, order had been achieved and the overall objective was to empower the Receiver, not the directors and officers, to continue the liquidation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What does resonate from the decision in </w:t>
      </w:r>
      <w:r>
        <w:rPr>
          <w:rFonts w:ascii="arial" w:eastAsia="arial" w:hAnsi="arial" w:cs="arial"/>
          <w:i/>
          <w:color w:val="000000"/>
          <w:sz w:val="20"/>
          <w:lang w:val="en-US" w:eastAsia="en-US" w:bidi="ar-SA"/>
        </w:rPr>
        <w:t>Sutherland</w:t>
      </w:r>
      <w:r>
        <w:rPr>
          <w:rFonts w:ascii="arial" w:eastAsia="arial" w:hAnsi="arial" w:cs="arial"/>
          <w:color w:val="000000"/>
          <w:sz w:val="20"/>
          <w:lang w:val="en-US" w:eastAsia="en-US" w:bidi="ar-SA"/>
        </w:rPr>
        <w:t>, but by way of distinction, is the court's conclusion that Mr. Sutherland's later action threatened to disturb the receivership process: para. 48. In contrast, there was no evidence at the time of the hearing on June 28, 2013 that the stay of proceedings in favour of the officers and directors was needed to protect the receivership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On a final note, the court in </w:t>
      </w:r>
      <w:r>
        <w:rPr>
          <w:rFonts w:ascii="arial" w:eastAsia="arial" w:hAnsi="arial" w:cs="arial"/>
          <w:i/>
          <w:color w:val="000000"/>
          <w:sz w:val="20"/>
          <w:lang w:val="en-US" w:eastAsia="en-US" w:bidi="ar-SA"/>
        </w:rPr>
        <w:t>Sutherland</w:t>
      </w:r>
      <w:r>
        <w:rPr>
          <w:rFonts w:ascii="arial" w:eastAsia="arial" w:hAnsi="arial" w:cs="arial"/>
          <w:color w:val="000000"/>
          <w:sz w:val="20"/>
          <w:lang w:val="en-US" w:eastAsia="en-US" w:bidi="ar-SA"/>
        </w:rPr>
        <w:t xml:space="preserve"> noted that Mr. Sutherland was only being prevented from bringing his action until the end of the receivership process: para. 50. By that time, the salutary effect of the stay would have been achieved and there would have been no longer any need to prejudice Mr. Sutherland by its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Similarly, here, the salutary effect of the stay in favour of Great Basin's directors and officers ended upon the granting of the Receivership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declare that the stay of proceedings in paragraph 12 of the Receivership Order does not apply to the Action for the above reasons. The Applicant Creditors are awarded their costs of the application as against the directors and officers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 FITZPATRICK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5"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96" w:history="1">
        <w:r>
          <w:rPr>
            <w:rFonts w:ascii="arial" w:eastAsia="arial" w:hAnsi="arial" w:cs="arial"/>
            <w:b/>
            <w:bCs/>
            <w:i/>
            <w:color w:val="0077CC"/>
            <w:kern w:val="32"/>
            <w:sz w:val="28"/>
            <w:szCs w:val="32"/>
            <w:u w:val="single"/>
            <w:shd w:val="clear" w:color="auto" w:fill="FFFFFF"/>
            <w:lang w:val="en-US" w:eastAsia="en-US" w:bidi="ar-SA"/>
          </w:rPr>
          <w:t>Dewar v. Crossland, [2018] B.C.J. No. 3017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 Abrioux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30, August 3,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August 10,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S116158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3017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1397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Robert Douglas Baker Dewar, Plaintiff, and Dennika Marie Crossland, John Charles Crossland, Georgina Crossland,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6"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5" w:name="Keywords_19"/>
      <w:bookmarkEnd w:id="135"/>
      <w:r>
        <w:rPr>
          <w:rFonts w:ascii="arial" w:eastAsia="arial" w:hAnsi="arial" w:cs="arial"/>
          <w:b/>
          <w:color w:val="000000"/>
          <w:sz w:val="20"/>
          <w:lang w:val="en-US" w:eastAsia="en-US" w:bidi="ar-SA"/>
        </w:rPr>
        <w:t>Civil litigation — Civil procedure — Estoppel — Estoppel by record (res judicata) — Cause of action — Action by plaintiff for amounts owing under agreement dismissed — Defendant brought action seeking division of family assets on basis that parties were in common-law relationship — Action and counterclaim were, by consent, dismissed with prejudice in relation to Family Law Act — Plaintiff's claims were dismissed on basis of cause of action estoppel — Plaintiff's argument that he could legitimately advance that his claims did not arise under Act because agreement was concluded after relationship would render cause of action estoppel meaningless.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6" w:name="Case Summary_18"/>
            <w:bookmarkEnd w:id="13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amounts owing under an agreement. The defendant brought an action seeking a division of family assets, including a residence, on the basis that the parties were in a common-law relationship. The plaintiff denied the claims and referred to an agreement between the parties respecting the residence and, in a counterclaim, said that the residence was his and that the defendant owed him money in relation to it. The action and the counterclaim were, by consent, dismissed with prejudice in relation to the Family Law Act. The plaintiff brought an action for amounts owing under the agreement. The defendant denied the existence of any agreement.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7" w:name="Holdings of Court_17"/>
            <w:bookmarkEnd w:id="137"/>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claims were dismissed on the basis of cause of action estoppel. He referred to the agreement in his response to civil claim and claimed amounts owing in the counterclaim. His argument that he could legitimately advance that his claims did not arise under the Family Law Act because the agreement was concluded after the relationship would effectively render cause of action estoppel meaningless.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8" w:name="Legislation Cited_16"/>
      <w:bookmarkEnd w:id="13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7"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Family Law Act, </w:t>
      </w:r>
      <w:r>
        <w:rPr>
          <w:rFonts w:ascii="arial" w:eastAsia="arial" w:hAnsi="arial" w:cs="arial"/>
          <w:i/>
          <w:color w:val="000000"/>
          <w:sz w:val="20"/>
          <w:lang w:val="en-US" w:eastAsia="en-US" w:bidi="ar-SA"/>
        </w:rPr>
        <w:t>S.B.C. 2011, c. 25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Scale 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9" w:name="Counsel_19"/>
      <w:bookmarkEnd w:id="13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8" style="position:absolute;z-index:2517811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appearing in person: Robert Dewar.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defendants, appearing in person: Dennika Crossland, John Crossland, Georgina Crossland.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0" w:name="Judgment_19"/>
      <w:bookmarkEnd w:id="140"/>
      <w:r>
        <w:pict>
          <v:line id="_x0000_s1129" style="position:absolute;z-index:2518323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DISCUSSION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A: The Legal Effect of the dismissal of the Claim and Counterclaim in the First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CONCLUSIONS AND 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1" w:name="P. ABRIOUX J. (orally)"/>
            <w:bookmarkEnd w:id="141"/>
            <w:r>
              <w:rPr>
                <w:rFonts w:ascii="arial" w:eastAsia="arial" w:hAnsi="arial" w:cs="arial"/>
                <w:b/>
                <w:color w:val="000000"/>
                <w:sz w:val="30"/>
                <w:lang w:val="en-US" w:eastAsia="en-US" w:bidi="ar-SA"/>
              </w:rPr>
              <w:t>P. ABRIOUX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can be characterized as "round 2" of litigation between the plaintiff, Mr. Dewar, and the defendant, Ms. Crossland, arising out of their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Round 1 was a proceeding commenced by Ms. Crossland against Mr. Dewar in the Supreme Court of British Columbia out of the Kelowna Registry on September 25, 2015, being action #10873 (the "First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the First Action, Ms. Crossland sought relief under the </w:t>
      </w:r>
      <w:r>
        <w:rPr>
          <w:rFonts w:ascii="arial" w:eastAsia="arial" w:hAnsi="arial" w:cs="arial"/>
          <w:i/>
          <w:color w:val="000000"/>
          <w:sz w:val="20"/>
          <w:lang w:val="en-US" w:eastAsia="en-US" w:bidi="ar-SA"/>
        </w:rPr>
        <w:t>Family Law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2011, c. 25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FLA</w:t>
      </w:r>
      <w:r>
        <w:rPr>
          <w:rFonts w:ascii="arial" w:eastAsia="arial" w:hAnsi="arial" w:cs="arial"/>
          <w:color w:val="000000"/>
          <w:sz w:val="20"/>
          <w:lang w:val="en-US" w:eastAsia="en-US" w:bidi="ar-SA"/>
        </w:rPr>
        <w:t>], which included a claim for support and a division of alleged family assets on the basis that the parties had been in a common-law relationship until August 2015. In his response, Mr. Dewar denied the length of the relationship and Ms. Crossland's claims generally. He also filed a counterclaim to which I shall return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Both the action and the counterclaim were dismissed by consent on October 24, 2016 (the "Consent Order"). It bears mentioning that Mr. Dewar represented himself at all times in that proceeding including drafting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He commenced this proceeding on July 27, 2017 against Ms. Crossland and her parents, Mr. and Mrs. Crossland, with a response on behalf of all defendants being filed on August 15,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Dewar seeks pecuniary damages against Ms. Crossland for amounts he says were incurred by him, or that he should have received pursuant to an agreement made during their relationship, which he says was concluded after the common-law relationship had ended. He also seeks damages against her in defamation. Against all three defendants he alleges a conspiracy to harm him in the First Action. He also seeks orders "to restore his reputation" as a result of what he says was the defendants' wrongful conduct in relation to bringing the First Action for improper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claim, in so far as Mr. and Mrs. Crossland are concerned, can be summarized as supporting their daughter, including filing affidavits in the First Action "without making due diligence" as to the merits of her case and/or contacting him to obtain his version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the commencement of the trial an issue arose regarding Ms. Crossland's ability to be present at the trial and/or represent herself. She presented a note from her family physician, Dr. Verster, dated June 11, 2018 outlining her medical difficulties which include anxiety and depression, and which concludes "it is my opinion that she will be unfit to attend any hearing or court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Crossland did not seek an adjournment of the trial but presented the note as an indication of the difficulties she may experience in representing herself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All the parties were self represented. Having observed Ms. Crossland for the entire trial I am satisfied that she was able to adequately represent herself. Quite understandably, she was not knowledgeable of the various legal principles that may apply to different issues but she was relatively well organized in her cross examinations and with the court's assistance was able to give her evidence in direct examination on the material issues. She also, in my view, was able to adequately respond during her cross examination by Mr. Dewar.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Notwithstanding the conclusions I have reached with respect to cause of action estoppel later in these reasons, I do need to set out some of the main points arising from the evidence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Dewar who is 53 years old at the time of the trial worked in the musical industry for many years as a studio engineer and professional guitarist.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February 2012, Mr. Dewar became aware that he was to receive a substantial inheritance in the amount of $1.8 million from a family member. He actually started receiving the funds in the fall of 2012, which caused him to then look for investment opportunities.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Crossland moved to Kelowna from Cold Lake, Alberta in 2003. She has a history of bipolar disorder and has been on a disability pension for many years. She moved to Kelowna with her son, who was in Grade 6 at the time, to be close to her parents who had moved to Kelowna from Cold Lake approximately two years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Crossland was a civilian employee at CFB Cold Lake for the better part of his career, but had been involved in a tragic diving accident which rendered him a paraplegic. Mrs. Crossland had been a care worker and mental health worker in Cold Lake. It had always been their intention to retire to Kelowna where much of Mrs. Crossland's family resides, but they took an early retirement due to Mr. Crossland's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Shortly after Ms. Crossland's arrival in Kelowna she purchased a mobile home on Green Bay Road in West Kelowna using a $10,000 inheritance she had received. She lived there with her son until December 2012 when she moved to a property, which I shall refer to as the "McQueen Residence". Her income until she met Mr. Dewar consisted of her disability benefits and some monies earned cleaning houses and doing odd jobs on a part-time basis. From the evidence, I estimate that at the time she met Mr. Dewar, her income from these jobs was at most $150/week.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Dewar and Ms. Crossland met in early July 2010. At the time, Mr. Dewar was living in a rental apartment in Penticton, B.C. Ms. Crossland was living in her mobile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is some dispute between them as to when the common-law relationship actually commenced and when it ended. Mr. Dewar acknowledges that there was a common-law relationship which he says commenced in the new year of 2011 when he gave up his Penticton apartment, and ended in late 2012, when he purchased the McQueen Residence, which is where Ms. Crossland then moved to. Shortly before, he had purchased a residence for himself in Summerland, B.C. He says that the common-law relationship ended when the couple no longer resided at the mobile home, and Ms. Crossland lived at the McQueen Residence while he had his own residence in Summerland.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 also acknowledged that the couple continued to have a relationship after this time which included a sexual relationship and that they remained close. He says that any financial assistance he provided to Ms. Crossland was from the perspective of a friend making a business investment, not a spouse. He was looking for investment opportunities, wanted to help Ms. Crossland "better herself", which would involve assisting her in exploring careers and then invest in them so that she no longer needed to clean houses and would be able to move away from the mobile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Dewar's evidence was that in late December 2012, shortly before or at the time the McQueen Residence was purchased, he and Ms. Crossland entered into an agreement. He prepared a partially written "agreement for sale" document (the "AFS"), which was never finalized in written form nor signed by the parties. According to him, the AFS was finalized verbally within the context of a broader agreement and Ms. Crossland's conduct is consistent with an agreement being finalized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For ease of reference, I shall refer to this alleged broader agreement as "the Agreement" in order to differentiate it from the draft AFS document, although Ms. Crossland vehemently denies the existence of any agreement and testified that the funds paid to her, or on her behalf by Mr. Dewar, including the McQueen Residence or for the various businesses, were gifts or expenses made during an ongoing common-law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any event, the Agreement according to Mr. Dewar included the following principal terms, some of which are set out in the AFS:</w:t>
      </w:r>
      <w:r>
        <w:rPr>
          <w:rFonts w:ascii="arial" w:eastAsia="arial" w:hAnsi="arial" w:cs="arial"/>
          <w:sz w:val="20"/>
          <w:lang w:val="en-US" w:eastAsia="en-US" w:bidi="ar-SA"/>
        </w:rPr>
        <w:cr/>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would purchase the McQueen Residence for Ms. Crossland, the property to be registered in his name, which it was;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his assistance, Ms. Crossland would pursue certain business opportunities which included an at-home massage business;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Crossland would make her best efforts to pursue a change in career such that her income would increase from what it had been with the expectation that she, over time, would repay him his capital investment (referred to as the Principal Capital Investment in the AFS), being the $395,000 purchase price for the McQueen Residence, as well as any funds paid on her behalf in relation to the various business opportunities she pursued. When the Capital Investment was repaid, title to the McQueen Residence would be transferred to her;</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mobile home would be transferred to him as an initial payment of his capital investment at an agreed price of $30,000; and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mobile home would be upgraded and rented with the rent paid to him on account of the funds owing to him under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According to Mr. Dewar, Ms. Crossland's mobile home was extensively upgraded by him, and ultimately tenanted. He acknowledges that Ms. Crossland performed some labour regarding the renovations and he credited her with this as "contra", that is on account of what she owed him under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According to Mr. Dewar, three different business start-ups were invested in at Ms. Crossland's behest, the principal one being an at-home massage clinic. He also paid for her massage certification courses.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Despite what he described as "significant investments, encouragement, assistance and exceptional patience" on his part, Mr. Dewar testified that Ms. Crossland did not effectively pursue any of the businesses, preferring to make her somewhat marginal cleaning business a priority.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Despite his admonitions that she remain committed and work to develop her new business(es), she began taking trips away, spending money and ultimately, coming up short of cash and not keeping her part of the Agreement to pay the plaintiff her "rents" each month, nor to cover her water and garbage collection costs. As costs mounted and progress slowed, Mr. Dewar says he became more vocal about the need for Ms. Crossland to apply herself to her chosen developing business, as had been agreed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Again, according to Mr. Dewar, circumstances between the parties grew more tense to the point of non-communication, and what he asserts was a wilful default by Ms. Crossland of her obligations under the Agreement. This was in October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Not only did Ms. Crossland not communicate with him, Mr. Dewar says that she commenced the First Action in late September 2015 without notice, and obtained a protection order and exclusive possession of the McQueen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Dewar's evidence was that the orders made in the First Action prevented him from attending his own property, being the McQueen Residence, and obtaining the rents from three tenancies, that is the mobile home, the premises occupied by Ms. Crossland on the McQueen Residence, and the basement suite at the McQueen Residence, which was also rented. In addition, he had to pay expenses associated with the mobile home and the McQueen Residence, including property taxes, all contrary to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Dewar testified that the severe lack of cash flow caused by Ms. Crossland's actions resulted in his having to redeem the McQueen Residence from a municipal tax sale in 2016. He says he had to grant an easement on his Summerland property in order to raise the funds to do so, none of which would have been required had Ms. Crossland not improperly commenced the First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Dewar also takes serious issue with Ms. Crossland's other claims in the First Action, which he says portrayed him as an abusive, bullying, dangerous man with a determination to harm the Crossland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His claim in defamation against Ms. Crossland arises out of what he says is a text message sent to a real estate agent, Ms. Monique Kaetler, which contained the results of a search regarding civil proceedings involving a person having the same name. He says that the "injurious and inaccurate information regarding the plaintiff to a third party by text message... without any diligence done to verify the true identity of the similarly-named and very litigious individual purported to be the plaintiff" caused him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Crossland's version of events is quite different. She testified that she and Mr. Dewar maintained a common-law relationship from early July 2010 through until August 2015. She says that although what occurred in late 2012 was unusual in that each had their own residence, this is what Mr. Dewar wanted to occur. She testified that they maintained a common-law relationship, albeit living in separate homes until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She also testified that there was never an Agreement between them as alleged by Mr. Dewar. He had funds obtained from his inheritance, she had her mobile home and a limited income, and his desire for her to "better herself", which in many ways she was grateful for, arose within the context of their common-law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Crossland testified that she was grateful to Mr. Dewar for the financial help he had provided to her, and maintained that the McQueen Residence was to be her property. She acknowledged what she considered a moral obligation to attempt to contribute to expenses as best she could. She said that while some of the texts exchanged between the parties referred to "rent", this was a term which originated with Mr. Dewar. She described him as progressively becoming more controlling and verbally abusive to the point that he said things such as "you don't know how to talk the Queen's English" and "you're trailer trash and you should go back to your 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Crossland did not testify. Mrs. Crossland, who I find on the whole to be a credible and reliable witness, generally corroborated her daughter's account of the relationship. I found her evidence to be of assistance in describing Mr. Dewar and Ms. Crossland's interactions based on her own observations over time, rather than for repeating what Ms. Crossland may have told her about the McQueen Residence being her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Mrs. Crossland clearly had serious reservations about the relationship from the outset. She described Mr. Dewar as controlling her daughter and being the driving force to her "bettering herself". She said that her daughter's long-standing mental health problems made her prone to changing her mind and being unable to focus on given tasks for any extended periods of time. The gist of her evidence was that her daughter, prior to meeting the plaintiff, was generally functioning to her abilities, living in her mobile home on her disability benefits and the modest additional income she earned cleaning houses. She believed that the businesses that Mr. Dewar wanted to assist her daughter in developing were likely unrealistic.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Mrs. Crossland testified that she had a very close relationship with her daughter but was not privy to her financial arrangements with Mr. Dewar, due to the fact that her daughter was an adult and did not want to get her involved in such matters. Mrs. Crossland was wary of the amount of money Mr. Dewar spent on her daughter, but she saw this within the context of an unusual relationship which had them living their lives as a couple albeit in different residences.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shall now turn to the consent dismissal of the First Action including the counterclaim in October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that regard, Ms. Crossland swore an affidavit before her then lawyer in which she stated:</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commenced the First Action on her own;</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a trial management conference on July 6, 2016 she received Mr. Dewar's documentary disclosure which she reviewed with her lawyer;</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her lawyer's advice she no longer believed her claim would succeed and did not want to proceed to trial;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affidavit was sworn "in support of my application for leave to withdraw my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Crossland testified that she agreed to a consent dismissal of her action because her legal aid lawyer had made it clear to her that the ambit of the proceeding went beyond what could be done by a legal aid lawyer. She said that she was emotionally drained and did not want to have her claims dismissed, but felt she had no other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Dewar, for his part testified that he felt obliged to agree to the dismissal of both the claim and his counterclaim because Ms. Crossland's lawyer had told him that he would not get the keys to the McQueen Residence unless he did. He acknowledged in his rebuttal evidence that he understood claims raised in the First Action claim and counterclaim were dismissed "but any claims outside of what was raised in the claim or the counterclaim would survive".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Dewar testified that when he did receive the keys to the McQueen Residence he discovered what he considered to be "a significant cleanup job, and also the disappearance of a quad ATV normally used at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He went on to say that despite Ms. Crossland's "discontinuation" he was not paid costs of the First Action and that neither she nor her parents responded to a number of letters written to them, requesting settlement discussions. Accordingly, as stated in his written summary of argument: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Left with no other avenues of recourse, and after clearly warning the defendants, the plaintiff filed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will very briefly comment on the evidence of Ms. Correll Brinck and Mr. Philip Hare.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Brinck was a very good friend of Ms. Crossland's, but who took offence to Ms. Crossland trying to involve her in the First Action by requesting her to swear an affidavit stating that she (i.e. Ms. Brinck) understood the McQueen Residence to be Ms. Crossland's property. She did not do so because she did not believe that to be the case. It appears that she and Mr. Dewar did have a form of relationship at the time the First Action was in its final stages, the details of which are not clear to me, which may also have been a factor in her not wanting to be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By the time she testified, however, Ms. Brinck was clearly very distressed at both parties. Her husband has recently been diagnosed with cancer and she was outraged that Mr. Dewar would have subpoenaed her to come to Kelowna from Victoria where she resides during a most difficult time in her life "to be involved in this fight between five year olds who are wasting the taxpayers'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Hare is a real estate agent who has assisted Mr. Dewar over the years. He testified that it was clear to him that Mr. Dewar was investing in the McQueen Residence and Ms. Crossland was not obtaining the property herself in the course of her relationship with Mr. Dewar, but this evidence was primarily hearsay. What is significant is that he testified he advised Mr. Dewar "to get things in writing to protect his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Legal Effect of the Dismissal of the Claim and Counterclaim in the First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As I have noted, Ms. Crossland sought relief in the First Action under the </w:t>
      </w:r>
      <w:r>
        <w:rPr>
          <w:rFonts w:ascii="arial" w:eastAsia="arial" w:hAnsi="arial" w:cs="arial"/>
          <w:i/>
          <w:color w:val="000000"/>
          <w:sz w:val="20"/>
          <w:lang w:val="en-US" w:eastAsia="en-US" w:bidi="ar-SA"/>
        </w:rPr>
        <w:t>FLA</w:t>
      </w:r>
      <w:r>
        <w:rPr>
          <w:rFonts w:ascii="arial" w:eastAsia="arial" w:hAnsi="arial" w:cs="arial"/>
          <w:color w:val="000000"/>
          <w:sz w:val="20"/>
          <w:lang w:val="en-US" w:eastAsia="en-US" w:bidi="ar-SA"/>
        </w:rPr>
        <w:t>, which included support and a division of alleged family assets including the McQueen Residence on the basis that the parties had been in a common-law relationship until August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his response to civil claim:</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Dewar denied the length of the relationship and Ms. Crossland's claims generally;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referred specifically to an "agreement for sale" between the parties "that the Claimant is now disregarding while attempting to claim the property as a gift".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his counterclaim, Mr. Dewar:</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alleges that the McQueen Residence was his property, not a gift to Ms. Crossland;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refers to Ms. Crossland having made "many written statements in text messages to the Respondent, which show that she is fully aware of her indebtedness to him in regard of the property, and of her involvement in a contract to pay out the value of the property and acquire title to it";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sought relief which included that the mobile home be transferred to him "free and clear...in lieu of the repayment of $5500 depreciated investment by the respondent (over $7000 initial cash investment) into the mobile home, plus unpaid and unlawfully intercepted rents, contractually due to the respondent totalling some $18,400, plus additional compensation of time and harm done to the respondent through this wrongful civil action";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sought an interest in a trailer "purchased by the claimant through the fraudulent conversion of the respondent's utility trailer (a business asset) valued at $3000";</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sought relief in relation to the "Yamaha quad" ATV with blade purchased by the respondent as a winter snow-clearing machine for use at...McQueen value $5000";</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requested that in lieu of transferring title to the mobile home, Ms. Crossland was to pay totality of "her own back rents" and rents intercepted from basement suite tenant and "depreciated value of my investment into upgrades to the mobile home of $5500";</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sought that Ms. Crossland pay the full amount of overdue property taxes she failed to pay during her tenancy of the subject property;</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requested, in lieu of transferring title to the mobile home, that Ms. Crossland pay a minimal value in compensation for Mr. Dewar's lost time, expenses and costs for the harm, stress and discomfort caused "due to her wrongdoing and fraud in the amount of $30,000";</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requested, in the alternative, that Ms. Crossland transfer title to the mobile home and pay Mr. Dewar $30,275 "plus any damage costs as may apply to McQueen following her departure";</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requested that Ms. Crossland provide at her own expense a letter of apology "of her slander against me...and confirm her slanderous statements...are falsehoods...thus restoring my good name..."; and</w:t>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sought the filing and pressing of criminal charges of "perjury, theft and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her response in this proceeding, Ms. Crossland, who at the time was represented by counsel, in addition to denying the existence of the Agreement specifically pleads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alleges that this proceeding amounts to an abuse of process in light of the consent dismissal orders in the First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at para. 23, the court provided the following summary of issue estoppel: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Issue estoppel is a branch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(the other branch being cause of action estoppel), which precludes the relitigation of issues previously decided in court in another proceeding. For issue estoppel to be successfully invoked, three preconditions must be met: (1) the issue must be the same as the one decided in the prior decision; (2) the prior judicial decision must have been final; and (3) the parties to both proceedings must be the same, or their privies (</w:t>
      </w:r>
      <w:r>
        <w:rPr>
          <w:rFonts w:ascii="arial" w:eastAsia="arial" w:hAnsi="arial" w:cs="arial"/>
          <w:i/>
          <w:color w:val="000000"/>
          <w:sz w:val="20"/>
          <w:lang w:val="en-US" w:eastAsia="en-US" w:bidi="ar-SA"/>
        </w:rPr>
        <w:t xml:space="preserve">Danyluk v. Ainsworth Technologies Inc., </w:t>
      </w:r>
      <w:hyperlink r:id="rId246" w:history="1">
        <w:r>
          <w:rPr>
            <w:rFonts w:ascii="arial" w:eastAsia="arial" w:hAnsi="arial" w:cs="arial"/>
            <w:i/>
            <w:color w:val="0077CC"/>
            <w:sz w:val="20"/>
            <w:u w:val="single"/>
            <w:shd w:val="clear" w:color="auto" w:fill="FFFFFF"/>
            <w:lang w:val="en-US" w:eastAsia="en-US" w:bidi="ar-SA"/>
          </w:rPr>
          <w:t>[2001] 2 S.C.R. 460</w:t>
        </w:r>
      </w:hyperlink>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2001 SCC 44</w:t>
        </w:r>
      </w:hyperlink>
      <w:r>
        <w:rPr>
          <w:rFonts w:ascii="arial" w:eastAsia="arial" w:hAnsi="arial" w:cs="arial"/>
          <w:color w:val="000000"/>
          <w:sz w:val="20"/>
          <w:lang w:val="en-US" w:eastAsia="en-US" w:bidi="ar-SA"/>
        </w:rPr>
        <w:t xml:space="preserve"> (CanLII), at para. 25,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Binnie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Berthin v. Berthin</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2018 BCCA 177</w:t>
        </w:r>
      </w:hyperlink>
      <w:r>
        <w:rPr>
          <w:rFonts w:ascii="arial" w:eastAsia="arial" w:hAnsi="arial" w:cs="arial"/>
          <w:color w:val="000000"/>
          <w:sz w:val="20"/>
          <w:lang w:val="en-US" w:eastAsia="en-US" w:bidi="ar-SA"/>
        </w:rPr>
        <w:t>, the Court of Appeal summarized cause of action estoppel this way at paras. 9-10: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Cause of action estoppel is a form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 legal doctrine that aims to ensure finality and prevent repeated litigation of the same issues between the same parties:... Briefly put, cause of action estoppel "prevents a litigant from pursuing a matter that was or should have been the subject of a previous proceeding"... Despite its name, cause of action estoppel is not limited only to proceedings alleging the same cause of action. </w:t>
      </w:r>
      <w:r>
        <w:rPr>
          <w:rFonts w:ascii="arial" w:eastAsia="arial" w:hAnsi="arial" w:cs="arial"/>
          <w:color w:val="000000"/>
          <w:sz w:val="20"/>
          <w:u w:val="single"/>
          <w:lang w:val="en-US" w:eastAsia="en-US" w:bidi="ar-SA"/>
        </w:rPr>
        <w:t>It "also applies to bar subsequent proceedings covering the same subject matter and arising out of the same relationship between the parties, even though the second litigation may be based on a different legal description or conception of the issues"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traditional criteria for cause of action estoppel were summarized by Justice Bouck, referring to </w:t>
      </w:r>
      <w:r>
        <w:rPr>
          <w:rFonts w:ascii="arial" w:eastAsia="arial" w:hAnsi="arial" w:cs="arial"/>
          <w:i/>
          <w:color w:val="000000"/>
          <w:sz w:val="20"/>
          <w:lang w:val="en-US" w:eastAsia="en-US" w:bidi="ar-SA"/>
        </w:rPr>
        <w:t>Town of Grandview v. Doering</w:t>
      </w:r>
      <w:r>
        <w:rPr>
          <w:rFonts w:ascii="arial" w:eastAsia="arial" w:hAnsi="arial" w:cs="arial"/>
          <w:color w:val="000000"/>
          <w:sz w:val="20"/>
          <w:lang w:val="en-US" w:eastAsia="en-US" w:bidi="ar-SA"/>
        </w:rPr>
        <w:t xml:space="preserve">, </w:t>
      </w:r>
      <w:hyperlink r:id="rId398" w:history="1">
        <w:r>
          <w:rPr>
            <w:rFonts w:ascii="arial" w:eastAsia="arial" w:hAnsi="arial" w:cs="arial"/>
            <w:i/>
            <w:color w:val="0077CC"/>
            <w:sz w:val="20"/>
            <w:u w:val="single"/>
            <w:shd w:val="clear" w:color="auto" w:fill="FFFFFF"/>
            <w:lang w:val="en-US" w:eastAsia="en-US" w:bidi="ar-SA"/>
          </w:rPr>
          <w:t>[1976] 2 S.C.R. 621</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Cobb v. Holding Lumber Co</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(1977), 79 D.L.R. (3d) 332</w:t>
        </w:r>
      </w:hyperlink>
      <w:r>
        <w:rPr>
          <w:rFonts w:ascii="arial" w:eastAsia="arial" w:hAnsi="arial" w:cs="arial"/>
          <w:color w:val="000000"/>
          <w:sz w:val="20"/>
          <w:lang w:val="en-US" w:eastAsia="en-US" w:bidi="ar-SA"/>
        </w:rPr>
        <w:t xml:space="preserve"> at 344 (B.C.S.C.):</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given matter becomes the subject of litigation the law requires the parties to bring forward their whole case.</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applies where the issue sought to be litigated anew was not pursued in the first action either through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inadvertence or even accident and covers every point which properly belonged to the first action.</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special circumstances one party may be allowed to pursue the same matter in a second action but only if he can show that the new facts he has discovered could not have been ascertained by reasonable diligence on his part and presented by him in the first action.</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burden lies upon the party who brings the second action to at least allege the new facts could not have been ascertained by reasonable diligence in the first instance.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Cause of action estoppel can also relate to claims brought against parties who were not, but could have been, included in the original action if their interests could have been affected: </w:t>
      </w:r>
      <w:r>
        <w:rPr>
          <w:rFonts w:ascii="arial" w:eastAsia="arial" w:hAnsi="arial" w:cs="arial"/>
          <w:i/>
          <w:color w:val="000000"/>
          <w:sz w:val="20"/>
          <w:lang w:val="en-US" w:eastAsia="en-US" w:bidi="ar-SA"/>
        </w:rPr>
        <w:t>Berthin</w:t>
      </w:r>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have concluded that the plaintiff's claims in this proceeding -- with the exception of the expenses incurred with respect to the McQueen Residence after Mr. Dewar obtained the keys, the claims based on defamation and the tort of civil conspiracy--should be dismissed on the basis of cause of action estoppel although, arguably, all of the claims could be dismissed on this ground. Mr. and Mrs. Crossland's interests could also have been affected by the issues raised in the First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It is clear, in my view, that Mr. Dewar in this proceeding is attempting to re-litigate issues that arise from the First Action, including his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This is seen by reference to the agreement for sale in his response to civil claim in the First Action and the claims for "rent" and other amounts allegedly owing to him pursuant to the Agreement, although it was not named as such in the counterclaim. The relief sought in the counterclaim includes virtually all the claims now brought in this action, including:</w:t>
      </w:r>
      <w:r>
        <w:rPr>
          <w:rFonts w:ascii="arial" w:eastAsia="arial" w:hAnsi="arial" w:cs="arial"/>
          <w:sz w:val="20"/>
          <w:lang w:val="en-US" w:eastAsia="en-US" w:bidi="ar-SA"/>
        </w:rPr>
        <w:cr/>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misappropriating of rent;</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transferring title to the mobile home as compensation "regarding the financial debts owed to me";</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compensation in lieu of title to the mobile home;</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his loss time expended in the "wrongful civil action" and for the "harm, stress and discomfort caused to me due to her wrongdoing and fraud...";</w:t>
      </w:r>
    </w:p>
    <w:p>
      <w:pPr>
        <w:numPr>
          <w:numId w:val="3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compensation for the damage done to his reputation including "her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Ms. Crossland's) slander against me and an apology therfor..."; and</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relief in relation to the "quad" ATV.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consent dismissal order dated October 24, 2016 provides in part that:</w:t>
      </w:r>
      <w:r>
        <w:rPr>
          <w:rFonts w:ascii="arial" w:eastAsia="arial" w:hAnsi="arial" w:cs="arial"/>
          <w:sz w:val="20"/>
          <w:lang w:val="en-US" w:eastAsia="en-US" w:bidi="ar-SA"/>
        </w:rPr>
        <w:cr/>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consent, the Claimant's claim is dismissed with prejudice in relation to the </w:t>
      </w:r>
      <w:r>
        <w:rPr>
          <w:rFonts w:ascii="arial" w:eastAsia="arial" w:hAnsi="arial" w:cs="arial"/>
          <w:i/>
          <w:color w:val="000000"/>
          <w:sz w:val="20"/>
          <w:lang w:val="en-US" w:eastAsia="en-US" w:bidi="ar-SA"/>
        </w:rPr>
        <w:t>FLA</w:t>
      </w:r>
      <w:r>
        <w:rPr>
          <w:rFonts w:ascii="arial" w:eastAsia="arial" w:hAnsi="arial" w:cs="arial"/>
          <w:color w:val="000000"/>
          <w:sz w:val="20"/>
          <w:lang w:val="en-US" w:eastAsia="en-US" w:bidi="ar-SA"/>
        </w:rPr>
        <w:t>; and</w:t>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consent, the Respondent's counterclaim is dismissed with prejudice in relation to the </w:t>
      </w:r>
      <w:r>
        <w:rPr>
          <w:rFonts w:ascii="arial" w:eastAsia="arial" w:hAnsi="arial" w:cs="arial"/>
          <w:i/>
          <w:color w:val="000000"/>
          <w:sz w:val="20"/>
          <w:lang w:val="en-US" w:eastAsia="en-US" w:bidi="ar-SA"/>
        </w:rPr>
        <w:t>FLA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order also provided that, by consent, Ms. Crossland would forthwith vacate the McQueen Residence and remove the certificate of pending litigation filed against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his submissions, Mr. Dewar emphasized that the consent dismissal order refers to the </w:t>
      </w:r>
      <w:r>
        <w:rPr>
          <w:rFonts w:ascii="arial" w:eastAsia="arial" w:hAnsi="arial" w:cs="arial"/>
          <w:i/>
          <w:color w:val="000000"/>
          <w:sz w:val="20"/>
          <w:lang w:val="en-US" w:eastAsia="en-US" w:bidi="ar-SA"/>
        </w:rPr>
        <w:t>FLA</w:t>
      </w:r>
      <w:r>
        <w:rPr>
          <w:rFonts w:ascii="arial" w:eastAsia="arial" w:hAnsi="arial" w:cs="arial"/>
          <w:color w:val="000000"/>
          <w:sz w:val="20"/>
          <w:lang w:val="en-US" w:eastAsia="en-US" w:bidi="ar-SA"/>
        </w:rPr>
        <w:t xml:space="preserve">. Essentially, he argues that he can legitimately advance in this proceeding that his claims do not arise under the </w:t>
      </w:r>
      <w:r>
        <w:rPr>
          <w:rFonts w:ascii="arial" w:eastAsia="arial" w:hAnsi="arial" w:cs="arial"/>
          <w:i/>
          <w:color w:val="000000"/>
          <w:sz w:val="20"/>
          <w:lang w:val="en-US" w:eastAsia="en-US" w:bidi="ar-SA"/>
        </w:rPr>
        <w:t>FLA</w:t>
      </w:r>
      <w:r>
        <w:rPr>
          <w:rFonts w:ascii="arial" w:eastAsia="arial" w:hAnsi="arial" w:cs="arial"/>
          <w:color w:val="000000"/>
          <w:sz w:val="20"/>
          <w:lang w:val="en-US" w:eastAsia="en-US" w:bidi="ar-SA"/>
        </w:rPr>
        <w:t xml:space="preserve"> since he disputes whether there was an ongoing common-law relationship after December 2012, and most of what he claims arises from the Agreement, which did not arise in a common-law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 disagree. These claims are all subject to the principles arising from cause of action estoppel which I have described. In my view reference to the </w:t>
      </w:r>
      <w:r>
        <w:rPr>
          <w:rFonts w:ascii="arial" w:eastAsia="arial" w:hAnsi="arial" w:cs="arial"/>
          <w:i/>
          <w:color w:val="000000"/>
          <w:sz w:val="20"/>
          <w:lang w:val="en-US" w:eastAsia="en-US" w:bidi="ar-SA"/>
        </w:rPr>
        <w:t>FLA</w:t>
      </w:r>
      <w:r>
        <w:rPr>
          <w:rFonts w:ascii="arial" w:eastAsia="arial" w:hAnsi="arial" w:cs="arial"/>
          <w:color w:val="000000"/>
          <w:sz w:val="20"/>
          <w:lang w:val="en-US" w:eastAsia="en-US" w:bidi="ar-SA"/>
        </w:rPr>
        <w:t xml:space="preserve"> in the consent dismissal order cannot have the restrictive meaning Mr. Dewar now asserts, particularly when he acknowledges that claims in the First Action are subject to the consent dismissal order. His submission would effectively render cause of action estoppel meaningless.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Dewar's clear acknowledgment at the trial in this proceeding that he is claiming damages arising from the defendants' conduct arising from the First Action confirms to me that cause of action estoppel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Crossland testified that when she agreed to the consent order she considered all issues between her and Mr. Dewar to be at an end. This is entirely understandable particularly when one considers what was sought by Mr. Dewar in the counterclaim. Why would she agree to a dismissal of the First Action and give immediate possession of the McQueen Residence if Mr. Dewar was then free to commence a separate proceeding "for the wrongs done in the First Action", particularly when they were all raised or should have been raised in the counter claim? This also applies to the claims against Mr. and Mrs. Crossland.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Further, there is no evidence before me, as for example communications between Mr. Dewar and Ms. Crossland's then counsel, as to what claims would survive the consent dismissal order, if any. The only logical conclusion to draw from this is that there was no such agreement, which is entirely consistent with the terms of the consent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his submissions, Mr. Dewar often used the term "discontinued" interchangeably with "dismissed", and he argued that there was no hearing of evidence in the First Action. But this argument, with respect, shows a misunderstanding of the legal effect of a consent dismissal order, which is to the effect that the claims are dismissed as if there had been a trial on the merits, and a discontinuance, which permits the claims to be raised in a separate proceeding subject, for example, to a limitation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Some of the claims Mr. Dewar advances in this proceeding arguably may not be affected by cause of action estoppel, but they are very limited in nature. Examples would be out of pocket expenses incurred after he obtained the keys to the McQueen Residence, that is after the consent dismissal order, and the allegations of defamation and/or civil conspiracy which relate to Mr. and Mrs. Crossland.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so far as out of pocket expenses upon obtaining possession of the McQueen Residence are concerned, I find the evidence to be lacking. At most, the alleged damages relate to a few hours of Mr. Dewar's time "and some loads at the dump". Without more, I would characterize this claim as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in nature and would not award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Dewar also seeks damages relating to his inability to access the McQueen Residence after the First Action was commenced. This claim is governed by cause of action estoppel based on the extensive relief sought in the counterclaim. In any event I would dismiss this claim since the order providing exclusive possession of the McQueen Residence to Ms. Crossland provided that an application could be made to have it set aside on 48 hours notice by Mr. Dewar, which he never attempted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Before I consider the claims in defamation and civil conspiracy I would add that, if I am wrong in concluding that Mr. Dewar's claims in relation to the AFS and the Agreement are governed by cause of action estoppel, I would dismiss them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That is because I find that Mr. Dewar has failed to prove that the alleged Agreement was legally enforceable. I will not repeat in these reasons the basic principles, but they are summarized in </w:t>
      </w:r>
      <w:r>
        <w:rPr>
          <w:rFonts w:ascii="arial" w:eastAsia="arial" w:hAnsi="arial" w:cs="arial"/>
          <w:i/>
          <w:color w:val="000000"/>
          <w:sz w:val="20"/>
          <w:lang w:val="en-US" w:eastAsia="en-US" w:bidi="ar-SA"/>
        </w:rPr>
        <w:t>Berthin v. Berthin</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2016 BCCA 104</w:t>
        </w:r>
      </w:hyperlink>
      <w:r>
        <w:rPr>
          <w:rFonts w:ascii="arial" w:eastAsia="arial" w:hAnsi="arial" w:cs="arial"/>
          <w:color w:val="000000"/>
          <w:sz w:val="20"/>
          <w:lang w:val="en-US" w:eastAsia="en-US" w:bidi="ar-SA"/>
        </w:rPr>
        <w:t xml:space="preserve"> at paras. 46-49.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my view the evidence adduced by Mr. Dewar falls far short of establishing an enforceable agreement with Ms. Crossland. My reasons include the following:</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conduct of the parties both before and after an alleged contract is made can be considered to assist in determining whether an enforceable agreement was reached. See </w:t>
      </w:r>
      <w:r>
        <w:rPr>
          <w:rFonts w:ascii="arial" w:eastAsia="arial" w:hAnsi="arial" w:cs="arial"/>
          <w:i/>
          <w:color w:val="000000"/>
          <w:sz w:val="20"/>
          <w:lang w:val="en-US" w:eastAsia="en-US" w:bidi="ar-SA"/>
        </w:rPr>
        <w:t>Harry Froese Inc. v. 273134 B.C. Ltd.</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2018 BCSC 649</w:t>
        </w:r>
      </w:hyperlink>
      <w:r>
        <w:rPr>
          <w:rFonts w:ascii="arial" w:eastAsia="arial" w:hAnsi="arial" w:cs="arial"/>
          <w:color w:val="000000"/>
          <w:sz w:val="20"/>
          <w:lang w:val="en-US" w:eastAsia="en-US" w:bidi="ar-SA"/>
        </w:rPr>
        <w:t xml:space="preserve"> at para. 83. Mr. Dewar could have reduced what he alleges were the essential terms to writing but chose not to do so. In fact, Mr. Hare advised him to do just that in order to protect his interests, but Mr. Dewar never finalized the AFS document, nor did he show the document to Ms. Crossland. I am of the view that had he intended for there to be an enforceable agreement he would have finalized the AFS and/or the Agreement and reduced it/them to writing, thereby having Ms. Crossland acknowledge its terms;</w:t>
      </w:r>
    </w:p>
    <w:p>
      <w:pPr>
        <w:numPr>
          <w:numId w:val="3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conclude that the fact Mr. Dewar did not do so in late 2012 is evidence that all the essential terms had not been agreed to, and/or that he did not intend to have any agreement which would provide him with the right to seek recovery from Ms. Crossland of funds expended on her behalf if she did not repay him. This is consistent with a serious ongoing relationship between the parties whether or not it satisfied the legal requirements of a common-law relationship;</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fundamental difference between "Principle Capital Investment" as referred to in the AFS and "rent" or "tenancy";</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time Mr. Dewar apparently reduced to writing what he asserts were the essential terms of the Agreement was on September 15, 2015, shortly before the First Action was commenced;</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Dewar was aware of Ms. Crossland's longstanding mental issues and her limited ability to earn an income. I find that he was the impetus behind her "bettering herself", but I also find that he knew or ought to have known that there was considerable risk in her being able to be successful in any of these business ventures, for example in the massage business;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fact, one of Mr. Dewar's texts on February 24, 2015 states "I just really really have to stop laying out </w:t>
      </w:r>
      <w:r>
        <w:rPr>
          <w:rFonts w:ascii="arial" w:eastAsia="arial" w:hAnsi="arial" w:cs="arial"/>
          <w:b/>
          <w:color w:val="000000"/>
          <w:sz w:val="20"/>
          <w:lang w:val="en-US" w:eastAsia="en-US" w:bidi="ar-SA"/>
        </w:rPr>
        <w:t>speculative</w:t>
      </w:r>
      <w:r>
        <w:rPr>
          <w:rFonts w:ascii="arial" w:eastAsia="arial" w:hAnsi="arial" w:cs="arial"/>
          <w:color w:val="000000"/>
          <w:sz w:val="20"/>
          <w:lang w:val="en-US" w:eastAsia="en-US" w:bidi="ar-SA"/>
        </w:rPr>
        <w:t xml:space="preserve"> money and time on </w:t>
      </w:r>
      <w:r>
        <w:rPr>
          <w:rFonts w:ascii="arial" w:eastAsia="arial" w:hAnsi="arial" w:cs="arial"/>
          <w:b/>
          <w:color w:val="000000"/>
          <w:sz w:val="20"/>
          <w:lang w:val="en-US" w:eastAsia="en-US" w:bidi="ar-SA"/>
        </w:rPr>
        <w:t>hopeful</w:t>
      </w:r>
      <w:r>
        <w:rPr>
          <w:rFonts w:ascii="arial" w:eastAsia="arial" w:hAnsi="arial" w:cs="arial"/>
          <w:color w:val="000000"/>
          <w:sz w:val="20"/>
          <w:lang w:val="en-US" w:eastAsia="en-US" w:bidi="ar-SA"/>
        </w:rPr>
        <w:t xml:space="preserve"> business startups";</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certain texts do appear to have Ms. Crossland acknowledging a "debt", several refer to a debt in the fanciful amount of $500,000, the conclusion I draw from all the texts is that at most there was a moral obligation on Ms. Crossland's part to contribute to the costs of the McQueen Residence, the businesses and other payments made by Mr. Dewar over the years. It also bears noting that the tenor of many of Mr. Dewar's texts are within the context of what was clearly a close ongoing friendship; whether there was an ongoing common-law relationship need not be decided, and in any event was subject to the consent dismissal order;</w:t>
      </w:r>
    </w:p>
    <w:p>
      <w:pPr>
        <w:numPr>
          <w:numId w:val="4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Dewar led no evidence as to what the intentions of the parties were at the time the Agreement was allegedly made regarding what must have been an essential term, being what would occur if Ms. Crossland was unable to "better herself" and had to resort to the modest income she had before she met him. Mr. Dewar was clearly upset and concerned that Ms. Crossland was not making sufficient efforts, at least according to him, to focus and develop, for example, the massage business. Yet both parties knew based on her health and income earning history that she could not afford to repay "$500,000", make payments on the McQueen Residence and/or reimburse him for funds he paid on her behalf regarding these businesses, and there is no mention of an agreement as to the legal consequences of these businesses failing;</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that regard, Mr. Dewar never showed Ms. Crossland the "loan ledger", although he did testify that he offered to but Ms. Crossland was not interested in reviewing it; and</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 to Mr. Dewar, Ms. Crossland was to transfer the mobile home to him upon the Agreement being entered into. She never did so and he took no steps to have that occur until he filed his counterclaim in the First Action. There was no evidence as to what must have been an essential term at the time the alleged Agreement was entered into regarding what would happen to the mobile home and any rents obtained if Mr. Dewar regained possession of the McQueen Residence, which did occur in October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conclude that in December 2012, Mr. Dewar knew of the risk he was taking in making his "speculative investment" with a person he was still clearly involved in a form of relationship with and with full knowledge of her background, and that he accepted that he would bear the consequences if Ms. Crossland was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It follows in my view that any losses, payments made to Ms. Crossland or on her behalf flowing from the acquisition of the McQueen Residence, or other payments in relation to the business ventures or the mobile home were within the ambit of the risk Mr. Dewar knowingly assumed in late 2012 when the Agreement was allegedly entered into.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fact, the most that Mr. Dewar has established is that there was a loose arrangement in place, as opposed to an enforceable agreement, which was based on the expectation that </w:t>
      </w:r>
      <w:r>
        <w:rPr>
          <w:rFonts w:ascii="arial" w:eastAsia="arial" w:hAnsi="arial" w:cs="arial"/>
          <w:b/>
          <w:color w:val="000000"/>
          <w:sz w:val="20"/>
          <w:lang w:val="en-US" w:eastAsia="en-US" w:bidi="ar-SA"/>
        </w:rPr>
        <w:t>if</w:t>
      </w:r>
      <w:r>
        <w:rPr>
          <w:rFonts w:ascii="arial" w:eastAsia="arial" w:hAnsi="arial" w:cs="arial"/>
          <w:color w:val="000000"/>
          <w:sz w:val="20"/>
          <w:lang w:val="en-US" w:eastAsia="en-US" w:bidi="ar-SA"/>
        </w:rPr>
        <w:t xml:space="preserve"> Ms. Crossland was successful in improving her financial circumstances and </w:t>
      </w:r>
      <w:r>
        <w:rPr>
          <w:rFonts w:ascii="arial" w:eastAsia="arial" w:hAnsi="arial" w:cs="arial"/>
          <w:b/>
          <w:color w:val="000000"/>
          <w:sz w:val="20"/>
          <w:lang w:val="en-US" w:eastAsia="en-US" w:bidi="ar-SA"/>
        </w:rPr>
        <w:t>if</w:t>
      </w:r>
      <w:r>
        <w:rPr>
          <w:rFonts w:ascii="arial" w:eastAsia="arial" w:hAnsi="arial" w:cs="arial"/>
          <w:color w:val="000000"/>
          <w:sz w:val="20"/>
          <w:lang w:val="en-US" w:eastAsia="en-US" w:bidi="ar-SA"/>
        </w:rPr>
        <w:t xml:space="preserve"> she had cash flow to make rental or other payments on the "principal capital investment" to purchase the McQueen Residence, then and only then would Mr. Dewar transfer title to her when the purchase price had been repaid. This is also evidenced by the fact that, on his evidence alone, no interest was being paid and Mr. Dewar was essentially financing the purchase of McQueen for Ms. Crossland.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will now briefly turn to the other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First there is the claim in defamation regarding the text to Ms. Kaetler. This was raised in the counterclaim and is governed by cause of action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If I am wrong in that conclusion, then the evidence falls far short of what is required to establish a claim in the circumstances of this case. See </w:t>
      </w:r>
      <w:r>
        <w:rPr>
          <w:rFonts w:ascii="arial" w:eastAsia="arial" w:hAnsi="arial" w:cs="arial"/>
          <w:i/>
          <w:color w:val="000000"/>
          <w:sz w:val="20"/>
          <w:lang w:val="en-US" w:eastAsia="en-US" w:bidi="ar-SA"/>
        </w:rPr>
        <w:t>Hee Creations Group Ltd v. Chow</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2018 BCSC 260</w:t>
        </w:r>
      </w:hyperlink>
      <w:r>
        <w:rPr>
          <w:rFonts w:ascii="arial" w:eastAsia="arial" w:hAnsi="arial" w:cs="arial"/>
          <w:color w:val="000000"/>
          <w:sz w:val="20"/>
          <w:lang w:val="en-US" w:eastAsia="en-US" w:bidi="ar-SA"/>
        </w:rPr>
        <w:t xml:space="preserve"> at paras. 62-68.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It is ironic that Mr. Dewar's claim in defamation is based on Ms. Crossland sending one text to Ms. Kaetler regarding a civil action list which included reference to a different Robert Dewar. It is alleged Ms. Crossland did not make proper due diligence inquiries before sending the text. And yet Mr. Dewar bought an application to prevent Ms. Crossland from selling the mobile home after he made some, but insufficient inquiries when he saw it listed on a real estate website. That application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need only briefly deal with Mr. Dewar's claim against all the defendants for damages arising from an alleged civil conspiracy to injure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It is alleged that Mr. and Mrs. Crossland supported their daughter, which included swearing affidavits which were filed in the First Action, without contacting Mr. Dewar and obtaining, essentially, his "side of the 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As I have noted this claim may also be subject to the principles of cause of action estoppel but I will review the relevant principles none the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First of all, the doctrine of absolute privilege applies to affidavits. See </w:t>
      </w:r>
      <w:r>
        <w:rPr>
          <w:rFonts w:ascii="arial" w:eastAsia="arial" w:hAnsi="arial" w:cs="arial"/>
          <w:i/>
          <w:color w:val="000000"/>
          <w:sz w:val="20"/>
          <w:lang w:val="en-US" w:eastAsia="en-US" w:bidi="ar-SA"/>
        </w:rPr>
        <w:t>McDaniel v. McDaniel</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2009 BCCA 53</w:t>
        </w:r>
      </w:hyperlink>
      <w:r>
        <w:rPr>
          <w:rFonts w:ascii="arial" w:eastAsia="arial" w:hAnsi="arial" w:cs="arial"/>
          <w:color w:val="000000"/>
          <w:sz w:val="20"/>
          <w:lang w:val="en-US" w:eastAsia="en-US" w:bidi="ar-SA"/>
        </w:rPr>
        <w:t>,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Secondly the evidence in this case falls far short of satisfying the legal requirements of the tort of civil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order to establish the tort of conspiracy a plaintiff must demonstrate that: (i) there was an agreement or concerted action between two or more persons; (ii) the predominant purpose was causing injury to the plaintiff; and (iii) overt acts were committed that caused damage to the plaintiff: </w:t>
      </w:r>
      <w:r>
        <w:rPr>
          <w:rFonts w:ascii="arial" w:eastAsia="arial" w:hAnsi="arial" w:cs="arial"/>
          <w:i/>
          <w:color w:val="000000"/>
          <w:sz w:val="20"/>
          <w:lang w:val="en-US" w:eastAsia="en-US" w:bidi="ar-SA"/>
        </w:rPr>
        <w:t>Watson v. Bank of America Corporation</w:t>
      </w:r>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2015 BCCA 362</w:t>
        </w:r>
      </w:hyperlink>
      <w:r>
        <w:rPr>
          <w:rFonts w:ascii="arial" w:eastAsia="arial" w:hAnsi="arial" w:cs="arial"/>
          <w:color w:val="000000"/>
          <w:sz w:val="20"/>
          <w:lang w:val="en-US" w:eastAsia="en-US" w:bidi="ar-SA"/>
        </w:rPr>
        <w:t xml:space="preserve"> at para. 124.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claim must be pleaded with significant specificity, including the identity of the parties and their relationship with each other, particulars of when the conspiracy was entered into, the object and means of the conspiracy to injure, the overt acts that were alleged to have been done by each of the conspirators, and the injury or damage caused to the plaintiff: </w:t>
      </w:r>
      <w:r>
        <w:rPr>
          <w:rFonts w:ascii="arial" w:eastAsia="arial" w:hAnsi="arial" w:cs="arial"/>
          <w:i/>
          <w:color w:val="000000"/>
          <w:sz w:val="20"/>
          <w:lang w:val="en-US" w:eastAsia="en-US" w:bidi="ar-SA"/>
        </w:rPr>
        <w:t>Can-Dive Services Ltd. v. Pacific Coast Energy Corp</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(1993), 96 B.C.L.R. (2d) 156</w:t>
        </w:r>
      </w:hyperlink>
      <w:r>
        <w:rPr>
          <w:rFonts w:ascii="arial" w:eastAsia="arial" w:hAnsi="arial" w:cs="arial"/>
          <w:color w:val="000000"/>
          <w:sz w:val="20"/>
          <w:lang w:val="en-US" w:eastAsia="en-US" w:bidi="ar-SA"/>
        </w:rPr>
        <w:t xml:space="preserve"> at para. 8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Compelling evidence is required to establish the tort of conspiracy: </w:t>
      </w:r>
      <w:r>
        <w:rPr>
          <w:rFonts w:ascii="arial" w:eastAsia="arial" w:hAnsi="arial" w:cs="arial"/>
          <w:i/>
          <w:color w:val="000000"/>
          <w:sz w:val="20"/>
          <w:lang w:val="en-US" w:eastAsia="en-US" w:bidi="ar-SA"/>
        </w:rPr>
        <w:t>Golden Capital Securities Limited v. Rempel et al</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2004 BCCA 565</w:t>
        </w:r>
      </w:hyperlink>
      <w:r>
        <w:rPr>
          <w:rFonts w:ascii="arial" w:eastAsia="arial" w:hAnsi="arial" w:cs="arial"/>
          <w:color w:val="000000"/>
          <w:sz w:val="20"/>
          <w:lang w:val="en-US" w:eastAsia="en-US" w:bidi="ar-SA"/>
        </w:rPr>
        <w:t xml:space="preserve"> at para.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evidence in this case is not compelling. In fact, I conclude this claim borders on being frivolous, vexatious and specious.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When I consider the aggressive, if not threatening, tones of many of Mr. Dewar's communication to Mr. and Mrs. Crossland, it is not surprising that they would not want to communicate with him either to get his version of events or otherwise. In a letter dated December 7, 2017, for example, Mr. Dewar refers to Mr. Crossland, a retired career civil servant who is destined to live his retirement years in a wheelchair as "having taken the appropriate position of coward". The letter refers to criminal charges brought by Mr. Dewar and fraudulent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find that this letter is indicative of the behaviour that Mrs. Crossland testified to regarding Mr. Dewar.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letter also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Remember too that I do not need any kind of legal assistance to prepare, file, commence and prosecute this matter at court while you and, your wife and daughter will likely require the cost of legal counsel, on top of your indebtedness, and I assure you, I will file any and every application, demand, motion and/or action as may become necessary to justly resolve this matter, and I will not relent in my collection actions against each one of you, until I am lawfully, justly and fully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It is indeed unfortunate that Mr. Dewar did not, himself, obtain legal advice before commencing this proceeding. That may well have avoided cost and expense to all the parties in prosecuting and defending what I consider to be an action that was fundamentally flawed from the outset.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CONCLUSIONS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claims against all the defendants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Dewar chose to maintain his allegations of conspiracy to cause him harm and causing and/or supporting fraudulent behaviour against all the defendants until the end of the trial, including during his closing submissions. He was given every opportunity by the court to seriously consider whether he wished to pursue these allegations and chose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 have a broad discretion with respect to making what I consider to be the appropriate costs orders. In my view Mr. Dewar's conduct </w:t>
      </w:r>
      <w:r>
        <w:rPr>
          <w:rFonts w:ascii="arial" w:eastAsia="arial" w:hAnsi="arial" w:cs="arial"/>
          <w:i/>
          <w:color w:val="000000"/>
          <w:sz w:val="20"/>
          <w:lang w:val="en-US" w:eastAsia="en-US" w:bidi="ar-SA"/>
        </w:rPr>
        <w:t>vis-a-vis</w:t>
      </w:r>
      <w:r>
        <w:rPr>
          <w:rFonts w:ascii="arial" w:eastAsia="arial" w:hAnsi="arial" w:cs="arial"/>
          <w:color w:val="000000"/>
          <w:sz w:val="20"/>
          <w:lang w:val="en-US" w:eastAsia="en-US" w:bidi="ar-SA"/>
        </w:rPr>
        <w:t xml:space="preserve"> Mr. and Mrs. Crossland is clearly worthy of reproof or rebuke and I award them their costs of this proceeding on a special costs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so far as Ms. Crossland is concerned, while this case is very close to the line with respect to special costs, I view it appropriate for her to receive her costs on a party and party basis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will arrange to have the order drafted and entered with a copy to be provided to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issue of costs in the First Action was not specifically dealt with in the order and so theoretically remains open. I can advise the parties that in most cases where there is a consent dismissal order, as was the case in the First Action, that the usual agreement or order is that each of the parties bears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It is long past the time for the issues between the parties to end. There is no reason in my view as to why the usual order would not apply. Accordingly, on my own motion, I order that Mr. Dewar and Ms. Crossland each bear their own costs arising from the First Action, being Supreme Court of British Columbia Kelowna Registry Action No 108713.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 ABRIOUX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0"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13" w:history="1">
        <w:r>
          <w:rPr>
            <w:rFonts w:ascii="arial" w:eastAsia="arial" w:hAnsi="arial" w:cs="arial"/>
            <w:b/>
            <w:bCs/>
            <w:i/>
            <w:color w:val="0077CC"/>
            <w:kern w:val="32"/>
            <w:sz w:val="28"/>
            <w:szCs w:val="32"/>
            <w:u w:val="single"/>
            <w:shd w:val="clear" w:color="auto" w:fill="FFFFFF"/>
            <w:lang w:val="en-US" w:eastAsia="en-US" w:bidi="ar-SA"/>
          </w:rPr>
          <w:t>Dhaliwal v. Insurance Corp. of British Columbia, [2001] B.C.J. No. 2266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Brine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23,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25,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S046084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2266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1485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36 C.C.L.I. (3d) 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109 A.C.W.S. (3d) 374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Balbir Dhaliwal, plaintiff, and Insurance Corporation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1"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2" w:name="Keywords_20"/>
      <w:bookmarkEnd w:id="142"/>
      <w:r>
        <w:rPr>
          <w:rFonts w:ascii="arial" w:eastAsia="arial" w:hAnsi="arial" w:cs="arial"/>
          <w:b/>
          <w:color w:val="000000"/>
          <w:sz w:val="20"/>
          <w:lang w:val="en-US" w:eastAsia="en-US" w:bidi="ar-SA"/>
        </w:rPr>
        <w:t>Insurance — Automobile insurance, compulsory government schemes — Claims against party unknown — Efforts to identify unknown party — Practice — Pleadings — Amendment of pleadings — Prejudice or presumed prejudice, what constitutes — To plead a statute — Statement of Defence — Circumstances when amendment allowed.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3" w:name="Case Summary_19"/>
            <w:bookmarkEnd w:id="14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the Insurance Corporation of British Columbia, to amend its Statement of Defence in order to plead section 24(5) of the Insurance (Motor Vehicle) Act, which obligated the plaintiff to use all reasonable efforts to ascertain the identity of unknown driver. The action arose after the plaintiff, Dhaliwal, was injured in a motor vehicle accident with an unidentified motorist.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4" w:name="Holdings of Court_18"/>
            <w:bookmarkEnd w:id="144"/>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Section 24(5) of the Act was a reasonable defence to be properly before the court by way of the pleadings. There was no prejudice to Dhaliwal which could not be compensated for by way of costs. Dhaliwal's obligation to use all reasonable efforts to ascertain the identity of the unknown driver were present from the moment the accident occurred. The amendment sought would put the issue clearly before court.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5" w:name="Legislation Cited_17"/>
      <w:bookmarkEnd w:id="14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2"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24(1).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Insurance (Motor Vehicle) Act, s. 24(5).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Workers Compensation Act, s. 10.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6" w:name="Counsel_20"/>
      <w:bookmarkEnd w:id="14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3" style="position:absolute;z-index:2517821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Bob McNeney, for the plaintiff. Kieron G. Grady,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7" w:name="Judgment_20"/>
      <w:bookmarkEnd w:id="147"/>
      <w:r>
        <w:pict>
          <v:line id="_x0000_s1134" style="position:absolute;z-index:25183334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8" w:name="MASTER BRINE"/>
            <w:bookmarkEnd w:id="148"/>
            <w:r>
              <w:rPr>
                <w:rFonts w:ascii="arial" w:eastAsia="arial" w:hAnsi="arial" w:cs="arial"/>
                <w:b/>
                <w:color w:val="000000"/>
                <w:sz w:val="30"/>
                <w:lang w:val="en-US" w:eastAsia="en-US" w:bidi="ar-SA"/>
              </w:rPr>
              <w:t>MASTER BRINE</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applies pursuant to Rule 24 (1) to amend the Statement of Defence in order to plead Section 24 (5) of the Insurance (Motor Vehicle) Act. Section 24 (5)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 action against the corporation (viz. ICBC) as nominal defendant, a judgment against the corporation must not be given unless the court is satisfied that</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reasonable efforts have been made by the parties to ascertain the identity of the unknown owner and driver or unknown driver, as the case may be, and</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those persons or that person, as the case may be, is not ascertainable.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motor vehicle accident occurred on March 15, 1997. The writ was issued on April 7, 1998. It alleged that the Plaintiff was injured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 unidentified motorist. The Statement of Defence was filed some time afterward. For reasons unexplained, the Statement of Defence did not plead s. 24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Trial of the action is scheduled to commence on Nov. 19 for 7 days with a jury at New Westminster.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Grady, on behalf of the defendant, says that the amendment should go as a matter of right, or, alternatively, that prejudice to the plaintiff is the only consideration that is relevant in considering whether such an amendment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McNeney, on behalf of the plaintiff, objects to the proposed amendment on the grounds that there is no factual basis for the amendment, that the amendment would be unduly prejudicial and that there has been undue delay in seeking the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Mr. Grady referred me to the decision of Madam Justice Stromberg-Stein in Zacharias v. Lo, </w:t>
      </w:r>
      <w:hyperlink r:id="rId414" w:history="1">
        <w:r>
          <w:rPr>
            <w:rFonts w:ascii="arial" w:eastAsia="arial" w:hAnsi="arial" w:cs="arial"/>
            <w:i/>
            <w:color w:val="0077CC"/>
            <w:sz w:val="20"/>
            <w:u w:val="single"/>
            <w:shd w:val="clear" w:color="auto" w:fill="FFFFFF"/>
            <w:lang w:val="en-US" w:eastAsia="en-US" w:bidi="ar-SA"/>
          </w:rPr>
          <w:t>[1999] B.C.J. No. 881</w:t>
        </w:r>
      </w:hyperlink>
      <w:r>
        <w:rPr>
          <w:rFonts w:ascii="arial" w:eastAsia="arial" w:hAnsi="arial" w:cs="arial"/>
          <w:color w:val="000000"/>
          <w:sz w:val="20"/>
          <w:lang w:val="en-US" w:eastAsia="en-US" w:bidi="ar-SA"/>
        </w:rPr>
        <w:t>, as authority for his first proposition. In that case, an application was made to amend the Statement of Defence to plead s. 10 of the Workers Compensation Act. Following a discussion of the role prejudice plays in such an application, Madam Justice Stromberg-Stein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provisions of the Workers Compensation Act provide more than a defence to an action; these provisions impact on the ability of the plaintiff to maintain his action at all. If the issue is raised at any stage of the proceedings, on any conceivable grounds, the action must be stayed and a reference made to the Board for a determination. There is no discretion on the grounds of prejudice, unfairness or injustice to refuse the amendment where it is conceivable that the parties are workers."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Grady argues that s. 24(5) provides a similar statutory defence as does s. 10 of the Workers Compensation Act. I do not agree. S. 10 of the Workers Compensation Act effectively prevents the plaintiff from continuing with his or her action. S. 24(5), on the other hand, expressly contemplates actions being brought against ICBC. It does go on to limit the ability of the court to give a judgment against ICBC without the conditions of that section having been met but it does not restrict the plaintiff's right to bring and maintain an action against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to whether, then, I should make the amendment sought, I consider that the usual factors considered in such applications should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Canada (Attorney General) v. Ellis-Don Ltd., </w:t>
      </w:r>
      <w:hyperlink r:id="rId415" w:history="1">
        <w:r>
          <w:rPr>
            <w:rFonts w:ascii="arial" w:eastAsia="arial" w:hAnsi="arial" w:cs="arial"/>
            <w:i/>
            <w:color w:val="0077CC"/>
            <w:sz w:val="20"/>
            <w:u w:val="single"/>
            <w:shd w:val="clear" w:color="auto" w:fill="FFFFFF"/>
            <w:lang w:val="en-US" w:eastAsia="en-US" w:bidi="ar-SA"/>
          </w:rPr>
          <w:t>[2000] B.C.J. No. 492</w:t>
        </w:r>
      </w:hyperlink>
      <w:r>
        <w:rPr>
          <w:rFonts w:ascii="arial" w:eastAsia="arial" w:hAnsi="arial" w:cs="arial"/>
          <w:color w:val="000000"/>
          <w:sz w:val="20"/>
          <w:lang w:val="en-US" w:eastAsia="en-US" w:bidi="ar-SA"/>
        </w:rPr>
        <w:t>), Madam Justice Huddart discussed a number of such factors. From that decision, the following conclusions may be drawn. Firstly, the court must consider whether, in its view, there is a reasonable defence disclosed by the applicant. Secondly, the court should not analyze the evidence to determine whether it supports the proposed amendment. Thirdly, the court must weigh the respective prejudices to either party, particularly to the party opposed to the amendment. Finally, the court may consider delay on the part of the applicant, although this factor alone would rarely preclude an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purpose of applications for amendments pursuant to R. 24 is to permit the determination of the real questions in issue between the parties (Victoria Grey Metro Trust Co. v. Fort Gary Trust Co., </w:t>
      </w:r>
      <w:hyperlink r:id="rId416" w:history="1">
        <w:r>
          <w:rPr>
            <w:rFonts w:ascii="arial" w:eastAsia="arial" w:hAnsi="arial" w:cs="arial"/>
            <w:i/>
            <w:color w:val="0077CC"/>
            <w:sz w:val="20"/>
            <w:u w:val="single"/>
            <w:shd w:val="clear" w:color="auto" w:fill="FFFFFF"/>
            <w:lang w:val="en-US" w:eastAsia="en-US" w:bidi="ar-SA"/>
          </w:rPr>
          <w:t>(1982), 30 BCLR (2d) 45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As Madam Justice Rowles stated in Langret Investments v. McDonnell, </w:t>
      </w:r>
      <w:hyperlink r:id="rId417" w:history="1">
        <w:r>
          <w:rPr>
            <w:rFonts w:ascii="arial" w:eastAsia="arial" w:hAnsi="arial" w:cs="arial"/>
            <w:i/>
            <w:color w:val="0077CC"/>
            <w:sz w:val="20"/>
            <w:u w:val="single"/>
            <w:shd w:val="clear" w:color="auto" w:fill="FFFFFF"/>
            <w:lang w:val="en-US" w:eastAsia="en-US" w:bidi="ar-SA"/>
          </w:rPr>
          <w:t>(1996) 21 BCLR (3d) 145</w:t>
        </w:r>
      </w:hyperlink>
      <w:r>
        <w:rPr>
          <w:rFonts w:ascii="arial" w:eastAsia="arial" w:hAnsi="arial" w:cs="arial"/>
          <w:color w:val="000000"/>
          <w:sz w:val="20"/>
          <w:lang w:val="en-US" w:eastAsia="en-US" w:bidi="ar-SA"/>
        </w:rPr>
        <w:t xml:space="preserve"> (B.C.C.A.) at 153: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"Amendments are allowed unless prejudice can be demonstrated by the opposite party or the amendment will be useless. The rationale for allowing amendments is to enable the real issues to be determined. The practice followed in civil matters when amendments are sought fulfils the fundamental objective of the civil rules which is to ensure the just, speedy, and inexpensive determination of every proceeding on the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dealing with the issue of prejudice, Master Nitikman stated, in Matheos v. Pottle, </w:t>
      </w:r>
      <w:hyperlink r:id="rId418" w:history="1">
        <w:r>
          <w:rPr>
            <w:rFonts w:ascii="arial" w:eastAsia="arial" w:hAnsi="arial" w:cs="arial"/>
            <w:i/>
            <w:color w:val="0077CC"/>
            <w:sz w:val="20"/>
            <w:u w:val="single"/>
            <w:shd w:val="clear" w:color="auto" w:fill="FFFFFF"/>
            <w:lang w:val="en-US" w:eastAsia="en-US" w:bidi="ar-SA"/>
          </w:rPr>
          <w:t>[1999] B.C.J. No. 1850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objection that the amendment will totally alter the nature of the case and in so doing severely prejudice the plaintiff, it is my view that substantive amendments to pleadings will often, if not always, alter the nature of the case. A plaintiff may well be "prejudiced" when faced with a defence it did not expect to have to meet. But if that were the sole criteria for not granting an amendment, I think few amendments would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to the first two matters raised in the Canada (Attorney General) v. Ellis-Don Ltd. decision (supra), Mr. McNeney asks the court to consider the factual basis of the proposed amendment. The evidence is that following the accident the plaintiff was taken to hospital by ambulance. The RCMP concluded that the other vehicle involved had fled the scene of the accident before its operator or owner could be identified. He submitted that the plaintiff had done all that could reasonably have been expected of him in the circumstances and that such a defence would, ultimately,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While that may be so, it is not open to me to weigh the evidence at this application and consider the merits of the defence. Whether the defence provided by s. 24(5) of the Insurance (Motor Vehicle) Act is ultimately successful or not is the function of the jury in this case after hearing the evidence. It is enough for me to simply consider whether the proposed defence is a reasonable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While the proposed amendment may not be a substantive defence to the merits of the claim, it does provide the defendant with the ability to test the evidence which that section contemplates and, if deficient, to preclude a judgment being entered against it. On this basis, I conclude that s. 24 (5) of the Insurance (Motor Vehicle) Act is a reasonable defence and should properly be before the court by way of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As to the question of prejudice, Mr. McNeney submitted that the court should presume prejudice to the plaintiff, citing the decision in ASM Capital Corporation, et. al. v. Mercer International Inc., </w:t>
      </w:r>
      <w:hyperlink r:id="rId419" w:history="1">
        <w:r>
          <w:rPr>
            <w:rFonts w:ascii="arial" w:eastAsia="arial" w:hAnsi="arial" w:cs="arial"/>
            <w:i/>
            <w:color w:val="0077CC"/>
            <w:sz w:val="20"/>
            <w:u w:val="single"/>
            <w:shd w:val="clear" w:color="auto" w:fill="FFFFFF"/>
            <w:lang w:val="en-US" w:eastAsia="en-US" w:bidi="ar-SA"/>
          </w:rPr>
          <w:t>1999 BCCA 353</w:t>
        </w:r>
      </w:hyperlink>
      <w:r>
        <w:rPr>
          <w:rFonts w:ascii="arial" w:eastAsia="arial" w:hAnsi="arial" w:cs="arial"/>
          <w:color w:val="000000"/>
          <w:sz w:val="20"/>
          <w:lang w:val="en-US" w:eastAsia="en-US" w:bidi="ar-SA"/>
        </w:rPr>
        <w:t xml:space="preserve">, </w:t>
      </w:r>
      <w:hyperlink r:id="rId419" w:history="1">
        <w:r>
          <w:rPr>
            <w:rFonts w:ascii="arial" w:eastAsia="arial" w:hAnsi="arial" w:cs="arial"/>
            <w:i/>
            <w:color w:val="0077CC"/>
            <w:sz w:val="20"/>
            <w:u w:val="single"/>
            <w:shd w:val="clear" w:color="auto" w:fill="FFFFFF"/>
            <w:lang w:val="en-US" w:eastAsia="en-US" w:bidi="ar-SA"/>
          </w:rPr>
          <w:t>[1999] B.C.J. No. 1276</w:t>
        </w:r>
      </w:hyperlink>
      <w:r>
        <w:rPr>
          <w:rFonts w:ascii="arial" w:eastAsia="arial" w:hAnsi="arial" w:cs="arial"/>
          <w:color w:val="000000"/>
          <w:sz w:val="20"/>
          <w:lang w:val="en-US" w:eastAsia="en-US" w:bidi="ar-SA"/>
        </w:rPr>
        <w:t>. In that decision, Mr. Justice Cumming stated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"Strictly speaking, the law in this Province is that there is a presumption of prejudice in favour of the party opposing the amendments: Med Finance Co. S.A. v. Bank of Montreal </w:t>
      </w:r>
      <w:hyperlink r:id="rId12" w:history="1">
        <w:r>
          <w:rPr>
            <w:rFonts w:ascii="arial" w:eastAsia="arial" w:hAnsi="arial" w:cs="arial"/>
            <w:i/>
            <w:color w:val="0077CC"/>
            <w:sz w:val="20"/>
            <w:u w:val="single"/>
            <w:shd w:val="clear" w:color="auto" w:fill="FFFFFF"/>
            <w:lang w:val="en-US" w:eastAsia="en-US" w:bidi="ar-SA"/>
          </w:rPr>
          <w:t>(1993), 79 BCLR (2d) 222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However, in both the ASM Capital and the Med Finance decisions the applications to amend concerned the discretion to be exercised by a chambers judge (or master) in considering whether to grant leave to amend pleadings after the expiry of a limitation period. The presumption of prejudice, which arises in such applications, is that such an amendment effectively removes an affirmative defence previously available to the opposing party. As a result, prejudice will be presumed in such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to whether there is actual (as opposed to presumed) prejudice to the plaintiff in this case, I find that there is none which cannot be compensated for by way of costs, if necessary. Firstly, the trial will not be delayed or lengthened. His evidence on the point will not be lengthy. Secondly, the plaintiff's efforts to meet the obligations imposed upon him by virtue of s. 24 of the Insurance (Motor Vehicle) Act could in no way have been affected by the failure to include in the Statement of Defence as originally filed, more than 12 months following the accident, the defence now sought to be added. Thirdly, should further examinations for discovery or other pre-trial disclosure or discovery be required, these matters can be completed in the time available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final issue is whether the delay in making the application should prevent the amendment. Generally, delay alone should not preclude an amendment: (Canada (Attorney General) v. Ellis-Don Ltd.). Here, there has been no explanation for the delay aside from the fact that Mr. Grady only recently received the file from previous counsel and advised Mr. McNeney of his position shortly thereafter. I consider that delay, if it is to be considered at all, should be considered in the context of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do not, firstly, consider that delay is a factor in this case. The statutory defence being raised is likely available to the defendant whether pled or not. Certainly the obligation upon the plaintiff to satisfy the matters contemplated by s. 24 were before him from the moment the accident occurred. Indeed, s. 24 must have been squarely in the mind of his counsel at the outset by naming ICBC as a nominal defendant pursuant to that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amendment sought by the defendant will put the issue clearly before the court. It will allow for the just, speedy and inexpensive determination of the proceeding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Accordingly, I will allow the proposed amendment in the form contained in the Draft Amended Statement of Defence attached to the Notice of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Costs are awarded to the defendant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BRINE</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5"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Lands and Structures situated at #TH22 - 1281 Cordova Street West Vancouver, British Columbia, PI No. 026-130-581 (In Rem) v. Hobbs , Civil Forfeiture Action in Rem Against The Lands and Structures situated at #TH22 - 1281 Cordova Street West, Vancouver, British Columbia, and having a legal description of parcel identifier 026-130-581 Strata Lot 12 of the Public Harbour of Burrard Inlet New Westminster District Strata Plan BCS1073 together with an interest in the common property in proportion to the unit entitlement of the strata lot as shown on Form V (the "Real Property"), a 2017 Land Rover Range Rover with Vehicle Identification Number SALGW3FE5HA366813, a 2018 Land Rover Range Rover with Vehicle Identification Number SALWZ2SE3JA192099 (collectively, the "Vehicles") and any funds notionally held by the Bank of Montreal, in particular account numbers 4642127 and 3716674, by Kevin Patrick Hobbs (the "Bank Funds") and their fruits and proceeds Between Director of Civil Forfeiture, Plaintiff, and The Owners and all Others Interested in the Real Property, the Vehicles, and the Bank Funds, in Particular, Kevin Patrick Hobbs and Lisa Angela Cheng, Defendants, [2019] B.C.J. No. 1508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E.M. Myers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30-31,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19,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S194992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1508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1344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6"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9" w:name="Keywords_21"/>
      <w:bookmarkEnd w:id="149"/>
      <w:r>
        <w:rPr>
          <w:rFonts w:ascii="arial" w:eastAsia="arial" w:hAnsi="arial" w:cs="arial"/>
          <w:b/>
          <w:color w:val="000000"/>
          <w:sz w:val="20"/>
          <w:lang w:val="en-US" w:eastAsia="en-US" w:bidi="ar-SA"/>
        </w:rPr>
        <w:t>Creditors and Debtors Law — Pre-judgment remedies — Preservation order — Application by Director of Civil Forfeiture for interim preservation order allowed — Defendants were principals of company — Director alleged defendants committed number of offences, including fraud, using corporate funds to purchase personal assets — Director previously obtained ex parte interim preservation order — Funds used to purchase personal assets came from public offering — There was serious case to be tried — While disclosure at ex parte hearing was not perfect, it was not determining factor in interests of justice test — Defendants failed to demonstrate that seizure was clearly not within interests of justice — Civil Forfeiture Act, ss. 1(1), 8, 8(5), 9 — Criminal Code, ss. 380(1), 380(1)(a), 380(2), 462.31, 490(1), 490(2).</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0" w:name="Case Summary_20"/>
            <w:bookmarkEnd w:id="15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the Director of Civil Forfeiture (Director), for an interim preservation order. The defendants were the principals of Vanbex Group Inc. (Vanbex), a company that launched a cryptocurrency coin called FUEL token and sold it to the public through an initial coin offering which generated in excess of USD $30 million. The Director claimed that the defendants, through Vanbex, marketed the sale of tokens, generated revenue for Vanbex, and then converted it directly to their personal bank accounts, which they then used to buy personal assets, including a condominium and two high-end cars. The Director alleged that the defendants committed a number of offences, including fraud over $5,000, affecting the market price of anything offered for sale to the public and laundering the proceeds of crime, contrary to the Criminal Code, and failed to declare taxable income contrary to the Income Tax Act. On ex parte motion by the Director, an initial interim preservation order (IPO) was granted, pursuant to s. 9 of the Civil Forfeiture Act. The Director now applied with notice to the defendants for an IPO. The defendants, Kevin Hobbs and Angela Cheng, denied having committed any fraud or of misusing corporate funds.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1" w:name="Holdings of Court_19"/>
            <w:bookmarkEnd w:id="151"/>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Given the timing of the various transfers and amounts involved, it was reasonable to draw the inference that the funds that made their way to the defendants came from the coin offering and Valbex, and that the funds were used to purchase the assets sought to be attached. The Director made out a serious case to be tried for fraud by other means. The Director also made out a serious case to be tried that the assets sought to be preserved were the proceeds of that alleged crime. The defendants failed to show that there were material details that the Director was aware of or ought to have been aware of that should have been disclosed. With respect to the "white paper", which was akin to a prospectus for a securities issue, it would have been preferable for it have been attached, but it was not intentionally concealed so as to create a false impression. The white paper did not constitute a substantive defence to the alleged charges. There was no evidence of hardship to the defendants. The seizure order did not apply to Valbex and it was free to carry on its business. The seizure of the property was not disproportionate to the amount taken from Valbex. While the disclosure at the ex parte hearing was not perfect, it was not the determining factor in the interests of justice test. Overall, the defendants failed to demonstrate that seizure was clearly not within the interests of justice.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2" w:name="Legislation Cited_18"/>
      <w:bookmarkEnd w:id="15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7"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Civil Forfeiture Act, </w:t>
      </w:r>
      <w:hyperlink r:id="rId427" w:history="1">
        <w:r>
          <w:rPr>
            <w:rFonts w:ascii="arial" w:eastAsia="arial" w:hAnsi="arial" w:cs="arial"/>
            <w:i/>
            <w:color w:val="0077CC"/>
            <w:sz w:val="20"/>
            <w:u w:val="single"/>
            <w:shd w:val="clear" w:color="auto" w:fill="FFFFFF"/>
            <w:lang w:val="en-US" w:eastAsia="en-US" w:bidi="ar-SA"/>
          </w:rPr>
          <w:t>S.B.C. 2005, c. 29, s. 1</w:t>
        </w:r>
      </w:hyperlink>
      <w:r>
        <w:rPr>
          <w:rFonts w:ascii="arial" w:eastAsia="arial" w:hAnsi="arial" w:cs="arial"/>
          <w:color w:val="000000"/>
          <w:sz w:val="20"/>
          <w:lang w:val="en-US" w:eastAsia="en-US" w:bidi="ar-SA"/>
        </w:rPr>
        <w:t>(1), s. 8, s. 8(5), s.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Criminal Code, </w:t>
      </w:r>
      <w:hyperlink r:id="rId428" w:history="1">
        <w:r>
          <w:rPr>
            <w:rFonts w:ascii="arial" w:eastAsia="arial" w:hAnsi="arial" w:cs="arial"/>
            <w:i/>
            <w:color w:val="0077CC"/>
            <w:sz w:val="20"/>
            <w:u w:val="single"/>
            <w:shd w:val="clear" w:color="auto" w:fill="FFFFFF"/>
            <w:lang w:val="en-US" w:eastAsia="en-US" w:bidi="ar-SA"/>
          </w:rPr>
          <w:t>R.S.C. 1985, c. C-46, s. 380</w:t>
        </w:r>
      </w:hyperlink>
      <w:r>
        <w:rPr>
          <w:rFonts w:ascii="arial" w:eastAsia="arial" w:hAnsi="arial" w:cs="arial"/>
          <w:color w:val="000000"/>
          <w:sz w:val="20"/>
          <w:lang w:val="en-US" w:eastAsia="en-US" w:bidi="ar-SA"/>
        </w:rPr>
        <w:t>(1), s. 380(1)(a), s. 380(2), s. 462.31, s. 490(1), s. 490(2)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Income Tax Act, </w:t>
      </w:r>
      <w:hyperlink r:id="rId429" w:history="1">
        <w:r>
          <w:rPr>
            <w:rFonts w:ascii="arial" w:eastAsia="arial" w:hAnsi="arial" w:cs="arial"/>
            <w:i/>
            <w:color w:val="0077CC"/>
            <w:sz w:val="20"/>
            <w:u w:val="single"/>
            <w:shd w:val="clear" w:color="auto" w:fill="FFFFFF"/>
            <w:lang w:val="en-US" w:eastAsia="en-US" w:bidi="ar-SA"/>
          </w:rPr>
          <w:t>R.S.C. 1985, c. 1 (5th Supp.)</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3" w:name="Counsel_21"/>
      <w:bookmarkEnd w:id="15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8"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Howard A. Mikelson, Q.C., Adrian D.A. Greer.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Kevin Hobbs and Lisa Cheng: Ian Donaldson, Q.C., Melanie R. Begalka.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4" w:name="Judgment_21"/>
      <w:bookmarkEnd w:id="154"/>
      <w:r>
        <w:pict>
          <v:line id="_x0000_s1139" style="position:absolute;z-index:2518343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5" w:name="E.M. MYERS J."/>
            <w:bookmarkEnd w:id="155"/>
            <w:r>
              <w:rPr>
                <w:rFonts w:ascii="arial" w:eastAsia="arial" w:hAnsi="arial" w:cs="arial"/>
                <w:b/>
                <w:color w:val="000000"/>
                <w:sz w:val="30"/>
                <w:lang w:val="en-US" w:eastAsia="en-US" w:bidi="ar-SA"/>
              </w:rPr>
              <w:t>E.M. MYERS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March 14, 2019, on the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motion of the Director, Madam Justice Power made an initial interim preservation order pursuant to s. 9 of the </w:t>
      </w:r>
      <w:r>
        <w:rPr>
          <w:rFonts w:ascii="arial" w:eastAsia="arial" w:hAnsi="arial" w:cs="arial"/>
          <w:i/>
          <w:color w:val="000000"/>
          <w:sz w:val="20"/>
          <w:lang w:val="en-US" w:eastAsia="en-US" w:bidi="ar-SA"/>
        </w:rPr>
        <w:t>Civil Forfeiture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2005 c. 29</w:t>
      </w:r>
      <w:r>
        <w:rPr>
          <w:rFonts w:ascii="arial" w:eastAsia="arial" w:hAnsi="arial" w:cs="arial"/>
          <w:color w:val="000000"/>
          <w:sz w:val="20"/>
          <w:lang w:val="en-US" w:eastAsia="en-US" w:bidi="ar-SA"/>
        </w:rPr>
        <w:t xml:space="preserve">, with liberty to apply to set it aside on 48 hours' notice. Section 9 provides for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orders that can endure for a maximum of 60 days. By consent, the order was extended until a with-notice application could be brought and determined under s.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Director now applies with notice to the defendants for an interim preservation order ("IPO") and the defendants apply to set aside the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order, largely on the basis of non-disclosure.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parties agree that the Director's application in effect supersedes the defendants' application. However, non-disclosure by the Director in obtaining the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application is something that can be examined as a consideration in whether a s. 9 order should be made. On that basis, I directed that the Director's argument should be heard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legal framework for an interim preservation order under s. 8 has been dealt with comprehensively in several decisions, and there is no debate between the parties as to the principles to be applied. I will therefore only briefly refer to those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Section 8(5) of the </w:t>
      </w:r>
      <w:r>
        <w:rPr>
          <w:rFonts w:ascii="arial" w:eastAsia="arial" w:hAnsi="arial" w:cs="arial"/>
          <w:i/>
          <w:color w:val="000000"/>
          <w:sz w:val="20"/>
          <w:lang w:val="en-US" w:eastAsia="en-US" w:bidi="ar-SA"/>
        </w:rPr>
        <w:t>CFA</w:t>
      </w:r>
      <w:r>
        <w:rPr>
          <w:rFonts w:ascii="arial" w:eastAsia="arial" w:hAnsi="arial" w:cs="arial"/>
          <w:color w:val="000000"/>
          <w:sz w:val="20"/>
          <w:lang w:val="en-US" w:eastAsia="en-US" w:bidi="ar-SA"/>
        </w:rPr>
        <w:t xml:space="preserve"> sets out the two-stage test that applies to the issuance of an IPO: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8(5) Unless it is clearly not in the interests of justice, the court must make an interim preservation order applied for under this section if the court is satisfied that one or both of the following constitute a serious question to be tried:</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whole or the portion of the interest in property that is the basis of the application under subsection (1) is proceeds of unlawful activity;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property that is the basis of the application under subsection (2) is an instrument of unlawful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definition of "unlawful activity" is set out in s. 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unlawful activity</w:t>
      </w:r>
      <w:r>
        <w:rPr>
          <w:rFonts w:ascii="arial" w:eastAsia="arial" w:hAnsi="arial" w:cs="arial"/>
          <w:color w:val="000000"/>
          <w:sz w:val="20"/>
          <w:lang w:val="en-US" w:eastAsia="en-US" w:bidi="ar-SA"/>
        </w:rPr>
        <w:t>" means an act or omission described in one of the following paragraphs: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act or omission occurs in British Columbia, the act or omission, at the time of occurrence, is an offence under an Act of Canada or British Columbia;</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act or omission occurs in another province of Canada, the act or omission, at the time of occurrence,</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an offence under an Act of Canada or the other province, as applicable, and</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be an offence in British Columbia, if the act or omission had occurred in British Columbia;</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act or omission occurs in a jurisdiction outside of Canada, the act or omission, at the time of occurrence,</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an offence under an Act of the jurisdiction, and</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be an offence in British Columbia, if the act or omission had occurred in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does not include an act or omission that is an offence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a regulation of a corporation, or</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an enactment of any jurisdiction if the enactment or the jurisdiction is prescribed under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Section 9 provides that the Director must demonstrate--on a "serious question to be tried" standard--that the subject property is the proceeds or an instrument of unlawful activity. In </w:t>
      </w:r>
      <w:r>
        <w:rPr>
          <w:rFonts w:ascii="arial" w:eastAsia="arial" w:hAnsi="arial" w:cs="arial"/>
          <w:i/>
          <w:color w:val="000000"/>
          <w:sz w:val="20"/>
          <w:lang w:val="en-US" w:eastAsia="en-US" w:bidi="ar-SA"/>
        </w:rPr>
        <w:t>Director of Civil Forfeiture v. Angel Acres Recreational and Festival Property Ltd.</w:t>
      </w:r>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2009 BCSC 322</w:t>
        </w:r>
      </w:hyperlink>
      <w:r>
        <w:rPr>
          <w:rFonts w:ascii="arial" w:eastAsia="arial" w:hAnsi="arial" w:cs="arial"/>
          <w:color w:val="000000"/>
          <w:sz w:val="20"/>
          <w:lang w:val="en-US" w:eastAsia="en-US" w:bidi="ar-SA"/>
        </w:rPr>
        <w:t xml:space="preserve">, aff'd </w:t>
      </w:r>
      <w:hyperlink r:id="rId431" w:history="1">
        <w:r>
          <w:rPr>
            <w:rFonts w:ascii="arial" w:eastAsia="arial" w:hAnsi="arial" w:cs="arial"/>
            <w:i/>
            <w:color w:val="0077CC"/>
            <w:sz w:val="20"/>
            <w:u w:val="single"/>
            <w:shd w:val="clear" w:color="auto" w:fill="FFFFFF"/>
            <w:lang w:val="en-US" w:eastAsia="en-US" w:bidi="ar-SA"/>
          </w:rPr>
          <w:t>2010 BCCA 539</w:t>
        </w:r>
      </w:hyperlink>
      <w:r>
        <w:rPr>
          <w:rFonts w:ascii="arial" w:eastAsia="arial" w:hAnsi="arial" w:cs="arial"/>
          <w:color w:val="000000"/>
          <w:sz w:val="20"/>
          <w:lang w:val="en-US" w:eastAsia="en-US" w:bidi="ar-SA"/>
        </w:rPr>
        <w:t xml:space="preserve">, Davies J. concluded that "serious question to be tried" in s. 8(5) is to be interpreted in the same manner as the test for interlocutory civil injunctions discussed in </w:t>
      </w:r>
      <w:r>
        <w:rPr>
          <w:rFonts w:ascii="arial" w:eastAsia="arial" w:hAnsi="arial" w:cs="arial"/>
          <w:i/>
          <w:color w:val="000000"/>
          <w:sz w:val="20"/>
          <w:lang w:val="en-US" w:eastAsia="en-US" w:bidi="ar-SA"/>
        </w:rPr>
        <w:t>RJR-MacDonald Inc. v. Canada (Attorney General)</w:t>
      </w:r>
      <w:r>
        <w:rPr>
          <w:rFonts w:ascii="arial" w:eastAsia="arial" w:hAnsi="arial" w:cs="arial"/>
          <w:color w:val="000000"/>
          <w:sz w:val="20"/>
          <w:lang w:val="en-US" w:eastAsia="en-US" w:bidi="ar-SA"/>
        </w:rPr>
        <w:t xml:space="preserve">, </w:t>
      </w:r>
      <w:hyperlink r:id="rId432" w:history="1">
        <w:r>
          <w:rPr>
            <w:rFonts w:ascii="arial" w:eastAsia="arial" w:hAnsi="arial" w:cs="arial"/>
            <w:i/>
            <w:color w:val="0077CC"/>
            <w:sz w:val="20"/>
            <w:u w:val="single"/>
            <w:shd w:val="clear" w:color="auto" w:fill="FFFFFF"/>
            <w:lang w:val="en-US" w:eastAsia="en-US" w:bidi="ar-SA"/>
          </w:rPr>
          <w:t>[1994] 1 S.C.R. 311</w:t>
        </w:r>
      </w:hyperlink>
      <w:r>
        <w:rPr>
          <w:rFonts w:ascii="arial" w:eastAsia="arial" w:hAnsi="arial" w:cs="arial"/>
          <w:color w:val="000000"/>
          <w:sz w:val="20"/>
          <w:lang w:val="en-US" w:eastAsia="en-US" w:bidi="ar-SA"/>
        </w:rPr>
        <w:t xml:space="preserve">. The threshold is a low one and the object is to determine whether the application is "frivolous or vexatious": </w:t>
      </w:r>
      <w:r>
        <w:rPr>
          <w:rFonts w:ascii="arial" w:eastAsia="arial" w:hAnsi="arial" w:cs="arial"/>
          <w:i/>
          <w:color w:val="000000"/>
          <w:sz w:val="20"/>
          <w:lang w:val="en-US" w:eastAsia="en-US" w:bidi="ar-SA"/>
        </w:rPr>
        <w:t>Angel Acres</w:t>
      </w:r>
      <w:r>
        <w:rPr>
          <w:rFonts w:ascii="arial" w:eastAsia="arial" w:hAnsi="arial" w:cs="arial"/>
          <w:color w:val="000000"/>
          <w:sz w:val="20"/>
          <w:lang w:val="en-US" w:eastAsia="en-US" w:bidi="ar-SA"/>
        </w:rPr>
        <w:t xml:space="preserve"> at paras. 181-184.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Meeting the threshold involves only a preliminary review of the merits: </w:t>
      </w:r>
      <w:r>
        <w:rPr>
          <w:rFonts w:ascii="arial" w:eastAsia="arial" w:hAnsi="arial" w:cs="arial"/>
          <w:i/>
          <w:color w:val="000000"/>
          <w:sz w:val="20"/>
          <w:lang w:val="en-US" w:eastAsia="en-US" w:bidi="ar-SA"/>
        </w:rPr>
        <w:t>Director of Civil Forfeiture v. PacNet Services Ltd.</w:t>
      </w:r>
      <w:r>
        <w:rPr>
          <w:rFonts w:ascii="arial" w:eastAsia="arial" w:hAnsi="arial" w:cs="arial"/>
          <w:color w:val="000000"/>
          <w:sz w:val="20"/>
          <w:lang w:val="en-US" w:eastAsia="en-US" w:bidi="ar-SA"/>
        </w:rPr>
        <w:t xml:space="preserve">, </w:t>
      </w:r>
      <w:hyperlink r:id="rId433" w:history="1">
        <w:r>
          <w:rPr>
            <w:rFonts w:ascii="arial" w:eastAsia="arial" w:hAnsi="arial" w:cs="arial"/>
            <w:i/>
            <w:color w:val="0077CC"/>
            <w:sz w:val="20"/>
            <w:u w:val="single"/>
            <w:shd w:val="clear" w:color="auto" w:fill="FFFFFF"/>
            <w:lang w:val="en-US" w:eastAsia="en-US" w:bidi="ar-SA"/>
          </w:rPr>
          <w:t>2018 BCSC 387</w:t>
        </w:r>
      </w:hyperlink>
      <w:r>
        <w:rPr>
          <w:rFonts w:ascii="arial" w:eastAsia="arial" w:hAnsi="arial" w:cs="arial"/>
          <w:color w:val="000000"/>
          <w:sz w:val="20"/>
          <w:lang w:val="en-US" w:eastAsia="en-US" w:bidi="ar-SA"/>
        </w:rPr>
        <w:t xml:space="preserve"> at para. 41. The court should be cautious in weighing evidence, and should not "engage in an exercise of preferring some evidence over other evidence or begin to make findings of fact": </w:t>
      </w:r>
      <w:r>
        <w:rPr>
          <w:rFonts w:ascii="arial" w:eastAsia="arial" w:hAnsi="arial" w:cs="arial"/>
          <w:i/>
          <w:color w:val="000000"/>
          <w:sz w:val="20"/>
          <w:lang w:val="en-US" w:eastAsia="en-US" w:bidi="ar-SA"/>
        </w:rPr>
        <w:t>British Columbia (Director of Civil Forfeiture) v. Warwick</w:t>
      </w:r>
      <w:r>
        <w:rPr>
          <w:rFonts w:ascii="arial" w:eastAsia="arial" w:hAnsi="arial" w:cs="arial"/>
          <w:color w:val="000000"/>
          <w:sz w:val="20"/>
          <w:lang w:val="en-US" w:eastAsia="en-US" w:bidi="ar-SA"/>
        </w:rPr>
        <w:t xml:space="preserve">, </w:t>
      </w:r>
      <w:hyperlink r:id="rId434" w:history="1">
        <w:r>
          <w:rPr>
            <w:rFonts w:ascii="arial" w:eastAsia="arial" w:hAnsi="arial" w:cs="arial"/>
            <w:i/>
            <w:color w:val="0077CC"/>
            <w:sz w:val="20"/>
            <w:u w:val="single"/>
            <w:shd w:val="clear" w:color="auto" w:fill="FFFFFF"/>
            <w:lang w:val="en-US" w:eastAsia="en-US" w:bidi="ar-SA"/>
          </w:rPr>
          <w:t>2016 BCSC 1471</w:t>
        </w:r>
      </w:hyperlink>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If the Director has shown a serious question to be tried, s. 9 mandates the court to make the order unless it is clearly not in the interests of justice. The burden of demonstrating that is on the defendant: </w:t>
      </w:r>
      <w:r>
        <w:rPr>
          <w:rFonts w:ascii="arial" w:eastAsia="arial" w:hAnsi="arial" w:cs="arial"/>
          <w:i/>
          <w:color w:val="000000"/>
          <w:sz w:val="20"/>
          <w:lang w:val="en-US" w:eastAsia="en-US" w:bidi="ar-SA"/>
        </w:rPr>
        <w:t>British Columbia (Director of Civil Forfeiture) v. Fischer</w:t>
      </w:r>
      <w:r>
        <w:rPr>
          <w:rFonts w:ascii="arial" w:eastAsia="arial" w:hAnsi="arial" w:cs="arial"/>
          <w:color w:val="000000"/>
          <w:sz w:val="20"/>
          <w:lang w:val="en-US" w:eastAsia="en-US" w:bidi="ar-SA"/>
        </w:rPr>
        <w:t xml:space="preserve">, </w:t>
      </w:r>
      <w:hyperlink r:id="rId435" w:history="1">
        <w:r>
          <w:rPr>
            <w:rFonts w:ascii="arial" w:eastAsia="arial" w:hAnsi="arial" w:cs="arial"/>
            <w:i/>
            <w:color w:val="0077CC"/>
            <w:sz w:val="20"/>
            <w:u w:val="single"/>
            <w:shd w:val="clear" w:color="auto" w:fill="FFFFFF"/>
            <w:lang w:val="en-US" w:eastAsia="en-US" w:bidi="ar-SA"/>
          </w:rPr>
          <w:t>2010 BCSC 568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courts in British Columbia and Ontario, which has a similar regime to that here, have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Since preservation orders are interlocutory in nature, the "clearly not in the interests of justice" exception should be applied even more stringently at this motions stage than at the final forfeiture stage of the proceeding.</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Attorney General of Ontario v. $7,950.05 in Canadian Currency (in rem)</w:t>
      </w:r>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2017 ONSC 5855</w:t>
        </w:r>
      </w:hyperlink>
      <w:r>
        <w:rPr>
          <w:rFonts w:ascii="arial" w:eastAsia="arial" w:hAnsi="arial" w:cs="arial"/>
          <w:color w:val="000000"/>
          <w:sz w:val="20"/>
          <w:lang w:val="en-US" w:eastAsia="en-US" w:bidi="ar-SA"/>
        </w:rPr>
        <w:t xml:space="preserve"> (Ont. S.C.J.), quoted with approval by Fitzpatrick J. in </w:t>
      </w:r>
      <w:r>
        <w:rPr>
          <w:rFonts w:ascii="arial" w:eastAsia="arial" w:hAnsi="arial" w:cs="arial"/>
          <w:i/>
          <w:color w:val="000000"/>
          <w:sz w:val="20"/>
          <w:lang w:val="en-US" w:eastAsia="en-US" w:bidi="ar-SA"/>
        </w:rPr>
        <w:t>PacNet</w:t>
      </w:r>
      <w:r>
        <w:rPr>
          <w:rFonts w:ascii="arial" w:eastAsia="arial" w:hAnsi="arial" w:cs="arial"/>
          <w:color w:val="000000"/>
          <w:sz w:val="20"/>
          <w:lang w:val="en-US" w:eastAsia="en-US" w:bidi="ar-SA"/>
        </w:rPr>
        <w:t xml:space="preserve"> at para.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These cases also state that the person opposing the IPO must show that the forfeiture order would be a "manifestly harsh and inequitable result": </w:t>
      </w:r>
      <w:r>
        <w:rPr>
          <w:rFonts w:ascii="arial" w:eastAsia="arial" w:hAnsi="arial" w:cs="arial"/>
          <w:i/>
          <w:color w:val="000000"/>
          <w:sz w:val="20"/>
          <w:lang w:val="en-US" w:eastAsia="en-US" w:bidi="ar-SA"/>
        </w:rPr>
        <w:t>PacNet</w:t>
      </w:r>
      <w:r>
        <w:rPr>
          <w:rFonts w:ascii="arial" w:eastAsia="arial" w:hAnsi="arial" w:cs="arial"/>
          <w:color w:val="000000"/>
          <w:sz w:val="20"/>
          <w:lang w:val="en-US" w:eastAsia="en-US" w:bidi="ar-SA"/>
        </w:rPr>
        <w:t xml:space="preserve"> at para.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As in any civil case, at the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hearing, the Director must make full and frank disclosure of all material facts. While, as stated above, I am not dealing with an application to set aside the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order, the failure to make full and frank disclosure is something that can be taken into account as part of the interests of justice requirement when determining whether to grant the Director the IPO at the with-notice hearing: </w:t>
      </w:r>
      <w:r>
        <w:rPr>
          <w:rFonts w:ascii="arial" w:eastAsia="arial" w:hAnsi="arial" w:cs="arial"/>
          <w:i/>
          <w:color w:val="000000"/>
          <w:sz w:val="20"/>
          <w:lang w:val="en-US" w:eastAsia="en-US" w:bidi="ar-SA"/>
        </w:rPr>
        <w:t>British Columbia (Director of Civil Forfeiture) v. Nguy</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2018 BCSC 1621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SERIOUS QUESTION TO BE TRIED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Hobbs and Ms. Cheng are the principals of Vanbex Group Inc.("Vanbex") and Vanbex Labs Inc. (formerly known as Etherparty Smart Contracts Inc.) Vanbex conducts business under Etherparty, Vanbex Ventures Inc., Vanbex Cares Foundation, Genisys Ventures Inc., and Vanbex Labs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September and October 2017, Vanbex launched a cryptocurrency coin called the FUEL token and sold it to the public through an Initial Coin Offering ("ICO"). The ICO generated in excess of US$30 million. The public paid for their FUEL tokens largely by Bitcoin.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Stating it at its most general level, the Director claims that the defendants, through Vanbex, marketed the sale of the tokens, generated revenue for Vanbex, and then converted this directly to their personal bank accounts. They then used the funds to buy personal assets including a condominium in Toronto and two high-end cars.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Director alleges the following offences: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Fraud over $5,000 contrary to s. 380(1)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438"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Affecting market price of anything offered for sale to the public contrary to s. 380(2)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Failure to declare taxable income contrary to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R.S.C., 1985, c. 1 (5th Supp.);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Laundering the proceeds of crime contrary to s. 462.31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alleged fraudulent acts involve the marketing and sale of the tokens (which I will refer to as the "front-end" of the alleged wrongs) and the siphoning of cash from the company to the personal benefit of Hobbs and Chen (which I will refer to as the "back-end"). The use of the funds is also the subject of the alleged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offence. At the hearing in front of me, the Director focussed on back end. I will deal with that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RCMP investigation disclosed a series of transactions in which Bitcoin was converted by Etherparty into U.S. currency through a US cryptocurrency company, Cumberland Mining and Minerals, LLC, and then money was transferred by Etherparty to Hobbs and Cheng. For example:</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August 17, 2017 Etherparty Inc. received its first ICO pre-sale contribution reported to FINTRAC (Exhibit "B" page 36);</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August 21, 2017 Etherparty Inc. received US$200,000 from Cumberland (Exhibit "B" page 36);</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August 29, 2017 Etherparty Inc. received US$500,341 from Cumberland (Exhibit "B" page 36);</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September 1, 2017 Etherparty Inc. received US$1,000,000 from Cumberland (Exhibit "B" page 36);</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October 10, 2017 Mr. Hobbs received US$200,000 from Cumberland (Exhibit "B" page 10);</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November 21, 2017 Mr. Hobbs received US$150,000 from Cumberland (Exhibit "B" page 10);</w:t>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November 27, 2017 Mr. Hobbs received US$500,000 from Cumberland (Exhibit "B" page 10);</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November 30, 2017 Etherparty Inc. received $500,000 from Cumberland (Exhibit "B" page 36);</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December 1, 2017 Mr. Hobbs received US$500,000 from Cumberland (Exhibit "B" page 10); and</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December 4, 2017 Mr. Hobbs received US$2,000,000 from Cumberland (Exhibit "B" page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December 8, 2017 Hobbs and Cheng purchased the Real Property (a condominium in Coal Harbour) for CDN$4.1 million in cash. The day prior to that, Hobbs withdrew over $4.1 million of the Cumberland transactions from his personal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the same time and shortly after, Mr. Hobbs made the following purchases:</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February 16, 2018 Mr. Hobbs purchased a 2017 Range Rover SV with an estimated retail value of CDN$178,703 to CDN$187,089 (one of the Vehicles referred to in the style of cause);</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2, 2018 Mr. Hobbs purchased real property at 5204 - 311 Bay Street, Toronto, Ontario for CDN$3,738,053 in cash; and</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April 21, 2018 Mr. Hobbs purchased a 2018 Range Rover with an estimated retail value of $122,935 to $129,485 (the other Vehicle referred to in the style of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 mortgage was registered on the Bay Street property in the amount of CDN$2,250,000 on February 25, 2019. Mr. Hobbs and Ms. Cheng also mortgaged the Real Property on December 20, 2018. The Director draws the inference that some or all of the proceeds of these financings form the Bank Funds held at the Bank of Montreal, which are captured by the current IPO. I draw the same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RCMP investigator deposes that Mr. Hobbs apparently had no substantial wealth or assets prior to the ICO. As of September 29, 2017 Mr. Hobbs had only CDN$15,122.99 in his personal bank accounts. Ms. Cheng does not appear to have any active personal Canadian bank accounts. Mr. Hobbs lives in a residence owned by Ms. Cheng's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Section 380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sets out the offence of fraud: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380(1) Every one who, by deceit, falsehood </w:t>
      </w:r>
      <w:r>
        <w:rPr>
          <w:rFonts w:ascii="arial" w:eastAsia="arial" w:hAnsi="arial" w:cs="arial"/>
          <w:b/>
          <w:i/>
          <w:color w:val="000000"/>
          <w:sz w:val="20"/>
          <w:lang w:val="en-US" w:eastAsia="en-US" w:bidi="ar-SA"/>
        </w:rPr>
        <w:t>or other fraudulent means</w:t>
      </w:r>
      <w:r>
        <w:rPr>
          <w:rFonts w:ascii="arial" w:eastAsia="arial" w:hAnsi="arial" w:cs="arial"/>
          <w:color w:val="000000"/>
          <w:sz w:val="20"/>
          <w:lang w:val="en-US" w:eastAsia="en-US" w:bidi="ar-SA"/>
        </w:rPr>
        <w:t>, whether or not it is a false pretence within the meaning of this Act, defrauds the public or any person, whether ascertained or not, of any property, money or valuable security or any service,</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guilty of an indictable offence and liable to a term of imprisonment not exceeding fourteen years, where the subject-matter of the offence is a testamentary instrument or the value of the subject-matter of the offence exceeds five thousand dollars [...]</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Director relies on fraud by "other fraudulent means". He argues that the taking of funds from the company was done without authorisation and for no proper corporate purpose. He relies on </w:t>
      </w:r>
      <w:r>
        <w:rPr>
          <w:rFonts w:ascii="arial" w:eastAsia="arial" w:hAnsi="arial" w:cs="arial"/>
          <w:i/>
          <w:color w:val="000000"/>
          <w:sz w:val="20"/>
          <w:lang w:val="en-US" w:eastAsia="en-US" w:bidi="ar-SA"/>
        </w:rPr>
        <w:t>R v. Zlatic</w:t>
      </w:r>
      <w:r>
        <w:rPr>
          <w:rFonts w:ascii="arial" w:eastAsia="arial" w:hAnsi="arial" w:cs="arial"/>
          <w:color w:val="000000"/>
          <w:sz w:val="20"/>
          <w:lang w:val="en-US" w:eastAsia="en-US" w:bidi="ar-SA"/>
        </w:rPr>
        <w:t xml:space="preserve">, </w:t>
      </w:r>
      <w:hyperlink r:id="rId439" w:history="1">
        <w:r>
          <w:rPr>
            <w:rFonts w:ascii="arial" w:eastAsia="arial" w:hAnsi="arial" w:cs="arial"/>
            <w:i/>
            <w:color w:val="0077CC"/>
            <w:sz w:val="20"/>
            <w:u w:val="single"/>
            <w:shd w:val="clear" w:color="auto" w:fill="FFFFFF"/>
            <w:lang w:val="en-US" w:eastAsia="en-US" w:bidi="ar-SA"/>
          </w:rPr>
          <w:t>[1993] 2 S.C.R. 29</w:t>
        </w:r>
      </w:hyperlink>
      <w:r>
        <w:rPr>
          <w:rFonts w:ascii="arial" w:eastAsia="arial" w:hAnsi="arial" w:cs="arial"/>
          <w:color w:val="000000"/>
          <w:sz w:val="20"/>
          <w:lang w:val="en-US" w:eastAsia="en-US" w:bidi="ar-SA"/>
        </w:rPr>
        <w:t xml:space="preserve">, which dealt with this aspect of fraud. The court noted (cited to </w:t>
      </w:r>
      <w:hyperlink r:id="rId439" w:history="1">
        <w:r>
          <w:rPr>
            <w:rFonts w:ascii="arial" w:eastAsia="arial" w:hAnsi="arial" w:cs="arial"/>
            <w:i/>
            <w:color w:val="0077CC"/>
            <w:sz w:val="20"/>
            <w:u w:val="single"/>
            <w:shd w:val="clear" w:color="auto" w:fill="FFFFFF"/>
            <w:lang w:val="en-US" w:eastAsia="en-US" w:bidi="ar-SA"/>
          </w:rPr>
          <w:t>1993 CarswellQue 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Fraud by "Other Fraudulent Means</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 Most frauds continue to involve either deceit or falsehood. As is pointed out in Théroux, proof of deceit or falsehood is sufficient to establish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of fraud; no further proof of dishonest action is needed. However, the third category of "other fraudulent means" has been used to support convictions in a number of situations where deceit or falsehood cannot be shown. These situations include, to date, the use of corporate funds for personal purposes, non-disclosure of important facts, exploiting the weakness of another, unauthorized diversion of funds, and unauthorized arrogation of funds or property. [citations eliminated]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The fundamental question in determining the actus reus of fraud within the third head of the offence of fraud is whether the means to the alleged fraud can properly be stigmatized as dishonest: </w:t>
      </w:r>
      <w:r>
        <w:rPr>
          <w:rFonts w:ascii="arial" w:eastAsia="arial" w:hAnsi="arial" w:cs="arial"/>
          <w:i/>
          <w:color w:val="000000"/>
          <w:sz w:val="20"/>
          <w:lang w:val="en-US" w:eastAsia="en-US" w:bidi="ar-SA"/>
        </w:rPr>
        <w:t>Olan</w:t>
      </w:r>
      <w:r>
        <w:rPr>
          <w:rFonts w:ascii="arial" w:eastAsia="arial" w:hAnsi="arial" w:cs="arial"/>
          <w:color w:val="000000"/>
          <w:sz w:val="20"/>
          <w:lang w:val="en-US" w:eastAsia="en-US" w:bidi="ar-SA"/>
        </w:rPr>
        <w:t>, supra. In determining this, one applies a standard of the reasonable person. Would the reasonable person stigmatize what was done as dishonest?...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21 Appellate courts have followed the same approach, asking whether the diversion of funds at issue could reasonably be thought to serve personal rather than bona fide business 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defendants argue that the evidence is entirely speculative. It is true that the evidence is circumstantial, but the courts are permitted to draw inferences and this is especially so with respect to an ITO that is determined on the low standard of an arguable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Given the timing of the various transfers and the amounts involved it is reasonable to draw the inference that the funds that made their way to Hobbs and Cheng came from the coin offering and the company and that the funds were used to purchase the assets sought to be attached. With resect to taking the funds without authorisation, the former CFO stated that he discovered the funds had been withdrawn and he booked it as a shareholder's loan. The defendants argue that lends the transaction some legitimacy. However, an ex </w:t>
      </w:r>
      <w:r>
        <w:rPr>
          <w:rFonts w:ascii="arial" w:eastAsia="arial" w:hAnsi="arial" w:cs="arial"/>
          <w:i/>
          <w:color w:val="000000"/>
          <w:sz w:val="20"/>
          <w:lang w:val="en-US" w:eastAsia="en-US" w:bidi="ar-SA"/>
        </w:rPr>
        <w:t>post facto</w:t>
      </w:r>
      <w:r>
        <w:rPr>
          <w:rFonts w:ascii="arial" w:eastAsia="arial" w:hAnsi="arial" w:cs="arial"/>
          <w:color w:val="000000"/>
          <w:sz w:val="20"/>
          <w:lang w:val="en-US" w:eastAsia="en-US" w:bidi="ar-SA"/>
        </w:rPr>
        <w:t xml:space="preserve"> accounting treatment is not an authorisation.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Hobbs and Cheng swore affidavits. They did not attempt to explain the source of the funds or offer evidence that the corporation authorised their withdrawal. However, they did make broad denials of having committed any fraud or of misusing corporate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courts have granted ITO's using similar circumstantial evidence. See, for example, </w:t>
      </w:r>
      <w:r>
        <w:rPr>
          <w:rFonts w:ascii="arial" w:eastAsia="arial" w:hAnsi="arial" w:cs="arial"/>
          <w:i/>
          <w:color w:val="000000"/>
          <w:sz w:val="20"/>
          <w:lang w:val="en-US" w:eastAsia="en-US" w:bidi="ar-SA"/>
        </w:rPr>
        <w:t>PacNet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British Columbia (Director of Civil Forfeiture) v. Wong</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2014 BCSC 359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Warwick</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Turning back to the substance of the alleged offence of fraud by other fraudulent means, the Director argues that the unauthorised taking of funds from the company in and of itself amounted to fraud. As mentioned in </w:t>
      </w:r>
      <w:r>
        <w:rPr>
          <w:rFonts w:ascii="arial" w:eastAsia="arial" w:hAnsi="arial" w:cs="arial"/>
          <w:i/>
          <w:color w:val="000000"/>
          <w:sz w:val="20"/>
          <w:lang w:val="en-US" w:eastAsia="en-US" w:bidi="ar-SA"/>
        </w:rPr>
        <w:t>Zlatic</w:t>
      </w:r>
      <w:r>
        <w:rPr>
          <w:rFonts w:ascii="arial" w:eastAsia="arial" w:hAnsi="arial" w:cs="arial"/>
          <w:color w:val="000000"/>
          <w:sz w:val="20"/>
          <w:lang w:val="en-US" w:eastAsia="en-US" w:bidi="ar-SA"/>
        </w:rPr>
        <w:t xml:space="preserve">, the taking of funds without a proper corporate purpose can constitute fraud by dishonest means. The unusual feature of this case is that the defendants owned the shares of the company, which was a private corporation. The Director goes further: he also argues that the purchasers of the tokens had an expectation that the purchase funds would be used for </w:t>
      </w:r>
      <w:r>
        <w:rPr>
          <w:rFonts w:ascii="arial" w:eastAsia="arial" w:hAnsi="arial" w:cs="arial"/>
          <w:i/>
          <w:color w:val="000000"/>
          <w:sz w:val="20"/>
          <w:lang w:val="en-US" w:eastAsia="en-US" w:bidi="ar-SA"/>
        </w:rPr>
        <w:t>bone fide</w:t>
      </w:r>
      <w:r>
        <w:rPr>
          <w:rFonts w:ascii="arial" w:eastAsia="arial" w:hAnsi="arial" w:cs="arial"/>
          <w:color w:val="000000"/>
          <w:sz w:val="20"/>
          <w:lang w:val="en-US" w:eastAsia="en-US" w:bidi="ar-SA"/>
        </w:rPr>
        <w:t xml:space="preserve"> corporate purposes. He notes the following statement from the white paper, which was used to promote the ICO: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ICO will allow us to hire new talent, pay for marketing, as well as for business and product development so that we can be the first to market with a smart contract platform that anyone can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Zlatic</w:t>
      </w:r>
      <w:r>
        <w:rPr>
          <w:rFonts w:ascii="arial" w:eastAsia="arial" w:hAnsi="arial" w:cs="arial"/>
          <w:color w:val="000000"/>
          <w:sz w:val="20"/>
          <w:lang w:val="en-US" w:eastAsia="en-US" w:bidi="ar-SA"/>
        </w:rPr>
        <w:t>, the accused was a businessman who bought goods from suppliers on credit. Mr. Zlatic sold the goods but instead of using the sales proceeds to re-pay the suppliers he gambled the money and lost. He was convicted of fraud. The Supreme Court upheld the conviction, noting, in addition to the above, that the wrongful use of money in which others have a pecuniary interest for purposes that have nothing to do with the business may constitute fraud (para. 37). The court also noted that Zlatic having legal title to the money he gambled did not alter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Based on the evidence I have described and </w:t>
      </w:r>
      <w:r>
        <w:rPr>
          <w:rFonts w:ascii="arial" w:eastAsia="arial" w:hAnsi="arial" w:cs="arial"/>
          <w:i/>
          <w:color w:val="000000"/>
          <w:sz w:val="20"/>
          <w:lang w:val="en-US" w:eastAsia="en-US" w:bidi="ar-SA"/>
        </w:rPr>
        <w:t>Zlatic</w:t>
      </w:r>
      <w:r>
        <w:rPr>
          <w:rFonts w:ascii="arial" w:eastAsia="arial" w:hAnsi="arial" w:cs="arial"/>
          <w:color w:val="000000"/>
          <w:sz w:val="20"/>
          <w:lang w:val="en-US" w:eastAsia="en-US" w:bidi="ar-SA"/>
        </w:rPr>
        <w:t>, in my view, the Director has made out a serious case to be tried for fraud by other means. He has also made out a serious case to be tried that the assets sought to be preserved are the proceeds of that alleged crime.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INTERESTS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 major issue raised by the defendants with respect to the interest of justice aspect of the test for an ICO is that they say the Director did not make full and frank disclosure at the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hearing. As I said above, that is something that can be taken into account in the interests of justice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Nguy</w:t>
      </w:r>
      <w:r>
        <w:rPr>
          <w:rFonts w:ascii="arial" w:eastAsia="arial" w:hAnsi="arial" w:cs="arial"/>
          <w:color w:val="000000"/>
          <w:sz w:val="20"/>
          <w:lang w:val="en-US" w:eastAsia="en-US" w:bidi="ar-SA"/>
        </w:rPr>
        <w:t>, DeWitt-Van Oosten J. referred to the authorities setting out the disclosure obligation: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[80] When the Director applies for an IPO on an </w:t>
      </w:r>
      <w:r>
        <w:rPr>
          <w:rFonts w:ascii="arial" w:eastAsia="arial" w:hAnsi="arial" w:cs="arial"/>
          <w:i/>
          <w:color w:val="000000"/>
          <w:sz w:val="20"/>
          <w:lang w:val="en-US" w:eastAsia="en-US" w:bidi="ar-SA"/>
        </w:rPr>
        <w:t>ex-parte</w:t>
      </w:r>
      <w:r>
        <w:rPr>
          <w:rFonts w:ascii="arial" w:eastAsia="arial" w:hAnsi="arial" w:cs="arial"/>
          <w:color w:val="000000"/>
          <w:sz w:val="20"/>
          <w:lang w:val="en-US" w:eastAsia="en-US" w:bidi="ar-SA"/>
        </w:rPr>
        <w:t xml:space="preserve"> and without notice basis, he has an obligation to make full and frank disclosure. The nature of this obligation was discussed in </w:t>
      </w:r>
      <w:r>
        <w:rPr>
          <w:rFonts w:ascii="arial" w:eastAsia="arial" w:hAnsi="arial" w:cs="arial"/>
          <w:i/>
          <w:color w:val="000000"/>
          <w:sz w:val="20"/>
          <w:lang w:val="en-US" w:eastAsia="en-US" w:bidi="ar-SA"/>
        </w:rPr>
        <w:t>Angel Acres #2: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I have accordingly concluded that when making without notice applications for interim preservation orders under ss. 8 and 9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the Director must, in good faith, make full and fair disclosure of material facts, including those facts that would tend to diminish the Director's right to the relief sought</w:t>
      </w:r>
      <w:r>
        <w:rPr>
          <w:rFonts w:ascii="arial" w:eastAsia="arial" w:hAnsi="arial" w:cs="arial"/>
          <w:color w:val="000000"/>
          <w:sz w:val="20"/>
          <w:lang w:val="en-US" w:eastAsia="en-US" w:bidi="ar-SA"/>
        </w:rPr>
        <w:t>. The Director must also not misstate or exaggerate the strength of the Director's case or the evidence adduced to obtain the relief sought.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[Emphasis added in </w:t>
      </w:r>
      <w:r>
        <w:rPr>
          <w:rFonts w:ascii="arial" w:eastAsia="arial" w:hAnsi="arial" w:cs="arial"/>
          <w:i/>
          <w:color w:val="000000"/>
          <w:sz w:val="20"/>
          <w:lang w:val="en-US" w:eastAsia="en-US" w:bidi="ar-SA"/>
        </w:rPr>
        <w:t>Nguy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[81] In </w:t>
      </w:r>
      <w:r>
        <w:rPr>
          <w:rFonts w:ascii="arial" w:eastAsia="arial" w:hAnsi="arial" w:cs="arial"/>
          <w:i/>
          <w:color w:val="000000"/>
          <w:sz w:val="20"/>
          <w:lang w:val="en-US" w:eastAsia="en-US" w:bidi="ar-SA"/>
        </w:rPr>
        <w:t>Ontario (Attorney General) v. $787,940 in Canadian Currency (In Rem)</w:t>
      </w:r>
      <w:r>
        <w:rPr>
          <w:rFonts w:ascii="arial" w:eastAsia="arial" w:hAnsi="arial" w:cs="arial"/>
          <w:color w:val="000000"/>
          <w:sz w:val="20"/>
          <w:lang w:val="en-US" w:eastAsia="en-US" w:bidi="ar-SA"/>
        </w:rPr>
        <w:t xml:space="preserve"> (2014), </w:t>
      </w:r>
      <w:hyperlink r:id="rId441" w:history="1">
        <w:r>
          <w:rPr>
            <w:rFonts w:ascii="arial" w:eastAsia="arial" w:hAnsi="arial" w:cs="arial"/>
            <w:i/>
            <w:color w:val="0077CC"/>
            <w:sz w:val="20"/>
            <w:u w:val="single"/>
            <w:shd w:val="clear" w:color="auto" w:fill="FFFFFF"/>
            <w:lang w:val="en-US" w:eastAsia="en-US" w:bidi="ar-SA"/>
          </w:rPr>
          <w:t>2014 ONSC 3069</w:t>
        </w:r>
      </w:hyperlink>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120 O.R. (3d) 300</w:t>
        </w:r>
      </w:hyperlink>
      <w:r>
        <w:rPr>
          <w:rFonts w:ascii="arial" w:eastAsia="arial" w:hAnsi="arial" w:cs="arial"/>
          <w:color w:val="000000"/>
          <w:sz w:val="20"/>
          <w:lang w:val="en-US" w:eastAsia="en-US" w:bidi="ar-SA"/>
        </w:rPr>
        <w:t xml:space="preserve"> (O.N. S.C.), the Court helpfully provided the following articulation of "materiality":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The materiality of the facts that need to be disclosed on an </w:t>
      </w:r>
      <w:r>
        <w:rPr>
          <w:rFonts w:ascii="arial" w:eastAsia="arial" w:hAnsi="arial" w:cs="arial"/>
          <w:i/>
          <w:color w:val="000000"/>
          <w:sz w:val="20"/>
          <w:lang w:val="en-US" w:eastAsia="en-US" w:bidi="ar-SA"/>
        </w:rPr>
        <w:t>ex-parte</w:t>
      </w:r>
      <w:r>
        <w:rPr>
          <w:rFonts w:ascii="arial" w:eastAsia="arial" w:hAnsi="arial" w:cs="arial"/>
          <w:color w:val="000000"/>
          <w:sz w:val="20"/>
          <w:lang w:val="en-US" w:eastAsia="en-US" w:bidi="ar-SA"/>
        </w:rPr>
        <w:t xml:space="preserve"> application must be interpreted broadly ... "any fact that would have been weighed or considered by the motions judge in deciding the issues, regardless of whether its disclosure would have changed the outcome, is material".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[Internal references omitted in </w:t>
      </w:r>
      <w:r>
        <w:rPr>
          <w:rFonts w:ascii="arial" w:eastAsia="arial" w:hAnsi="arial" w:cs="arial"/>
          <w:i/>
          <w:color w:val="000000"/>
          <w:sz w:val="20"/>
          <w:lang w:val="en-US" w:eastAsia="en-US" w:bidi="ar-SA"/>
        </w:rPr>
        <w:t>Nguy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[83] The duty to make full and frank disclosure in an </w:t>
      </w:r>
      <w:r>
        <w:rPr>
          <w:rFonts w:ascii="arial" w:eastAsia="arial" w:hAnsi="arial" w:cs="arial"/>
          <w:i/>
          <w:color w:val="000000"/>
          <w:sz w:val="20"/>
          <w:lang w:val="en-US" w:eastAsia="en-US" w:bidi="ar-SA"/>
        </w:rPr>
        <w:t>ex-parte</w:t>
      </w:r>
      <w:r>
        <w:rPr>
          <w:rFonts w:ascii="arial" w:eastAsia="arial" w:hAnsi="arial" w:cs="arial"/>
          <w:color w:val="000000"/>
          <w:sz w:val="20"/>
          <w:lang w:val="en-US" w:eastAsia="en-US" w:bidi="ar-SA"/>
        </w:rPr>
        <w:t xml:space="preserve"> proceeding, irrespective of the context in which it arises, was restated by the Court of Appeal for British Columbia in </w:t>
      </w:r>
      <w:r>
        <w:rPr>
          <w:rFonts w:ascii="arial" w:eastAsia="arial" w:hAnsi="arial" w:cs="arial"/>
          <w:i/>
          <w:color w:val="000000"/>
          <w:sz w:val="20"/>
          <w:lang w:val="en-US" w:eastAsia="en-US" w:bidi="ar-SA"/>
        </w:rPr>
        <w:t>Kriegman v. Dill</w:t>
      </w:r>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2018 BCCA 86</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 Little is to be gained by trying to formulate the standard in different ways to meet different contexts. The duty is to make full and frank disclosure of all </w:t>
      </w:r>
      <w:r>
        <w:rPr>
          <w:rFonts w:ascii="arial" w:eastAsia="arial" w:hAnsi="arial" w:cs="arial"/>
          <w:i/>
          <w:color w:val="000000"/>
          <w:sz w:val="20"/>
          <w:lang w:val="en-US" w:eastAsia="en-US" w:bidi="ar-SA"/>
        </w:rPr>
        <w:t>material</w:t>
      </w:r>
      <w:r>
        <w:rPr>
          <w:rFonts w:ascii="arial" w:eastAsia="arial" w:hAnsi="arial" w:cs="arial"/>
          <w:color w:val="000000"/>
          <w:sz w:val="20"/>
          <w:lang w:val="en-US" w:eastAsia="en-US" w:bidi="ar-SA"/>
        </w:rPr>
        <w:t xml:space="preserve"> facts -- </w:t>
      </w:r>
      <w:r>
        <w:rPr>
          <w:rFonts w:ascii="arial" w:eastAsia="arial" w:hAnsi="arial" w:cs="arial"/>
          <w:color w:val="000000"/>
          <w:sz w:val="20"/>
          <w:u w:val="single"/>
          <w:lang w:val="en-US" w:eastAsia="en-US" w:bidi="ar-SA"/>
        </w:rPr>
        <w:t>meaning facts that might be expected to influence the granting or rejection of the application in question</w:t>
      </w:r>
      <w:r>
        <w:rPr>
          <w:rFonts w:ascii="arial" w:eastAsia="arial" w:hAnsi="arial" w:cs="arial"/>
          <w:color w:val="000000"/>
          <w:sz w:val="20"/>
          <w:lang w:val="en-US" w:eastAsia="en-US" w:bidi="ar-SA"/>
        </w:rPr>
        <w:t>. Materiality is ultimately to be determined by the court in each particular case; where a lawyer is in doubt, he or she should obviously err on the side of disclosure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[Underlining added in </w:t>
      </w:r>
      <w:r>
        <w:rPr>
          <w:rFonts w:ascii="arial" w:eastAsia="arial" w:hAnsi="arial" w:cs="arial"/>
          <w:i/>
          <w:color w:val="000000"/>
          <w:sz w:val="20"/>
          <w:lang w:val="en-US" w:eastAsia="en-US" w:bidi="ar-SA"/>
        </w:rPr>
        <w:t>Nguy</w:t>
      </w:r>
      <w:r>
        <w:rPr>
          <w:rFonts w:ascii="arial" w:eastAsia="arial" w:hAnsi="arial" w:cs="arial"/>
          <w:color w:val="000000"/>
          <w:sz w:val="20"/>
          <w:lang w:val="en-US" w:eastAsia="en-US" w:bidi="ar-SA"/>
        </w:rPr>
        <w:t>. Italics in the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As recognised by DeWitt-Van Oosten J. in </w:t>
      </w:r>
      <w:r>
        <w:rPr>
          <w:rFonts w:ascii="arial" w:eastAsia="arial" w:hAnsi="arial" w:cs="arial"/>
          <w:i/>
          <w:color w:val="000000"/>
          <w:sz w:val="20"/>
          <w:lang w:val="en-US" w:eastAsia="en-US" w:bidi="ar-SA"/>
        </w:rPr>
        <w:t>Nguy</w:t>
      </w:r>
      <w:r>
        <w:rPr>
          <w:rFonts w:ascii="arial" w:eastAsia="arial" w:hAnsi="arial" w:cs="arial"/>
          <w:color w:val="000000"/>
          <w:sz w:val="20"/>
          <w:lang w:val="en-US" w:eastAsia="en-US" w:bidi="ar-SA"/>
        </w:rPr>
        <w:t xml:space="preserve"> at para. 181, a refusal to grant an ITO based on the interests of justice will be rare. She found that the case before her was one of those rare instances. I will return to this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defendants argue that Power J. was misled about Mr. Hobbs's criminal record because the affidavit in support of the application referred to a criminal conviction for possession of marijuana; however, the conviction had been overturned.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affiant, an RCMP officer, explained that this was an honest mistake: another officer gave him the trial judgment and he did not think to check if the decision had been reversed on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While the conviction was mentioned in the affidavit, it was not raised in argument at the hearing. Moreover, the affidavit also referred to a conviction of Mr. Hobbs for possession of property obtained by crime over $5,000 and laundering the proceeds of crime.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defendants say that the court was misled with respect to Mr. Hobbs's gambling history and proclivities. They say that the portrait was conveyed that "Mr. Hobbs had taken funds from FUEL token purchasers and he was gambling recklessly with those funds". Further, the court was not informed that Mr. Hobbs was a successful gambler and did not disclose that he had substantial cash receipts from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Counsel at the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hearing referred the judge to the record of Mr. Hobbs's gaming, which are not denied as being accurate. While he advised the court that Hobbs was a substantial gambler he also said that Hobbs was, on occasion, a wildly successful gambler. Successful gambler or not, it was perfectly legitimate to point out to the court that Hobbs was a prolific gambler because there is a fair inference to be drawn that funds taken from the company were or may have been put at risk. I note that in </w:t>
      </w:r>
      <w:r>
        <w:rPr>
          <w:rFonts w:ascii="arial" w:eastAsia="arial" w:hAnsi="arial" w:cs="arial"/>
          <w:i/>
          <w:color w:val="000000"/>
          <w:sz w:val="20"/>
          <w:lang w:val="en-US" w:eastAsia="en-US" w:bidi="ar-SA"/>
        </w:rPr>
        <w:t>Zlatic</w:t>
      </w:r>
      <w:r>
        <w:rPr>
          <w:rFonts w:ascii="arial" w:eastAsia="arial" w:hAnsi="arial" w:cs="arial"/>
          <w:color w:val="000000"/>
          <w:sz w:val="20"/>
          <w:lang w:val="en-US" w:eastAsia="en-US" w:bidi="ar-SA"/>
        </w:rPr>
        <w:t xml:space="preserve"> the court said that no actual deprivation is necessary to make out a charge of fraud; the risk of deprivation is sufficient (para. 25). Moreover, Mr. Hobbs's winnings can in no way explain the amount of the property purchased by him and Cheng.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Further with respect to gambling, Mr. Hobbs says the court was told that he was put on a watch list and then denied access. He says this was a result of the commencement of this action, and that the court should have been told of this. The evidence in support of this is Mr. Hobbs's affidavit where he says, "I was never aware that I was on a 'watch list' at BC Casinos until this legal proceeding." That is not evidence as to the cause of him being put on a watch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Further, counsel for the Director told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again, I will take Your Ladyship to the evidence with respect to that. He was put on a watch list from the BC Lottery's Commission and, as I say, denied access. Paragraph 34 of the affidavit of Corporal Johnson deposes to that taking place on November 27th of 2017. And that was predicated upon a period of just about seven months or so, between September of 2016 and March of 2018 where casino disbursements for Mr. Hobbs totalled just shy of $2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do not find that to be a misleading or false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defendants make reference to alleged inaccurate statements in the Notice of Civil Claim, primarily that Vanbex was a shell company. The duty of full and frank disclosure does not extend to pleadings, which are not taken as evidence. Examining the veracity of the pleadings for the purposes of determining full disclosure at an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hearing would impose too high a burden on an applicant and bog the court down in endless debate.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balance of the other allegations of non-disclosure concern what I referred to as the "front-end" alleged criminal activities; that is, those concerning the floating of the ICO and representations made to the public in relation to what the company was actually doing or did do. Much of the affidavit material provided by the defendants was addressed to this, and much of that to show that the company was not a shell.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While, as I have indicated, the Notice of Civil Claim alleged that Vanbex was a shell company, the case was not presented to Power J. on that basis. In fact, that term was not used at the hearing or in the affidavits. Rather, the thrust of the case before Power J. was the "back-end" alleged crimes and that, at the "front-end", that the company did not deliver what it promised.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affidavit material before the court made the case that while the company promised to deliver "self-executing agreements on the user-friendly Smart Contract platform" the company delivered Rocket, a lesser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the affidavit material now filed by the defendants the capability and functionality of Rocket is disputed, as is how much development the company had underway at the time of the injunction. That might be a matter of debate based on the evidence </w:t>
      </w:r>
      <w:r>
        <w:rPr>
          <w:rFonts w:ascii="arial" w:eastAsia="arial" w:hAnsi="arial" w:cs="arial"/>
          <w:i/>
          <w:color w:val="000000"/>
          <w:sz w:val="20"/>
          <w:lang w:val="en-US" w:eastAsia="en-US" w:bidi="ar-SA"/>
        </w:rPr>
        <w:t>now</w:t>
      </w:r>
      <w:r>
        <w:rPr>
          <w:rFonts w:ascii="arial" w:eastAsia="arial" w:hAnsi="arial" w:cs="arial"/>
          <w:color w:val="000000"/>
          <w:sz w:val="20"/>
          <w:lang w:val="en-US" w:eastAsia="en-US" w:bidi="ar-SA"/>
        </w:rPr>
        <w:t xml:space="preserve"> before me, but it is axiomatic that the time to assess alleged non-disclosure is the time of the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hearing. There is no evidence that the Director had that fine-tuned information available to him or ought to have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Based on the disclosure standards outlined in the case law, with the possible exception of the "white paper", there are no material details that the defendants have shown the Director was aware of or ought to be aware of, that in my view should have been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Turning to the white paper it is functionally (not legally) somewhat akin to a prospectus for a securities issue. It was written and put on-line by the company in 2017. As described by one of its authors in his affidavit:</w:t>
      </w:r>
      <w:r>
        <w:rPr>
          <w:rFonts w:ascii="arial" w:eastAsia="arial" w:hAnsi="arial" w:cs="arial"/>
          <w:sz w:val="20"/>
          <w:lang w:val="en-US" w:eastAsia="en-US" w:bidi="ar-SA"/>
        </w:rPr>
        <w:cr/>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White Paper was written for public review. It was a roadmap for what we wanted to create and what we thought we could accomplish. It showed a foundational technology, an infrastructure or the bones of a system, and then explained the different ideas we had for how to use that base to build blockchain systems for different markets.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 FUEL token purchaser had to confirm that they read the white paper.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his affidavit filed in support of the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injunction, RCMP Cpl. Johnson stated that the FUEL tokens were sold pursuant to the white paper, but he did not attach it as exhibit.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It would have been preferable had the white paper been attached; nevertheless, I do not agree with the defendants that it was intentionally concealed so as to create a false impression. As I have said, Cpl. Johnson referred to it in his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Moreover, the white paper does not constitute a substantive defence to the alleged charges. First, it has nothing to do with the allegations of the improper taking of funds from the company. Second, the case at the front-end was that what was promised was not delivered or deliverable given the company's state of affairs. The white paper discussed the company's plans; in other words, it was primarily a future-looking document. Cpl. Johnson did not misrepresent what was promised and the white paper did not constitute evidence of what the state of the company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defendants argue that Cpl. Johnson's affidavit conveyed the impression that the tokens were a security and somehow in violation of security regulations. Cpl. Johnson said in his affidavit: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FUEL token was, in substance, treated like a security while avoiding the protections of securities regulation that would ordinarily protect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At the hearing, counsel for the Director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this FUEL token was effectively marketed as a security, but it is not regulated by the BC Securities Commission because it's not a security. It's just akin to it given the nature of cryptocurrency.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Although the white paper stated that it was not a prospectus, it served a similar function of advising of what was being sold, some of the risks, and providing disclaimers. Instead of an initial public offering, it referred to an ICO, meaning an initial coin offering. I do not find that Power J. was given a false impression with respect to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Moreover, the issue of whether the coin offering is a security is an open issue. Although not put in an affidavit, the Securities Commission wrote to counsel--Mr. Mikelson and Mr. Donaldson--on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above noted action, the defendants have filed an affidavit of Brian Onn, sworn April 30, 2019, that states at paragraph 31:</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When we were getting ready to launch the product we worked very closely with the BC Securities Commission to make sure the product was in compliance. That was difficult because it took a lot of time away from actually working on the product. They required us to build in a lot that was not in the original plans. It was important to us that we were putting out a product that was compliant with the securities laws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Staff of the BC Securities Commission (the Commission) believes that Mr. Onn's evidence gives the impression that Etherparty worked successfully with Commission staff to ensure compliance with securities legislation.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is not accurate.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Etherparty did engage with Commission staff after it had announced its initial coin offering (ICO) of FUEL tokens. Etherparty was seeking comfort from Commission staff that it would not view the FUEL token as a security under the </w:t>
      </w:r>
      <w:r>
        <w:rPr>
          <w:rFonts w:ascii="arial" w:eastAsia="arial" w:hAnsi="arial" w:cs="arial"/>
          <w:i/>
          <w:color w:val="000000"/>
          <w:sz w:val="20"/>
          <w:lang w:val="en-US" w:eastAsia="en-US" w:bidi="ar-SA"/>
        </w:rPr>
        <w:t>BC Securities Act</w:t>
      </w:r>
      <w:r>
        <w:rPr>
          <w:rFonts w:ascii="arial" w:eastAsia="arial" w:hAnsi="arial" w:cs="arial"/>
          <w:color w:val="000000"/>
          <w:sz w:val="20"/>
          <w:lang w:val="en-US" w:eastAsia="en-US" w:bidi="ar-SA"/>
        </w:rPr>
        <w:t xml:space="preserve"> (the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Ultimately, Commission staff could not provide Etherparty with any assurance that the Commission would not view the FUEL token as a security, and advised Etherparty that their position was that the token was a security under the Act. Therefore, all relevant provisions of the Act, including the prospectus requirements, applied to Etherparty's distribution of FUEL tokens.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compliance issues resulting from staffs position that the FUEL token is a security remain outstanding and unresolved.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case at bar may be contrasted with </w:t>
      </w:r>
      <w:r>
        <w:rPr>
          <w:rFonts w:ascii="arial" w:eastAsia="arial" w:hAnsi="arial" w:cs="arial"/>
          <w:i/>
          <w:color w:val="000000"/>
          <w:sz w:val="20"/>
          <w:lang w:val="en-US" w:eastAsia="en-US" w:bidi="ar-SA"/>
        </w:rPr>
        <w:t>Nguy</w:t>
      </w:r>
      <w:r>
        <w:rPr>
          <w:rFonts w:ascii="arial" w:eastAsia="arial" w:hAnsi="arial" w:cs="arial"/>
          <w:color w:val="000000"/>
          <w:sz w:val="20"/>
          <w:lang w:val="en-US" w:eastAsia="en-US" w:bidi="ar-SA"/>
        </w:rPr>
        <w:t xml:space="preserve">, in which DeWitt-Van Oosten J. refused to grant an ITO because there was not proper disclosure at the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hearing. In </w:t>
      </w:r>
      <w:r>
        <w:rPr>
          <w:rFonts w:ascii="arial" w:eastAsia="arial" w:hAnsi="arial" w:cs="arial"/>
          <w:i/>
          <w:color w:val="000000"/>
          <w:sz w:val="20"/>
          <w:lang w:val="en-US" w:eastAsia="en-US" w:bidi="ar-SA"/>
        </w:rPr>
        <w:t>Nguy</w:t>
      </w:r>
      <w:r>
        <w:rPr>
          <w:rFonts w:ascii="arial" w:eastAsia="arial" w:hAnsi="arial" w:cs="arial"/>
          <w:color w:val="000000"/>
          <w:sz w:val="20"/>
          <w:lang w:val="en-US" w:eastAsia="en-US" w:bidi="ar-SA"/>
        </w:rPr>
        <w:t xml:space="preserve">, the assets sought to be seized by the Director were the subject of an initial three-month Provincial Court detention order made under s. 490(1)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A Provincial Court judge had under reserve a motion by the police to extend the initial three-month preservation order under s. 490(2)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When the matter was still under reserve the Director applied for and was granted an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IPO in this court. The Provincial Court proceedings and status were not disclosed at the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hearing. DeWitt-Van Oosten J. held that that non-disclosure was serious enough to refuse the granting of the ITO at the with-notice hearing. Amongst other things it affected the expressed urgency for the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ITO.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[163] One possible outcome of the s. 490(2) application, as acknowledged by the Director, was that the seized money would remain with police for another five months and Mr. Le would be unable to seek its return in the interim. If this occurred, there was no longer an "urgent" need for the Director to apply for an IPO and the s. 8(5) application could have proceeded with notice and full submissions on behalf of the defendants. Failing to ensure that the Court was cognizant of the outstanding Provincial Court proceeding, and the potential effect on Mr. Le's application for return of the money, substantially risked the hearing Judge being deprived of the opportunity to fully assess whether it was appropriate to proceed </w:t>
      </w:r>
      <w:r>
        <w:rPr>
          <w:rFonts w:ascii="arial" w:eastAsia="arial" w:hAnsi="arial" w:cs="arial"/>
          <w:i/>
          <w:color w:val="000000"/>
          <w:sz w:val="20"/>
          <w:lang w:val="en-US" w:eastAsia="en-US" w:bidi="ar-SA"/>
        </w:rPr>
        <w:t>ex-parte</w:t>
      </w:r>
      <w:r>
        <w:rPr>
          <w:rFonts w:ascii="arial" w:eastAsia="arial" w:hAnsi="arial" w:cs="arial"/>
          <w:color w:val="000000"/>
          <w:sz w:val="20"/>
          <w:lang w:val="en-US" w:eastAsia="en-US" w:bidi="ar-SA"/>
        </w:rPr>
        <w:t xml:space="preserve"> and to weigh this factor under both ss. 8 and 9 of the </w:t>
      </w:r>
      <w:r>
        <w:rPr>
          <w:rFonts w:ascii="arial" w:eastAsia="arial" w:hAnsi="arial" w:cs="arial"/>
          <w:i/>
          <w:color w:val="000000"/>
          <w:sz w:val="20"/>
          <w:lang w:val="en-US" w:eastAsia="en-US" w:bidi="ar-SA"/>
        </w:rPr>
        <w:t>Civil Forfeiture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Turning to other aspects of the "interests of justice" component, in </w:t>
      </w:r>
      <w:r>
        <w:rPr>
          <w:rFonts w:ascii="arial" w:eastAsia="arial" w:hAnsi="arial" w:cs="arial"/>
          <w:i/>
          <w:color w:val="000000"/>
          <w:sz w:val="20"/>
          <w:lang w:val="en-US" w:eastAsia="en-US" w:bidi="ar-SA"/>
        </w:rPr>
        <w:t>British Columbia (Director of Civil Forfeiture) v. Fischer</w:t>
      </w:r>
      <w:r>
        <w:rPr>
          <w:rFonts w:ascii="arial" w:eastAsia="arial" w:hAnsi="arial" w:cs="arial"/>
          <w:color w:val="000000"/>
          <w:sz w:val="20"/>
          <w:lang w:val="en-US" w:eastAsia="en-US" w:bidi="ar-SA"/>
        </w:rPr>
        <w:t xml:space="preserve">, </w:t>
      </w:r>
      <w:hyperlink r:id="rId435" w:history="1">
        <w:r>
          <w:rPr>
            <w:rFonts w:ascii="arial" w:eastAsia="arial" w:hAnsi="arial" w:cs="arial"/>
            <w:i/>
            <w:color w:val="0077CC"/>
            <w:sz w:val="20"/>
            <w:u w:val="single"/>
            <w:shd w:val="clear" w:color="auto" w:fill="FFFFFF"/>
            <w:lang w:val="en-US" w:eastAsia="en-US" w:bidi="ar-SA"/>
          </w:rPr>
          <w:t>2010 BCSC 568</w:t>
        </w:r>
      </w:hyperlink>
      <w:r>
        <w:rPr>
          <w:rFonts w:ascii="arial" w:eastAsia="arial" w:hAnsi="arial" w:cs="arial"/>
          <w:color w:val="000000"/>
          <w:sz w:val="20"/>
          <w:lang w:val="en-US" w:eastAsia="en-US" w:bidi="ar-SA"/>
        </w:rPr>
        <w:t xml:space="preserve"> at para. 21, Punnett J. considered a number of factors that have subsequently been used by the court in other cases:</w:t>
      </w:r>
      <w:r>
        <w:rPr>
          <w:rFonts w:ascii="arial" w:eastAsia="arial" w:hAnsi="arial" w:cs="arial"/>
          <w:sz w:val="20"/>
          <w:lang w:val="en-US" w:eastAsia="en-US" w:bidi="ar-SA"/>
        </w:rPr>
        <w:cr/>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interest in preserving the property;</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interests in possessing and using the property;</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interests of any uninvolved interest holders in ensuring that their interests in the property are protected;</w:t>
      </w:r>
    </w:p>
    <w:p>
      <w:pPr>
        <w:numPr>
          <w:numId w:val="3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society's interest in protecting individual property rights;</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purposes of the Act; and</w:t>
      </w:r>
    </w:p>
    <w:p>
      <w:pPr>
        <w:numPr>
          <w:numId w:val="3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and effect of the order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British Columbia (Director of Civil Forfeiture) v. Rai</w:t>
      </w:r>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2011 BCSC 186</w:t>
        </w:r>
      </w:hyperlink>
      <w:r>
        <w:rPr>
          <w:rFonts w:ascii="arial" w:eastAsia="arial" w:hAnsi="arial" w:cs="arial"/>
          <w:color w:val="000000"/>
          <w:sz w:val="20"/>
          <w:lang w:val="en-US" w:eastAsia="en-US" w:bidi="ar-SA"/>
        </w:rPr>
        <w:t xml:space="preserve"> at para. 111, Silverman J. outlined the following non-exhaustive list factors:</w:t>
      </w:r>
      <w:r>
        <w:rPr>
          <w:rFonts w:ascii="arial" w:eastAsia="arial" w:hAnsi="arial" w:cs="arial"/>
          <w:sz w:val="20"/>
          <w:lang w:val="en-US" w:eastAsia="en-US" w:bidi="ar-SA"/>
        </w:rPr>
        <w:cr/>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proportionality;</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fairness;</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degree of culpability, complicity, knowledge, acquiescence,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problem in the community of the sort of unlawful activity in question;</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need to remove profit motive;</w:t>
      </w:r>
    </w:p>
    <w:p>
      <w:pPr>
        <w:numPr>
          <w:numId w:val="4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need for disgorgement of wrongfully obtained profits;</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need for compensation;</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prevention of future harm;</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deterrence.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This has been adopted by the Court of Appeal: </w:t>
      </w:r>
      <w:r>
        <w:rPr>
          <w:rFonts w:ascii="arial" w:eastAsia="arial" w:hAnsi="arial" w:cs="arial"/>
          <w:i/>
          <w:color w:val="000000"/>
          <w:sz w:val="20"/>
          <w:lang w:val="en-US" w:eastAsia="en-US" w:bidi="ar-SA"/>
        </w:rPr>
        <w:t>British Columbia (Director of Civil Forfeiture) v. Crowley</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2013 BCCA 89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At the oral hearing the defendants' argument focussed almost entirely, if not entirely, on the non-disclosure issue. However, in their written argument, they submit,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Seizing houses, vehicles, and bank accounts poses a hardship for any person. The impact these proceedings have had on the defendants is substantial.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are unable to make mortgage payments from their seized bank accounts.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amount of money alleged is significant, but this factor has little relevance because there is really no proper evidence that is proceeds of crime.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Forfeiture of the defendants' two pieces of real property, two vehicles, and bank accounts would be disproportionate to the interests of justice.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Counsel did not take me to any evidence of hardship, and I did not see any reference to that in the affidavits of Hobbs or Cheng. The seizure order does not apply to the company and it is free to carry on its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Given the amount that appears to have been taken from the company, I do not find the seizure of the property to be disproportionate.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Looking at the matter overall, I do not think the defendants have demonstrated that the seizure is clearly not within the interests of justice. While the disclosure at the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hearing was not perfect, it was not near the situation in </w:t>
      </w:r>
      <w:r>
        <w:rPr>
          <w:rFonts w:ascii="arial" w:eastAsia="arial" w:hAnsi="arial" w:cs="arial"/>
          <w:i/>
          <w:color w:val="000000"/>
          <w:sz w:val="20"/>
          <w:lang w:val="en-US" w:eastAsia="en-US" w:bidi="ar-SA"/>
        </w:rPr>
        <w:t>Nguy</w:t>
      </w:r>
      <w:r>
        <w:rPr>
          <w:rFonts w:ascii="arial" w:eastAsia="arial" w:hAnsi="arial" w:cs="arial"/>
          <w:color w:val="000000"/>
          <w:sz w:val="20"/>
          <w:lang w:val="en-US" w:eastAsia="en-US" w:bidi="ar-SA"/>
        </w:rPr>
        <w:t>. It does not cause me to conclude that it should be a determining factor in the interests of justice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Director's application is therefore allowed and the defendants' motion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 MYERS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0"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51" w:history="1">
        <w:r>
          <w:rPr>
            <w:rFonts w:ascii="arial" w:eastAsia="arial" w:hAnsi="arial" w:cs="arial"/>
            <w:b/>
            <w:bCs/>
            <w:i/>
            <w:color w:val="0077CC"/>
            <w:kern w:val="32"/>
            <w:sz w:val="28"/>
            <w:szCs w:val="32"/>
            <w:u w:val="single"/>
            <w:shd w:val="clear" w:color="auto" w:fill="FFFFFF"/>
            <w:lang w:val="en-US" w:eastAsia="en-US" w:bidi="ar-SA"/>
          </w:rPr>
          <w:t>D.L.M. v. Battle, [2005] B.C.J. No. 2310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Goepel J.</w:t>
      </w:r>
    </w:p>
    <w:p>
      <w:pPr>
        <w:spacing w:before="120" w:line="260" w:lineRule="atLeast"/>
        <w:jc w:val="center"/>
        <w:rPr>
          <w:lang w:val="en-US" w:eastAsia="en-US" w:bidi="ar-SA"/>
        </w:rPr>
      </w:pPr>
      <w:r>
        <w:rPr>
          <w:rFonts w:ascii="arial" w:eastAsia="arial" w:hAnsi="arial" w:cs="arial"/>
          <w:color w:val="000000"/>
          <w:sz w:val="20"/>
          <w:lang w:val="en-US" w:eastAsia="en-US" w:bidi="ar-SA"/>
        </w:rPr>
        <w:t>Heard: September 19 - 23 and 27, 2005.</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October 24, 2005.</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S025929</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[2005] B.C.J. No. 2310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2005 BCSC 1502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143 A.C.W.S. (3d) 592</w:t>
      </w:r>
    </w:p>
    <w:p>
      <w:pPr>
        <w:spacing w:before="120" w:line="260" w:lineRule="atLeast"/>
        <w:rPr>
          <w:lang w:val="en-US" w:eastAsia="en-US" w:bidi="ar-SA"/>
        </w:rPr>
      </w:pPr>
      <w:r>
        <w:rPr>
          <w:rFonts w:ascii="arial" w:eastAsia="arial" w:hAnsi="arial" w:cs="arial"/>
          <w:color w:val="000000"/>
          <w:sz w:val="20"/>
          <w:lang w:val="en-US" w:eastAsia="en-US" w:bidi="ar-SA"/>
        </w:rPr>
        <w:t>Between D.L.M., plaintiff, and Henry ("Harry") B. Battle,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(54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41" style="position:absolute;z-index:25168179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56" w:name="Keywords_22"/>
      <w:bookmarkEnd w:id="156"/>
      <w:r>
        <w:rPr>
          <w:rFonts w:ascii="arial" w:eastAsia="arial" w:hAnsi="arial" w:cs="arial"/>
          <w:b/>
          <w:color w:val="000000"/>
          <w:sz w:val="20"/>
          <w:lang w:val="en-US" w:eastAsia="en-US" w:bidi="ar-SA"/>
        </w:rPr>
        <w:t>Tort law — Trespass — To person — Assault — Sexual assault — Civil evidence — Burden and standard of proof — Standard of proof — Civil and criminal standards contrasted — Damages — General damages — Aggravated damages — When available — For torts — Affecting the person — Sexual assault — Psychological injuries — Depression — Emotional distress.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57" w:name="Case Summary_21"/>
            <w:bookmarkEnd w:id="157"/>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DLM against Battle seeking damages for injuries sustained in an assault. In December 1999, DLM was hospitalized for ten weeks and as a result of illness she was confined to a wheelchair. While she was hospitalized, DLM met Battle, who volunteered at the hospital. The relationship continued following DLM's discharge, and Battle helped DLM with everyday chores. In 2002, Battle took DLM to physiotherapy. When they returned to DLM's home, DLM was tired and lay down on her bed, and Battle lay down on the bed beside her. He had not done that before and DLM said that she was not expecting it. DLM said that Battle then put his arms around her and asked her why she would not let him kiss her. DLM said that she told him he was making her uncomfortable. Battle them gave her a kiss, put his hand inside her shirt and ran his hands up and down her back. She said she could feel what she thought was an erection. DLM could not recall if she said anything else to Battle. When he stopped kissing her, Battle ran his hand down her leg. He then left the house. Battle was charged with sexual assault. He pled guilty to common assault, and said he did so to avoid the cost of a trial and to avoid stress. Battle received a conditional discharge, was ordered not to have contact with DLM, and was ordered to attend counselling. </w:t>
            </w:r>
            <w:r>
              <w:rPr>
                <w:lang w:val="en-US" w:eastAsia="en-US" w:bidi="ar-SA"/>
              </w:rPr>
              <w:cr/>
            </w:r>
          </w:p>
          <w:p>
            <w:pPr>
              <w:spacing w:before="120" w:line="260" w:lineRule="atLeast"/>
              <w:ind w:left="240"/>
              <w:jc w:val="both"/>
              <w:rPr>
                <w:lang w:val="en-US" w:eastAsia="en-US" w:bidi="ar-SA"/>
              </w:rPr>
            </w:pPr>
            <w:bookmarkStart w:id="158" w:name="Holdings of Court_20"/>
            <w:bookmarkEnd w:id="158"/>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criminal conviction weighed heavily against Battle. The guilty plea and the failure of Battle or his counsel to challenge the circumstances outlined by Crown counsel were significant. The circumstances were identical to those testified to by DLM in the civil proceeding. DLM's testimony as to the events was consistent with the surrounding circumstances, including DLM suddenly ending what had been a mutually rewarding relationship. DLM was awarded general damages of $15,000. Although the assault was relatively minor, the award took into account various aggravating factors including that the acts constituted a serious breach of trust, that Battle was a caregiver who had befriended DLM, that Battle was aware that DLM had a history of sexual abuse, and that DLM was incapable of resisting Battle's advances. </w:t>
            </w:r>
            <w:r>
              <w:rPr>
                <w:lang w:val="en-US" w:eastAsia="en-US" w:bidi="ar-SA"/>
              </w:rPr>
              <w:cr/>
            </w:r>
          </w:p>
          <w:p>
            <w:pPr>
              <w:rPr>
                <w:lang w:val="en-US" w:eastAsia="en-US" w:bidi="ar-SA"/>
              </w:rPr>
            </w:pPr>
          </w:p>
        </w:tc>
      </w:tr>
    </w:tbl>
    <w:p>
      <w:pPr>
        <w:jc w:val="both"/>
        <w:rPr>
          <w:lang w:val="en-US" w:eastAsia="en-US" w:bidi="ar-SA"/>
        </w:rPr>
      </w:pPr>
      <w:bookmarkStart w:id="159" w:name="Counsel_22"/>
      <w:bookmarkEnd w:id="159"/>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42" style="position:absolute;z-index:25173299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H.C. Wood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G.K. Steele, Q.C. C. Tham</w:t>
      </w:r>
      <w:r>
        <w:rPr>
          <w:lang w:val="en-US" w:eastAsia="en-US" w:bidi="ar-SA"/>
        </w:rPr>
        <w:cr/>
      </w:r>
    </w:p>
    <w:p>
      <w:pPr>
        <w:spacing w:after="240"/>
        <w:rPr>
          <w:lang w:val="en-US" w:eastAsia="en-US" w:bidi="ar-SA"/>
        </w:rPr>
      </w:pPr>
      <w:bookmarkStart w:id="160" w:name="Judgment_22"/>
      <w:bookmarkEnd w:id="160"/>
      <w:r>
        <w:pict>
          <v:line id="_x0000_s1143" style="position:absolute;z-index:25178419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61" w:name="GOEPEL J."/>
            <w:bookmarkEnd w:id="161"/>
            <w:r>
              <w:rPr>
                <w:rFonts w:ascii="arial" w:eastAsia="arial" w:hAnsi="arial" w:cs="arial"/>
                <w:b/>
                <w:color w:val="000000"/>
                <w:sz w:val="30"/>
                <w:lang w:val="en-US" w:eastAsia="en-US" w:bidi="ar-SA"/>
              </w:rPr>
              <w:t>GOEPEL J.</w:t>
            </w:r>
          </w:p>
        </w:tc>
      </w:tr>
    </w:tbl>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D.L.M. sues Henry Battle for assault. Both liability and damages are in issue.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D.L.M. is presently 45 years old. After graduating from university and working for several years, she spent four years as a member of an Anglican order of nuns. She left the order in 1990. She obtained a Bachelors of Education degree in 1993 and then taught school for several years in Maple Ridge.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December 1999, she was hospitalized for ten weeks following the onset of numerous neurological deficits. Although multiple sclerosis was the suspected cause, various neurologists have been unable to confirm that diagnosis. As a result of her illness, Ms. D.L.M. has been confined to a wheelchair.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While hospitalized, Ms. D.L.M. met Mr. Battle and his wife Marta. They are both retired. Mr. Battle is presently 68 years old; his wife is 72. They have been married for 45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After their retirement, the Battles did volunteer work at their local hospital and nursing homes. They would bring their dogs to the hospital for patients to pet. Evidence at the trial suggests that the stroking and touching of pets can be therapeutic.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Battles met Ms. D.L.M. in the course of their volunteer work at the hospital. Ms. D.L.M., also a dog owner, was quite taken with their dogs. The Battles visited her in the hospital two or three times a week.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Although the Battles normally did not see patients after their discharge, in the case of Ms. D.L.M., when she left the hospital in the spring of 2000, the relationship continued. The Battles would run errands for Ms. D.L.M., take her shopping and transport her to medical appointments. They baked her cookies and other treats, and took her on day trips to locations such as Granville Island. Mr. Battle did renovations to make her home wheelchair accessible. Mrs. Battle testified that both she and her husband thought of Ms. D.L.M. as a daughter and cared deeply for her. Ms. D.L.M. held similar warm feelings towards the Battles.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Wednesday mornings, Mr. Battle would take Ms. D.L.M. to her physiotherapy appointments. The physiotherapy treatments were physically aggressive and would leave Ms. D.L.M. tired and exhausted.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INCIDENT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April 10, 2002, Mr. Battle took Ms. D.L.M. to physiotherapy, as he had on many other occasions. When they returned to Ms. D.L.M.'s home, she was tired from her physiotherapy and she lay down on her bed. Mr. Battle lay down on the bed beside her, face to face. He had not done this before. Ms. D.L.M. says she was not expecting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D.L.M. says Mr. Battle then put his arms around her and asked her why she would not let him kiss her. Ms. D.L.M. says she told him that she was not comfortable. She says he then said that, "there is no time like the present" and proceeded to give her a French kiss inserting his tongue inside her mouth. She says he put his hands inside her shirt and ran his hands up and down her back.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D.L.M. says she lacked the physical strength to push him away. She cannot recall if she said anything to him. She says if she did, she would have said, "Please don't", or she would have told him that it was inappropriate. She says that when he stopped kissing her, he said, "There, that wasn't too bad, was it?". She says he ran his hand down her leg and said that her muscles were relaxed and "I wish my muscles were as relaxed as yours'"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D.L.M. says that while Mr. Battle was kissing her, he was holding her close. She felt what she thought was an erection. She now says she is not sure if it was an erection. She also says that after he kissed her the first time, he said it would "be even better if I were on top of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D.L.M. says Mr. Battle then left the bedroom, let her dogs out, as was his normal practice, and left the house.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Battle acknowledges lying on the bed beside Ms. D.L.M.. He agrees he had not done that before. He says he asked her if she wanted a hug and she said yes. He says he gave her a kiss on the forehead and hugged her. He says he had kissed and hugged her in this manner on many previous occasions. He denies giving her a French kiss or putting his hands under her shirt. He does say that he touched her arm and told her that her muscles felt relaxed. He denies saying anything about her being on top of him. He denies having an erection. He testified that he is impotent and has not had an erection for several years. Medical evidence called at trial suggests it is unlikely he was capable of having an erection. He says that when he left the house on April 10, 2002, he did not believe anything untoward had happened.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AFTERMATH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D.L.M. says that she was in total shock and disbelief when Mr. Battle left. The following day she telephoned her friends Lonnie Roscoe and Marilyn Larson and told them what Mr. Battle had done. Ms. Roscoe testified that on April 11, 2002, she received a call from Ms. D.L.M. who was crying and upset. She went to her home. She says that when she arrived Ms. D.L.M. was downstairs on the sofa in a fetal position. She was crying and distressed.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Larson also testified that she received a call on April 11, 2002, from Ms. D.L.M., who was emotional and crying. Ms. Larson came to the house on April 12, and stayed with Ms. D.L.M. over the next few days. She says Ms. D.L.M. was distraught, terrified and withdrawn. She appeared traumatized. Ms. Larson says she had never seen Ms. D.L.M. like that. She testified that she was not aware of Ms. D.L.M. attempting to contact Mr. Battle in the days after the incident and that she would be surprised if Ms. D.L.M. had phoned him. She does recall Mrs. Battle coming to the house while she was there.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D.L.M. says that starting on the following Monday, she began to receive numerous telephone calls from the Battle's residence. She did not pick up her phone. She says that there were twelve or more calls each day. She says the calls only ended when she asked the police to tell Mr. Battle to stop calling. She also received two e-mails from Mr. Battle, one of which was a greeting card that she deleted without reading.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Battle says Ms. D.L.M. called him approximately two days after the incident and asked him to return a compact disc he had borrowed from her. In that conversation, Ms. D.L.M. did not say anything to Mr. Battle that suggested that she was in anyway distressed. Mr. Battle told his wife that Ms. D.L.M. wanted him to return the disc. As Mrs. Battle was going out anyways, she undertook to return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Mrs. Battle returned the disc the day that the call was received. She also took Ms. D.L.M. some cookies. Mrs. Battle says that when she returned the disc, Ms. Larson was present. She says Ms. D.L.M. greeted her with a hug. She did not appear to be upset or distressed. Mrs. Battle did not have any sense or belief that there was any problem.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cross-examination, Ms. D.L.M. said she did not recall phoning Mr. Battle after the incident. In her examination for discovery, she had testified that she had called Mr. Battle and asked him to return the disc.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Battle testified that after the incident, he attempted to call Ms. D.L.M. only on three or four occasions. He also sent her two e-mails and an electronic greeting card. He left two telephone messages, which were subsequently transcribed. The transcriptions are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Message 1:</w:t>
      </w:r>
    </w:p>
    <w:p>
      <w:pPr>
        <w:spacing w:before="120" w:line="260" w:lineRule="atLeast"/>
        <w:ind w:left="720"/>
        <w:rPr>
          <w:lang w:val="en-US" w:eastAsia="en-US" w:bidi="ar-SA"/>
        </w:rPr>
      </w:pPr>
      <w:r>
        <w:rPr>
          <w:rFonts w:ascii="arial" w:eastAsia="arial" w:hAnsi="arial" w:cs="arial"/>
          <w:color w:val="000000"/>
          <w:sz w:val="20"/>
          <w:lang w:val="en-US" w:eastAsia="en-US" w:bidi="ar-SA"/>
        </w:rPr>
        <w:t>Lenore, its Harry. Could you please give me a call? Marta's baking cookies, so that's a little incentive for you to call. Bye bye.</w:t>
      </w:r>
    </w:p>
    <w:p>
      <w:pPr>
        <w:spacing w:before="120" w:line="260" w:lineRule="atLeast"/>
        <w:ind w:left="720"/>
        <w:rPr>
          <w:lang w:val="en-US" w:eastAsia="en-US" w:bidi="ar-SA"/>
        </w:rPr>
      </w:pPr>
      <w:r>
        <w:rPr>
          <w:rFonts w:ascii="arial" w:eastAsia="arial" w:hAnsi="arial" w:cs="arial"/>
          <w:color w:val="000000"/>
          <w:sz w:val="20"/>
          <w:lang w:val="en-US" w:eastAsia="en-US" w:bidi="ar-SA"/>
        </w:rPr>
        <w:t>Message 2:</w:t>
      </w:r>
    </w:p>
    <w:p>
      <w:pPr>
        <w:spacing w:before="120" w:line="260" w:lineRule="atLeast"/>
        <w:ind w:left="720"/>
        <w:rPr>
          <w:lang w:val="en-US" w:eastAsia="en-US" w:bidi="ar-SA"/>
        </w:rPr>
      </w:pPr>
      <w:r>
        <w:rPr>
          <w:rFonts w:ascii="arial" w:eastAsia="arial" w:hAnsi="arial" w:cs="arial"/>
          <w:color w:val="000000"/>
          <w:sz w:val="20"/>
          <w:lang w:val="en-US" w:eastAsia="en-US" w:bidi="ar-SA"/>
        </w:rPr>
        <w:t>Hi Lenore, it's Harry. I hope we can start again where ever we were. I hate this mix-up in communication. I gave you a hug. I gave you the love because I thought as you said that you had never had it for a long time. All it meant to me was a hug. I love you too much and I love Marta too much for it to be anything other than that. If you got mis-communication and I'm truly sorry. I truly apologize, but I don't want to throw two years of friendship and love out the window. Please give me a call. Bye Bye.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the Sunday or Monday after the incident the Battles received a call that Ms. D.L.M. would not be going to physiotherapy on the following Wednesday. This concerned Mr. Battle because he had not known Ms. D.L.M. to ever miss her physiotherapy appointments. He began to believe that she must be upset with him, but says he had no suspicion as to the reason. He believes he left the second telephone message after learning she was not going to attend her physiotherapy appointment.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Battle subsequently phoned the physiotherapist and was told that the physiotherapists had been instructed not to discuss Ms. D.L.M.'s physiotherapy with either he or Mrs. Battle. Mr. Battle then sent Ms. D.L.M. the following e-mail:</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Dear Lenore, I am truly upset that you will not or cannot return my telephone calls. The embrace you asked for was given with no other emotion than I wanted to show you that there are people who care. Nothing more was intended. It was my feeling that you were getting to the end of your rope in terms of frustration and the apparent uncaring attitude of certain doctors. If my expression of caring and love upset you, then I am devastated as it was my opinion that we were great friends. It is apparent that you wish to sever our relationship, but I urge you that if you ever need anything, to call me because you know that I will always be there. Love, Harry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Battle testified that his e-mail was influenced by the advice he had received from the physiotherapist that Ms. D.L.M. did not want him to know about her condition. He said that sometime before sending the e-mail, he and Mrs. Battle had discussed Ms. D.L.M.'s failure to return his earlier calls. He testified that he told Mrs. Battle about his getting on the bed with Ms. D.L.M. and she told him that Ms. D.L.M. might be upset because he had gotten on the bed with her. Both of the Battles were aware that Ms. D.L.M. had been sexually abused and both believed that she had some physical aversion to men.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April 20, 2002, the police advised Mr. Battle that Ms. D.L.M. had made a complaint concerning the incident. He tried to telephone her, but she did not pick up the phone. He was shortly thereafter advised by the police not to contact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Mrs. Battle says that she was not aware of any problem until the police visit. She was not asked if Mr. Battle had told her during the preceding week about lying down on the bed with Ms. D.L.M..</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SENTENCING HEARING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Battle was subsequently charged with sexual assault. On July 19, 2002, he pled guilty to common assault. Mr. Battle says he pled guilty to avoid the cost of a trial, and because there was no guarantee he would win the trial. He also wanted to spare Ms. D.L.M., Mrs. Battle and himself the stress of a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At the sentencing hearing, after Mr. Battle had pled guilty to common assault, the Crown set out the circumstances of the offence. Those circumstances were consistent with Ms. D.L.M.'s evidence at this trial. The Crown submitted that given the circumstances, an appropriate disposition would be a suspended sentence, together with 18 months probation. The Crown submitted that a discharge would be "absolutely inappropriate".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Defence counsel did not challenge any of the circumstances of the offence as outlined by the Crown. He asked for a conditional discharge and noted that the plea was to common assault, which amounts simply to non-consensual touching.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Prior to sentencing, Mr. Battle made the following statement to the Court: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Your Honour, I have thought about the behaviour and it was totally inappropriate. Absolutely and totally inappropriate. And for that behaviour, I am truly and deeply sorry. I really am.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Court imposed a conditional discharge. Mr. Battle was ordered not to have contact with Ms. D.L.M. or attend within a one block radius of her residence. He was to attend psychiatric or other counselling at his own expense and was to reimburse Ms. D.L.M. to a maximum of $2,300 for counselling that she might undertake.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Ms. D.L.M. must prove on the balance of probabilities that Mr. Battle assaulted her. Allegations of sexual assault in a civil proceeding are subject to a heightened evidentiary standard. Cases where morally blameworthy conduct is alleged require a standard of proof on the balance of probabilities commensurate with the occasion: Gorman v. Tyhurst </w:t>
      </w:r>
      <w:hyperlink r:id="rId452" w:history="1">
        <w:r>
          <w:rPr>
            <w:rFonts w:ascii="arial" w:eastAsia="arial" w:hAnsi="arial" w:cs="arial"/>
            <w:i/>
            <w:color w:val="0077CC"/>
            <w:sz w:val="20"/>
            <w:u w:val="single"/>
            <w:shd w:val="clear" w:color="auto" w:fill="FFFFFF"/>
            <w:lang w:val="en-US" w:eastAsia="en-US" w:bidi="ar-SA"/>
          </w:rPr>
          <w:t>(2003), 13 B.C.L.R. (4th) 81</w:t>
        </w:r>
      </w:hyperlink>
      <w:r>
        <w:rPr>
          <w:rFonts w:ascii="arial" w:eastAsia="arial" w:hAnsi="arial" w:cs="arial"/>
          <w:color w:val="000000"/>
          <w:sz w:val="20"/>
          <w:lang w:val="en-US" w:eastAsia="en-US" w:bidi="ar-SA"/>
        </w:rPr>
        <w:t xml:space="preserve"> (C.A.).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As is not uncommon in cases such as this, Ms. D.L.M. and Mr. Battle were the only people present during the alleged assault. The issue is one of credibility. In cases dealing with credibility the comments of O'Halloran J.A. in the oft cited case of Faryna v. Chorny </w:t>
      </w:r>
      <w:hyperlink r:id="rId453"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at 356-357 are apposite: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If a trial Judge's finding of credibility is to depend solely on which person he thinks made the better appearance of sincerity in the witness box, we are left with a purely arbitrary finding and justice would then depend upon the best actors in the witness box. On reflection it becomes almost axiomatic that the appearance of telling the truth is but one of the elements that enter into the credibility of the evidence of a witness. Opportunities for knowledge, powers of observation, well as other factors, combine to produce what is called credibility, and cf. Raymond v. Bosanquet (1919), 50 D.L.R. 560 at p. 566, </w:t>
      </w:r>
      <w:hyperlink r:id="rId454" w:history="1">
        <w:r>
          <w:rPr>
            <w:rFonts w:ascii="arial" w:eastAsia="arial" w:hAnsi="arial" w:cs="arial"/>
            <w:i/>
            <w:color w:val="0077CC"/>
            <w:sz w:val="20"/>
            <w:u w:val="single"/>
            <w:shd w:val="clear" w:color="auto" w:fill="FFFFFF"/>
            <w:lang w:val="en-US" w:eastAsia="en-US" w:bidi="ar-SA"/>
          </w:rPr>
          <w:t>59 S.C.R. 452</w:t>
        </w:r>
      </w:hyperlink>
      <w:r>
        <w:rPr>
          <w:rFonts w:ascii="arial" w:eastAsia="arial" w:hAnsi="arial" w:cs="arial"/>
          <w:color w:val="000000"/>
          <w:sz w:val="20"/>
          <w:lang w:val="en-US" w:eastAsia="en-US" w:bidi="ar-SA"/>
        </w:rPr>
        <w:t xml:space="preserve"> at p. 460, </w:t>
      </w:r>
      <w:hyperlink r:id="rId454" w:history="1">
        <w:r>
          <w:rPr>
            <w:rFonts w:ascii="arial" w:eastAsia="arial" w:hAnsi="arial" w:cs="arial"/>
            <w:i/>
            <w:color w:val="0077CC"/>
            <w:sz w:val="20"/>
            <w:u w:val="single"/>
            <w:shd w:val="clear" w:color="auto" w:fill="FFFFFF"/>
            <w:lang w:val="en-US" w:eastAsia="en-US" w:bidi="ar-SA"/>
          </w:rPr>
          <w:t>17 O.W.N. 295</w:t>
        </w:r>
      </w:hyperlink>
      <w:r>
        <w:rPr>
          <w:rFonts w:ascii="arial" w:eastAsia="arial" w:hAnsi="arial" w:cs="arial"/>
          <w:color w:val="000000"/>
          <w:sz w:val="20"/>
          <w:lang w:val="en-US" w:eastAsia="en-US" w:bidi="ar-SA"/>
        </w:rPr>
        <w:t>. A witness by his manner may create a very unfavourable impression of his truthfulness upon the trial Judge, and yet the surrounding circumstances in the case may point decisively to the conclusion that he is actually telling the truth. I am not referring to the comparatively infrequent cases in which a witness is caught in a clumsy lie.</w:t>
      </w:r>
    </w:p>
    <w:p>
      <w:pPr>
        <w:spacing w:before="120" w:line="260" w:lineRule="atLeast"/>
        <w:ind w:left="720"/>
        <w:rPr>
          <w:lang w:val="en-US" w:eastAsia="en-US" w:bidi="ar-SA"/>
        </w:rPr>
      </w:pPr>
      <w:r>
        <w:rPr>
          <w:rFonts w:ascii="arial" w:eastAsia="arial" w:hAnsi="arial" w:cs="arial"/>
          <w:color w:val="000000"/>
          <w:sz w:val="20"/>
          <w:lang w:val="en-US" w:eastAsia="en-US" w:bidi="ar-SA"/>
        </w:rPr>
        <w:t>The credibility of interested witnesses, particularly in cases of conflict of evidence, cannot be gauged solely by the test of whether the personal demeanour of the particular witness carried conviction of the truth. The test must reasonably subject his story to an examination of its consistency with the probabilities that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 Only thus can a Court satisfactorily appraise the testimony of quick-minded, experienced and confident witnesses, and of those shrewd persons adept in the half-lie and of long and successful experience in combining skilful exaggeration with partial suppression of the truth. Again a witness may testify what he sincerely believes to be true, but he may be quite honestly mistaken. For a trial Judge to say "I believe him because I judge him to be telling the truth", is to come to a conclusion on consideration of only half the problem. In truth it may easily be self-direction of a dangerous kind.</w:t>
      </w:r>
    </w:p>
    <w:p>
      <w:pPr>
        <w:spacing w:before="120" w:line="260" w:lineRule="atLeast"/>
        <w:ind w:left="720"/>
        <w:rPr>
          <w:lang w:val="en-US" w:eastAsia="en-US" w:bidi="ar-SA"/>
        </w:rPr>
      </w:pPr>
      <w:r>
        <w:rPr>
          <w:rFonts w:ascii="arial" w:eastAsia="arial" w:hAnsi="arial" w:cs="arial"/>
          <w:color w:val="000000"/>
          <w:sz w:val="20"/>
          <w:lang w:val="en-US" w:eastAsia="en-US" w:bidi="ar-SA"/>
        </w:rPr>
        <w:t>The trial Judge ought to go further and say that evidence of the witness he believes is in accordance with the preponderance of probabilities in the case and, if his view is to command confidence, also state his reasons for that conclusion. The law does not clothe the trial Judge with a divine insight into the hearts and minds of the witnesses. And a Court of Appeal must be satisfied that the trial Judge's finding of credibility is based not on one element only to the exclusion of others, but is based on all the elements by which it can be tested in the particular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A factor to be considered in the assessment of credibility is the guilty plea to the criminal offence. Ms. D.L.M. submits that a guilty plea constitutes prima facie evidence of liability. In support of that proposition, she cites Demiter v. British Pacific Life Insurance Co. </w:t>
      </w:r>
      <w:hyperlink r:id="rId455" w:history="1">
        <w:r>
          <w:rPr>
            <w:rFonts w:ascii="arial" w:eastAsia="arial" w:hAnsi="arial" w:cs="arial"/>
            <w:i/>
            <w:color w:val="0077CC"/>
            <w:sz w:val="20"/>
            <w:u w:val="single"/>
            <w:shd w:val="clear" w:color="auto" w:fill="FFFFFF"/>
            <w:lang w:val="en-US" w:eastAsia="en-US" w:bidi="ar-SA"/>
          </w:rPr>
          <w:t>(1984), 13 D.L.R. (4th) 318</w:t>
        </w:r>
      </w:hyperlink>
      <w:r>
        <w:rPr>
          <w:rFonts w:ascii="arial" w:eastAsia="arial" w:hAnsi="arial" w:cs="arial"/>
          <w:color w:val="000000"/>
          <w:sz w:val="20"/>
          <w:lang w:val="en-US" w:eastAsia="en-US" w:bidi="ar-SA"/>
        </w:rPr>
        <w:t xml:space="preserve"> (Ont. C.A.). Demiter is not the law in British Columbia. In British Columbia pursuant to Section 71(8) of the Evidence Act, </w:t>
      </w:r>
      <w:r>
        <w:rPr>
          <w:rFonts w:ascii="arial" w:eastAsia="arial" w:hAnsi="arial" w:cs="arial"/>
          <w:i/>
          <w:color w:val="000000"/>
          <w:sz w:val="20"/>
          <w:lang w:val="en-US" w:eastAsia="en-US" w:bidi="ar-SA"/>
        </w:rPr>
        <w:t>R.S.B.C. 1996, c. 124</w:t>
      </w:r>
      <w:r>
        <w:rPr>
          <w:rFonts w:ascii="arial" w:eastAsia="arial" w:hAnsi="arial" w:cs="arial"/>
          <w:color w:val="000000"/>
          <w:sz w:val="20"/>
          <w:lang w:val="en-US" w:eastAsia="en-US" w:bidi="ar-SA"/>
        </w:rPr>
        <w:t>, the weight to be attached to a conviction must be determined by the judge or jury, as the case may be.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Betterton (Guardian ad litem of) v. Turner </w:t>
      </w:r>
      <w:hyperlink r:id="rId456" w:history="1">
        <w:r>
          <w:rPr>
            <w:rFonts w:ascii="arial" w:eastAsia="arial" w:hAnsi="arial" w:cs="arial"/>
            <w:i/>
            <w:color w:val="0077CC"/>
            <w:sz w:val="20"/>
            <w:u w:val="single"/>
            <w:shd w:val="clear" w:color="auto" w:fill="FFFFFF"/>
            <w:lang w:val="en-US" w:eastAsia="en-US" w:bidi="ar-SA"/>
          </w:rPr>
          <w:t>(1982), 133 D.L.R. (3d) 289</w:t>
        </w:r>
      </w:hyperlink>
      <w:r>
        <w:rPr>
          <w:rFonts w:ascii="arial" w:eastAsia="arial" w:hAnsi="arial" w:cs="arial"/>
          <w:color w:val="000000"/>
          <w:sz w:val="20"/>
          <w:lang w:val="en-US" w:eastAsia="en-US" w:bidi="ar-SA"/>
        </w:rPr>
        <w:t xml:space="preserve"> (B.C.S.C.) Macfarlane J. analyzed the impact of a conviction in a subsequent tort action. He concluded at page 302:</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Each case ought to be dealt with on its own facts, the introduction of evidence of a previous conviction covering the same facts being some evidence to be considered on the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What weight will be attached to the proof of the conviction in a given case will depend on the particular facts of that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defence points to several inconsistencies in Ms. D.L.M.'s testimony. She told Dr. Nanda she was receiving constant e-mails, when there were in fact only three. She told Dr. Janke that the defendant touched her breast and genitals under her clothes, which is inconsistent with what she reported to others and her evidence at trial. While she denied making those statements to Dr. Janke, I accept his evidence that those statements were made. She told Dr. Nanda that telephone calls were continuing between May 13 and June 10, 2002. There were no telephone calls after April 20. When she spoke to the police, Ms. D.L.M. alleged that Mr. Battle had an erection. She now says she maybe mistaken, after learning that it is unlikely that the defendant could have an erection. The plaintiff says she did not recall whether Mr. Battle had previously kissed her on her cheek and forehead. Mr. and Mrs. Battle both testified that such kisses occurred on a regular basis. I accept their evidence of prior kisses.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defence also submits that Ms. D.L.M.'s telephone call requesting the return of the computer disc is entirely inconsistent with her allegations of assault. If an assault had occurred, Ms. D.L.M. would not have called the Battle residence asking for the return of the disc.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inconsistencies in Ms. D.L.M.'s evidence must be weighed against other evidence at trial. Up until April 10, 2002 there was a close and friendly relationship between Ms. D.L.M. and Mr. Battle. Something caused that relationship to suddenly disintegrate. The evidence of Ms. Roscoe and Ms. Larson corroborates Ms. D.L.M.'s evidence that she was distraught after the incident.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Of significance is the post event conduct of Mr. Battle. I do not accept his innocent explanation of the telephone calls and e-mail that he sent to Ms. D.L.M.. The second telephone message and the transcribed e-mail both indicate that Mr. Battle prior to learning from the police of the complaint knew that his conduct of April 10 had likely upset Ms. Mclean.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Mrs. Battle did not corroborate Mr. Battle testimony that he had discussed with her lying down on the bed with Ms. D.L.M. prior to sending the transcribed e-mail. Mrs. Battle testified that she was unaware of any problem until the police visit. Given the undoubted impact of these events on the Battle family, it is inconceivable that Mrs. Battle would not recall such a conversation, if it had occurred. I do not accept Mr. Battle's evidence that he had such a conversation with his wife. I find that Mr. Battle did not share with his wife any details of the events of April 10 prior to learning that Ms. D.L.M. had made a criminal complaint. He did not want his wife to know why Ms. D.L.M. was upset.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Further, and more telling, is the guilty plea and the failure of Mr. Battle or his counsel to challenge the circumstances that crown counsel outlined to the court. Although the plea was to common, not sexual assault, the sentencing hearing was hard fought. Crown counsel sought a suspended sentence, which would have left Mr. Battle with a criminal record. The failure to challenge the circumstances provides strong corroborating evidence that the circumstances alleged by crown counsel were true. As noted, those circumstances were identical to those testified to by Ms. D.L.M. in this proceeding. In the circumstances of this case the criminal conviction weighs heavily against Mr. Battle.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find that the evidence of Ms. D.L.M. as to the events of April 10, 2002, is in accordance with the balance of probabilities. It is consistent with the surrounding circumstances including Ms. D.L.M. suddenly ending what had been a mutually rewarding relationship with the Battles. It is consistent with Mr. Battle's telephone message and e-mail in which he attempts to justify to Ms. D.L.M. his conduct. It is consistent with his guilty plea. When Mr. Battle told the provincial court judge his conduct was, "absolutely and totally inappropriate", he was speaking the truth. His words accurately describe what took place on April 10. That the conduct was entirely out of character does not make it excusable.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find Mr. Battle assaulted Ms. D.L.M. as alleged.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a result of this incident Ms. D.L.M. for some time did not leave her house if she could avoid it. She stopped going to choir rehearsal and horse-back riding. There were some days she did not sleep in her own room. She felt overwhelmed with different emotions including, anger, sadness, hurt and fear. She was afraid that Mr. Battle would come to her house and she would be hurt again.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Prior to this incident, Ms. D.L.M. was already receiving psychiatric care from Dr. Nanda. He had been treating her for depressive symptoms since March 2000. When he first began treating her in 2000, she was feeling tremendous stress as a result of the multiple losses she was experiencing, including the loss of a job, independence and dignity. She was concerned with her health and the possible diagnosis of multiple sclerosis. Dr. Nanda felt Ms. D.L.M. had had a major depressive episode and might be suppressing childhood memories of abuse.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Over the following years, she came to accept her psychiatric diagnosis of depression. Whenever she felt her neurological symptoms worsen, it took a toll on her mood, leading to a resurfacing of feelings of worthlessness and helplessness. She experienced guilt for being dependent on others and tended to ruminate on her various losses.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As a result of the incident of April 10, 2002, Ms. D.L.M. started to re-experience the feelings of lost dignity, guilt over her dependence on others, and loss of trust in people. She also sensed a loss of security. She suffered symptoms of acute stress disorder. She lost her ability to control her emotions and had difficulty with sleep. Her symptoms of depression worsened. Dr. Nanda indicates that by August 2002, Ms. D.L.M. had emotionally overcome the effects of the abuse.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Subsequent to the incident Ms. D.L.M. attended counselling with a registered psychologist. Although the counselling commenced subsequent to this incident, records of the counselling sessions indicate that much of the counselling dealt with Ms. D.L.M.'s childhood abuse.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Janke saw Ms. D.L.M. for the defence. He concluded that she appeared to have had an acute stress reaction with anxiety and worsening of depressive symptomology. He concluded that Ms. D.L.M. has no significant present psychiatric symptomology attributable to the assault.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parties cited several authorities in relation to non-pecuniary damages. In almost all cases the incidents were of a more serious nature than what occurred in this case. Plaintiff's counsel submits that the award should reflect the nature of assault. He cites Norberg v. Wynrib, </w:t>
      </w:r>
      <w:hyperlink r:id="rId457" w:history="1">
        <w:r>
          <w:rPr>
            <w:rFonts w:ascii="arial" w:eastAsia="arial" w:hAnsi="arial" w:cs="arial"/>
            <w:i/>
            <w:color w:val="0077CC"/>
            <w:sz w:val="20"/>
            <w:u w:val="single"/>
            <w:shd w:val="clear" w:color="auto" w:fill="FFFFFF"/>
            <w:lang w:val="en-US" w:eastAsia="en-US" w:bidi="ar-SA"/>
          </w:rPr>
          <w:t>[1992] 2 S.C.R. 226</w:t>
        </w:r>
      </w:hyperlink>
      <w:r>
        <w:rPr>
          <w:rFonts w:ascii="arial" w:eastAsia="arial" w:hAnsi="arial" w:cs="arial"/>
          <w:color w:val="000000"/>
          <w:sz w:val="20"/>
          <w:lang w:val="en-US" w:eastAsia="en-US" w:bidi="ar-SA"/>
        </w:rPr>
        <w:t xml:space="preserve"> for the proposition that a sexual assault results in a greater impact on the complainant than a non-sexual assault. He submits that Ms. D.L.M. is entitled to significant aggravated damages. He notes Mr. Battle was a caretaker and the assault constituted a serious breach of trust between the parties. In addition, the assault caused Ms. D.L.M. anguish, grief and humiliation. He seeks an award in the range of $25,000 to $30,000.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defence submits that even on the evidence of the plaintiff, the assault must be characterized as minor in nature, consisting of no more than a kiss and a rubbing of hands on her back. There was no violence or physical injury. The assaults described in the various cited cases were much more serious in nature. He submits that an award of general damages in the range of $5,000 to $7,500 is appropriate.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Although I agree that this assault is less serious than those in the reported cases, the defendant's suggested award fails to account for the aggravating factors in play in this case. While aggravated damages are not a separate head of damages they may increase the award of general damages: S.Y. v. F.G.C. </w:t>
      </w:r>
      <w:hyperlink r:id="rId458" w:history="1">
        <w:r>
          <w:rPr>
            <w:rFonts w:ascii="arial" w:eastAsia="arial" w:hAnsi="arial" w:cs="arial"/>
            <w:i/>
            <w:color w:val="0077CC"/>
            <w:sz w:val="20"/>
            <w:u w:val="single"/>
            <w:shd w:val="clear" w:color="auto" w:fill="FFFFFF"/>
            <w:lang w:val="en-US" w:eastAsia="en-US" w:bidi="ar-SA"/>
          </w:rPr>
          <w:t>(1996), 26 B.C.L.R. (3d) 155</w:t>
        </w:r>
      </w:hyperlink>
      <w:r>
        <w:rPr>
          <w:rFonts w:ascii="arial" w:eastAsia="arial" w:hAnsi="arial" w:cs="arial"/>
          <w:color w:val="000000"/>
          <w:sz w:val="20"/>
          <w:lang w:val="en-US" w:eastAsia="en-US" w:bidi="ar-SA"/>
        </w:rPr>
        <w:t xml:space="preserve"> (C.A.). In this case Mr. Battle's acts constituted a serious breach of trust. He was a caregiver who had befriended Ms. D.L.M.. She was physically incapable of resisting his advances. He was aware of her past history of sexual abuse. Taking into account the aforementioned aggravating factors I award general damages of $15,000.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claims an additional $2,520 in special damages relating to counselling she has undertaken subsequent to this incident. This counselling is in addition to the $2,300 in counselling that Mr. Battle has already paid pursuant to the criminal sentence. As previously noted, much of the counselling undertaken by Ms. D.L.M. has nothing to do with this incident. Under the circumstances, I am satisfied that Mr. Battle should not pay any further sum for 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Unless there are matters of which I am not presently aware, Ms. D.L.M. is entitled to her costs on scale 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GOEPEL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8353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59"/>
          <w:headerReference w:type="default" r:id="rId460"/>
          <w:footerReference w:type="even" r:id="rId461"/>
          <w:footerReference w:type="default" r:id="rId462"/>
          <w:headerReference w:type="first" r:id="rId463"/>
          <w:footerReference w:type="first" r:id="rId46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65" w:history="1">
        <w:r>
          <w:rPr>
            <w:rFonts w:ascii="arial" w:eastAsia="arial" w:hAnsi="arial" w:cs="arial"/>
            <w:b/>
            <w:bCs/>
            <w:i/>
            <w:color w:val="0077CC"/>
            <w:kern w:val="32"/>
            <w:sz w:val="28"/>
            <w:szCs w:val="32"/>
            <w:u w:val="single"/>
            <w:shd w:val="clear" w:color="auto" w:fill="FFFFFF"/>
            <w:lang w:val="en-US" w:eastAsia="en-US" w:bidi="ar-SA"/>
          </w:rPr>
          <w:t>L.D. v. G.P., [2001] B.C.J. No. 2582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Downs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21 - 24, 27 and 28,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26,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Nanaimo Registry No. S12656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2582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110 A.C.W.S. (3d) 572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L.D., A.D., and G.G., plaintiffs, and G.P., B.P., L.P., E.M.P. (deceased), Ruth Mchaffie, and Her Majesty the Queen in Right of the Province of British Columbia, defendants, and G.P., B.P., and L.P.,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5"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2" w:name="Keywords_23"/>
      <w:bookmarkEnd w:id="162"/>
      <w:r>
        <w:rPr>
          <w:rFonts w:ascii="arial" w:eastAsia="arial" w:hAnsi="arial" w:cs="arial"/>
          <w:b/>
          <w:color w:val="000000"/>
          <w:sz w:val="20"/>
          <w:lang w:val="en-US" w:eastAsia="en-US" w:bidi="ar-SA"/>
        </w:rPr>
        <w:t>Torts — Trespass — Assault and battery — Sexual assault — Burden of proof.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3" w:name="Case Summary_22"/>
            <w:bookmarkEnd w:id="16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LD, AD, and GG, for damages against GP, BP and LP for sexual abuse. The plaintiffs were sisters. They had been placed in foster care at the home where GP, BP and LP lived as brothers. They alleged that they were sexually abused by each of the brothers while at the foster home 30 years earlier. In many instances, their recollections of the events were contradictory or inconsistent. All of the defendants denied any improper conduct.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4" w:name="Holdings of Court_21"/>
            <w:bookmarkEnd w:id="164"/>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probability of truthfulness in the allegations as a result of the significant inconsistencies in each of the plaintiffs' descriptions of the events.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5" w:name="Counsel_23"/>
      <w:bookmarkEnd w:id="16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6"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deTurberville, for the plaintiffs. G. Leven, for the defendants, and third parties, P.s.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6" w:name="Judgment_23"/>
      <w:bookmarkEnd w:id="166"/>
      <w:r>
        <w:pict>
          <v:line id="_x0000_s1147" style="position:absolute;z-index:2517852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7" w:name="DOWNS J."/>
            <w:bookmarkEnd w:id="167"/>
            <w:r>
              <w:rPr>
                <w:rFonts w:ascii="arial" w:eastAsia="arial" w:hAnsi="arial" w:cs="arial"/>
                <w:b/>
                <w:color w:val="000000"/>
                <w:sz w:val="30"/>
                <w:lang w:val="en-US" w:eastAsia="en-US" w:bidi="ar-SA"/>
              </w:rPr>
              <w:t>DOWNS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are sisters. Their action against the defendants G.P., B.P. and L.P. is for damages for sexual abuse. The action with respect to the other defendants has been settled. When I refer to "the defendants" in this judgment, I am referring only to the remaining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Normally I avoid the practice of referring to litigants or witnesses by their first names. In this judgment, however, I will often do so with respect to the plaintiffs and defendants for the sake of brevity and clarity, not out of disrespect.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L.D. was born on August 23, 1958, G.G. was born on February 17, 1962, and A.D. was born on May 11, 1963. Their brother S.D. was born on January 28, 1961. The plaintiffs' also have a younger sister, B.L., who was born in June of 1966. All of the D. children were apprehended by the Department of Social Welfare on August 17, 1966 and the next day were placed in foster care at the P. home (the defendants being the children of the foster parents). L.D. remained in the P. home until August 31, 1967; the other D. children stayed with the P.s until July of 1969. The plaintiffs and their siblings were made wards of the Superintendent of Child Welfare on September 19, 1966.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Before the August 17, 1966, placement of the D. children with the P.s, their lives were chaotic. They were apprehended from their parents on December 26, 1963, and returned on December 30, 1963. They were apprehended again in late January of 1964, and returned again about three months later. They were placed in care for six days when B.L. was born as their father was away working; that short placement was with the 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L.D. described her parents as alcoholics. She said her father was often away working and that her mother left the children quite a bit for long periods with their Aunt Angie who lived across the road on the Nanoose Reserve. She said her parents had wicked fights; there was screaming and slamming and the children would hide in a bedroom or go over to their aunt's home. She said she sometimes saw her parents hitting each other and she could hear physical as well as verbal fights. She said she saw bloody pillows and sheets. She said by the time the children were apprehended in August of 1966, her parents fought pretty much daily. She said her mother used to hit her and her father yelled at her a lot. She also described that when she was about six years old she saw her parents having sexual intercourse. She thought her mother was being hurt, so stabbed her father with a fork.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S.D. was asked very little about his recollection of life with his parents. He recalled, as did L.D., that when they went to the P.s in August of 1966, the children all had lice and infected scabies. Ms. Ruth McHaffie, a social worker, first had contact with the D. children at that time. She testified that the children were in terrible condition and covered with infected sores. She said A.D.'s condition was so bad that there was consideration given to placing her in hospital. W.P., the foster father, testified that when the children arrived they looked half starved and he could see bruises on some of the girls arms. He said he had to burn their clothing.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S.D. volunteered in direct evidence that he was abused by a priest in Nanoose while he was living with his parents. He said he blocked that out for 27 years. S.D. has a serious criminal record. In 1978 he was convicted of sexual assault and sentenced to five years imprisonment of which he served four years in custody. In 1985 he was convicted of sexual assault and sentenced to nine years. During that period of incarceration he received treatment and his memory of the assault by the priest revived. Other memories of his past were also revived during that time. He said "some things were buried from my past; other things I knew about and judged myself for." S.D. was also convicted in 1995 of assault causing bodily harm and sentenced to one-year imprisonment. When he testified before me he was in custody awaiting trial on an assault charge. S.D. denied ever being abused by his Uncle David, Aunt Angie's husband. He denied ever seeing his sisters being sexually abused before August of 1966. Each plaintiff testified that she had not been sexually abused prior to being placed in the P.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G.G. testified that her parents did not get along. She remembered the children being taken from her parents by the police. A.D. remembered her parents fighting and that her mother was out a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is important to bear in mind that when the D. children went to stay at the P.s in August of 1966, L.D. was just about to turn eight, S.D. was about five and a half, G.G. was four and a half, A.D. three and a quarter, and B.L. was three months old. When L.D. left the D. home she had just turned nine. When the other children left the P.s, S.D. was about eight and a half, G.G. about seven and one half, and A.D. about six and a quarter. Thus, the events described by the plaintiffs and their brother took place over thirty years ago when they were very young.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G.P. was born on October 11, 1952, and so was nearly 14 when the D. children arrived. B.P. was born an October 17, 1953, and was going on 13 in August of 1966. L.P. was born on June 1, 1957; he had turned nine not long before the D. children arrived. Each defendant denied ever having any sexual contact of any kind with any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cross examination L.D. first said that she was first sexually abused in the P. household very soon after her arrival in August, but could not say how long after her arrival. Then answers to interrogatories which she swore on July 20, 1998, were put to her. She had stated, "Four days after we moved into the P. home, the boys started in on us girls." She said she had no idea why she put down four days in her answer. She said, however, the abuse had to have begun in that time frame, pretty much within the first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first incident was described by L.D. in her direct examination.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started with G.P. telling us he wanted to play a game. He wanted us to touch his penis. If we said no, he would spank us with wet cloths.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cross-examination she said the very first incident with G.P. involved oral sex. She said G.P. made her perform oral sex on him. She said that he pulled her into his room, sat on his bed, pulled out his penis, and pushed on her shoulders saying he wanted his penis in her mouth. She said he threatened to spank her with a wet cloth so she did it. In cross-examination she said this incident was clear in her mind and that she was very certain of the circumstances of this first event. Then in cross examination she was asked about what Dr. Hanna Lysak, Clinical and Consulting Psychologist noted in her report at page 3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incident with G.P. occurred soon after she moved into his house. She said he told her that "it was going to be a game. He wanted me to touch his penis." I asked how she knew that he wanted her to touch his penis, and she said "because he showed his penis to me and I knew he wanted me to touch it." She went on "I got upset, I started to cry. G.P. hit me. He slapped me in the face, then pulled me and pushed me down the floor, and tried to put his penis in my mouth." She said she was not sure whether or not he actually was successful that first time in putting his penis in her mouth.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L.D. denied telling Dr. Lysak she was uncertain as to whether G.P. was successful the first time in putting his penis in her mouth. She said the Doctor's report was inaccurate. She said that G.P. did hit her on the occasion of the first incident but that she had forgotten to say that on direct examination. She said that during the first incident G.P. hit her and threatened to spank her with a wet cloth. She added that before the first incident G.P., B.P. and Ms. P. had all hit her with wet cloths "If we did not do something right." She said that hitting "was fairly close after we got there." She said G.P. was the first one to spank her with a wet cloth in the first week before the sexual contact occurred. When L.D. was asked on cross examination about being spanked with wet cloths the first time by G.P. she said, "I can't give an exact time. I don't know if it was after a few weeks or months. It could very well have been before the first sexual act." She added, "I am stressed now, I don't know." She also said on cross examination she didn't know if her sisters were spanked the first week at the P.'s but said, "Usually if I got spanked, they got spanked."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S.D. testified he never saw any of the defendants hitting the girls (plaintiffs). G.G. recalled being disciplined by "the boys" by having wet cloths placed on "our bottoms" and being hit. She said all the boys did that. A.D. testified that she no specific memory of the boys hitting her or her sisters but said she had a "gut feeling we were being hit." Each of the defendants denied spanking or hitting any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L.D. testified that G.P. "vaginally raped" her three times that she recalls and she has distinct memories of each of these occasions. In cross examination she said she recalled these three incidents of vaginal intercourse with G.P. clearly and that they have been clear in her mind for some time. In direct examination she described one of these events took place with G.P.'s hand over her mouth. She said afterward she cleaned up and there was blood and "snot" and that she threw her underwear in the laundry. She said on another occasion vaginal intercourse took place on G.P.'s bed. He took off her bottoms and was on top of her. She said she tried to scream and he hit her. She said someone saw what happened, but she did not know who. She said G.P. yelled "get the hell out" to who ever it was. She described the third incident of vaginal intercourse with G.P. as taking place in another room in the basement (the record-player room). She said she was bent over a wooden chair and G.P. entered her from the back. She said one of her sisters saw this but she did not know which one. She said she shut her eyes so she wouldn't see her sister.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After making the statements in cross examination about the clarity of her recollection of these three events and after stating that those events had been clear in her mind for some time, the following was put to her from Dr. Lysak's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general recollection about G.P. was that throughout the year when she lived with the P.s, he had her perform oral sex on him a lot, but vaginal penetration was infrequent ("I don't know if it was more than twice").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When asked about that L.D. said what she said to Dr. Lysak may have been correct. She then added maybe one of the recollections is a new memory that may have been revived since her meetings with Dr. Lysak in March, 2000. She then repeated she has a clear memory of being "vaginally raped" by G.P. three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She was then asked about the answers which she gave on examination for discovery in November, 1999, and agreed at that time she said there were three incidents of vaginal intercourse with G.P. that stood out in her mind. This was, of course, before her interviews with Dr. Lysak.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Also in cross examination L.D. said that during one of the acts of vaginal intercourse a friend of G.P.'s helped hold her down. She said she did not recall that on direct examination, as she had been more nervous. She said the friend was there on the occasion when she was bent over the chair. She said this was the occasion when one of her sisters saw the event. She said she didn't know if anyone else was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She was then asked about an answer she gave on examination for discovery when she said during the third act of vaginal intercourse in the record-player room "I know that my brother saw what happened." She said she had forgotten a few moments before when asked that her brother had told her he had seen this. S.D. testified he didn't see anything explicitly sexual happen to L.D. at the P.s. Later in cross-examination L.D. said the time when G.P. had her over the chair, B.P. may have been there. She said, "I don't know if it was L.P. or B.P."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L.D. said there were numerous acts of oral intercourse. She said mostly she was required to perform oral sex on G.P. She said the second time it happened she threw up and he told her to clean it up. She said on one occasion after performing oral sex on G.P., he made her spit the ejaculate into an empty cigarette package.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L.D. also testified "we would get split lips and sore throats from being orally penetrated. I put cold towels on my lips and my sisters' lips to make them feel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L.D. said that B.P. and G.P. talked about her and that B.P. told G.P. he wanted her to do what she did to G.P. She said that G.P. told B.P. to threaten her and that's when B.P. tried oral intercourse with her. She said B.P. forced her to perform oral sex on him two times, but he did not ejaculate either time because he was interrupted. On her discovery she said B.P. ejaculated the first time, but not the second. When this discovery evidence was put to her L.D. said her answers were true to the best of her knowledge. She said, "the point is the man did try to make me do this." She said there was no other time when B.P. actively helped G.P. She was then referred to the following portion of Dr. Lysak's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second alleged abuser was B.P. Her recall is that he was about 13 then. He started abusing her later than G.P. and only after watching G.P. and helping him perform sex acts on 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said that she had "not too many memories" about B.P. She said one time, B.P. "almost had me put my mouth on his penis, but somebody was coming in." Another time, he helped G.P. hold her down when G.P. was sexually abusing her. She said that incident occurred close to end of her stay with the P.s; she recalled telling the social worker, McHaffie about it. She said there was no penetration with B.P.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L.D. denied saying these things to Dr. Lysak. She said she told Dr. Lysak about a friend holding her down, not B.P. She said that B.P. did have his penis in her mouth two times. Dr. Lysak interviewed L.D. on behalf of the former defendants. She was not required to attend for cross examination. I accept that Dr. Lysak accurately reported what she was told by Ms.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Lysak reported regarding vaginal intercourse between L.D. and G.P.: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has distinct memories for two other events that occurred within weeks of the first one. The second incident went as follows. She said "He pushed me over the chair (so that she was leaning over the chair), and entered me (vagina) from behind." After the second incident, there were others involving her being forced by him to put "our mouths (she said he did it to her sisters as well) on his penis."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first incident which L.D. had told Dr. Lysak about is quoted at paragraph 12 above. Thus the "chair incident" was reported by L.D. to Dr. Lysak as having occurred within weeks of coming to the P. residence, but this must be the same "holding down" incident which she told Dr. Lysak happened "close to the end of her stay" (see paragraph 22 above). I heard nothing in L.D.'s testimony to suggest she was held down over a chair on more than one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L.D. said in cross-examination her brother, S.D., never sexually assaulted or abused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noted, S.D. said that he didn't see anything explicit happen with L.D. He did see her sitting on G.P.'s lap on one occasion in the living room and G.P. was "caressing her." S.D. said he also saw L.D. going into G.P.'s room and the door being closed. He does not know if that happened on one occasion or more than once.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S.D. testified that on one occasion L.D. performed oral sex on him. He said this was at G.P.'s instigation. He said G.P. said, "You're a man now." It was G.P. who required L.D. to perform oral sex on S.D. S.D. testified this was when he was five and one-half or six years-of-age. L.D. testified that she never had sexual contact with 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L.D. did not testify as to any sexual contact with L.P. She said he seemed afraid of her. Dr. Lysak reported: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said L.P., the youngest of the P. boys, and about nine or 10 then, participated in the abuse of her as well. Her memories for his actions were vague, except that she remembered that he watched his older brothers and tried to do the same. She remembers he was swearing and calling her and her sisters names. She remembers that she was able to protect herself from him, and also she protected her younger sisters. She remembers that L.P. had her sisters perform oral sex 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G.G. testified that she thought she had a memory of a time seeing L.D. assaulted. She said, "I knew it wasn't just happening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G.G. testified that sex started as a game and she thought it was funny at first. She said, "I don't remember who was who when things happened to me. They were saying to suck it like a lollipop or popsicle." This was near the beginning of their stay at the P.s. She said ejaculation occurred and she did not like the taste and so she was told to spit in a cigarette package by G.P. or B.P. When asked on cross examination if L.P. ejaculated when she performed oral sex on him she answered "probably because I remember expressing I didn't like the taste and them finding something for me to spit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G.G. said she had a memory of oral sex occurring with all three boys but did not have memories of exact occasions. She said she also had to perform oral sex on friends of the boys. She said she has had a memory all her life of biting one of the boys, "I didn't know if it was G.P. or not" when made to perform oral sex 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G.G. also said she recalled being in the bathtub: "I think L.P. came in and wanted me to perform oral sex. I believe I did." She also said that one time, she wasn't sure if it was B.P., tried to see if his penis would fit inside of her. She remembered that being tried on one occasion. She also said that on one occasion "they" wanted to play doctor. She wasn't sure if it was B.P. or L.P. She said this might have occurred when the neighbours were there, meaning neighbourhood boys who were friends of the defendants. She testified that the abuse happened more frequently after L.D. left the P. residence. She remembered one time being seen by S.D. when "something was happening to me." She said he was peeking over the top of an unfinished wall into a bedroom.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G.G. denied any sexual contact between herself and her brother S.D. at the P. residence. She said she didn't recall S.D. ever having his hands in her panties while she was at the P.'s. During cross examination G.G. acknowledged that all of the incidents she recalled "really blend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G.G. said in cross examination that the first oral sex occurred, she believed, when L.D. was still in the P. house. She said, "It was happening before L.D. was taken away." Then the following questions and answers were put to her from her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171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Was it more than one friend of theirs that you performed oral sex 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don't think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172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Were your sisters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think A.D. was there. I'm not 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173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remember where L.D. was?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I've been really thinking about this, and I think it just got bad after she left. Like I don't think he ever did much to me or A.D. like really bad until after L.D.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174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you say he, who do you mean?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boys, just the boys.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said the answers to these questions were true but also confirmed her testimony at trial as being truthful.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G.G. had said in direct examination that she remembered not sleeping well at night and that she often wet the bed. She said she thought she remembered one time seeing someone over her bed. She said she remembered being afraid at night. She said she had a foggy memory of L.P. coming into her room. Dr. Laura Mills assessed G.G. and provided a report to counsel for the former defendants. Dr. Mills reported: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G.G. noted she has always suffered from insomnia. She felt she developed a pattern of not sleeping in order to protect herself. She claimed this sleep problem started when she lived at the P. home. She claimed she learned to stay awake since the boys often came into her room at night and would wake her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Mills also said in her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terms of sleep, G.G. felt that the sleeping problems started when she was living in the P. home at age four. She would fall asleep and they would wake her up. She used to do things to try to stay awake so she would be better prepared for them. After then she felt she has never slept in a proper way. She wakes easily with small noises. She used to sleep with her sister A.D. in the top bunk to hide or sleep with S.P., her foster sister, to keep away from the boys. G.G. noted that most of the abuse happened at night at the P.'s. She recalled they would wake her up and take her downstairs. She used to stop herself from falling asleep so she would be more alert. She recalled often wetting her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L.D. testified that she did not see G.P. doing anything sexual to either of her sisters. She said she saw L.P. try to put his penis in G.G.'s mouth. L.D. said she then pushed L.P., got in a scuffle with him and G.G. ran away. She testified that she saw B.P. making G.G. perform oral sex on him and that G.G. gagged. She said he made A.D. finish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L.D. was seen by Dr. Kulwant Riar at the request of her counsel. He prepared a report. In his report he noted with respect to 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also witnessed the youngest boy doing things to both her sisters but she could not do anything about it. The first time she noticed this was when the oldest boy was raping her and the youngest boy was doing the same thing to her sisters. She also witnessed this at other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L.D. had said on cross examination she had seen B.P. (as described above) with both sisters inside the house and on another occasion saw both sisters with B.P. outside under the back stairs at which time he made G.G. perform oral sex on him. Then questions from her discovery of April, 2000, were put to her. At discovery L.D. had said she had only seen B.P. doing things with her sisters one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L.D. was also asked on cross examination about a portion of an answer to an interrogatory in which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were the times when L.P. did his sick perversions with my sisters usually in the far back bedroom down stairs. He made my sisters perform oral sex.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said this answer was true and that she had forgotten about these situations when testifying prior to having that answer put to her from her interrogatories. She said, "It's hard for me to remember everything all at once. It's the same as trying to remember what you had for dinner last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S.D. testified that one time when he was in the basement he peeked over the wall of the bedroom and saw G.G. and A.D. in the bedroom with G.P. He said G.P. had his penis in G.G.'s mouth. He said, "A.D. was next, from what I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A.D. testified that she recalled an incident in the bathroom with L.P. She said he made her put his penis in his mouth. She said he was laughing. She said it felt like he was peeing so she bit him and ran out. She said he had pushed her head onto his penis. She said that she remembered that when she bit him he called her a "fucking bitch." She said when she ran out of the bathroom her sister G.G. was there and they hid together under the basement stairs. G.G. testified to a memory of hiding behind the furnace with 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A.D. testified on cross examination that her first memory of the P. home was the incident with L.P. in the bathroom. She believed that incident occurred before L.D. left the P.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A.D. did not testify to any other specific incidents. She said, however, that she was always scared in the P.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A.D. testified that on one occasion she heard G.G. crying in G.P.'s bedroom and that she opened the door. She saw G.G. on the bed and G.P. was standing at the end of the bed. G.P. yelled at her to get out and A.D. yelled at G.G. to run.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A.D. testified also that she has little pieces of memory recalling her brother peeking over the wall watching something that wasn't right. She said she also remembered the defendant's friends being around sometimes when she felt scared. She had no specific recollection of the boys hitting her or her sisters. In cross examination A.D. said that on the occasion she went into G.P.'s room when G.G. was crying she believed both of them were clothed.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cross-examination answers to interrogatories were put to A.D. In the interrogatory she said, "The assaults happened two to three times a week." She also said that L.P. had sexually assaulted her "once or twice a week." She said her answers were true but that the one incident with L.P. was the only one that sticks in her mind. She said, "I know more happened." She later said, "This is my feeling. I know this; I can't explain them to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As noted each of the defendants denied any sexual contact with the plaintiffs. G.P. testified that he witnessed an incident when S.D. had his hands down G.G.'s pants. He thought G.G. was crying. He said he marched them upstairs to his mother and has no knowledge of what occurred after that time. He said, "I reported it, that's the end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W.P., the defendant's father, testified that no more than two months after the D. children arrived at his house he arrived home from work. He said his wife was upset and as a result of their conversation together he had a conversation with S.D. He said he confronted S.D. with the fact that he was seen with his hands down G.G.'s underpants and S.D. told him, "His uncle did it all the time." He said that after this conversation S.D. was moved from sharing a room with his sisters into a room with L.P. S.D. denied ever having had his hand(s) down G.G.'s panties and denied being confronted about such behaviour by W.P.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cross-examination Mr. P. said that his wife was very responsible with the children and he would have expected her to mention the incident he testified about with S.D. and G.G. to the social worker, Ms. McHaffie.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noted, both G.G. and S.D. denied this event took place. Ms. McHaffie testified that she was told nothing about S.D. touching G.G. She said if she had been told of sexual acts in a home, she would make a record in the child's file and in the file of the child who committed the act. She said there is nothing regarding an act between S.D. and G.G. recorded.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have already made reference to some of the evidence concerning physical abuse alleged by the plaintiffs. L.D. described E.M.P. as the foster parent who disciplined children but described her as "nice enough." It wasn't until her cross-examination when she said that Ms. P. would hit with "a wet cloth over our bums."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S.D. when asked about being disciplined by E.M.P. spoke of himself and A.D. being whipped with an electrical cord and of being spanked in front of the doctor on one occasion. He also said that he and L.P. had tabasco sauce put in their mouths for having spit on A.D.; he said L.P. was allowed to spit out the tabasco sauce but he had to hold it so it burned for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S.D. testified that he was hit by G.P. on one or perhaps two occasions neither or which involved the plaintiffs. He said, he was not hit by B.P. As mentioned above, S.D. testified he never say any of the defendants hit any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G.G. testified remembering not wanting to upset Ms. P. she said both Ms. P. and the boys would discipline her. She said she remembered Ms. P. putting tabasco sauce "in our mouths." She testified to the effect that she believed L.D. was mistaken in her evidence about their lips and throats being sore from sexual abuse. G.G. also said that the children were lined up when they misbehaved "until one of us owned up so we wouldn't have to stand there." G.G. said all three boys spanked her with wet cloths on her bum.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A.D. testified that she was scared of Ms. P. She called her mean. She said she remembered Ms. P. yelling and also said, "she used to spank us quite a bit." She said that one incident sticks out when all the children lined up to get spankings. A.D. said, however, that she had no specific recollection of any of the boys hitting her nor of any of the boys hitting her sisters. Dr. Riar reported this about 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Ms. D. remembers clearly being physically abused by her foster brothers, especially the youngest one. She recalled that her sisters and brother used to get lined up for discipline when something went wrong. She clearly remembers spanking, but does not know who was doing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L.D. had said that G.P. had hit her with a belt over wet cloths fairly soon after the children arrived at the P. household. She said this to Dr. Lysak: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said that typically, the sexual abuse would be accompanied by G.P.'s physical abuse. She said G.P. used to hit her and her sisters on their bums with a leather belt. She said that he would typically lay a wet towel on her bum and then hit with a leather belt. She said that sometime he would leave welts on her skin and they would open up and bleed.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Neither of the other two plaintiffs mentioned the use of a leather belt. L.D. said that she didn't know if she told Ms. P. when G.P. hit her the first time. She said she knew she had welts because she felt them. She said that although Ms. McHaffie the social worker was around she didn't show her the welts nor did she tell Ms. McHaffie that she had been hit. She said she got along well with Ms. McHaffie and trusted her but didn't tell her about the spanking. In her direct examination L.D. had said of Ms. McHaffie "I adored her, we all did, we thought she was great."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L.D. testified that shortly before she was removed from the P. home she spoke to Ms. P. and told her what G.P. and B.P. were doing to her and her sisters. She said Ms. P. slapped her saying what she had said was horrible and not to say it again. She said Ms. P. then went back to making dinner. She said that she was stunned that Ms. P. was mad at her and not the boys. She said that she then decided to tell Ms. McHaffie about what had been going on. She said that she and G.G. and A.D. were sitting in their bedroom when they told Ms. McHaffie. She said Ms. McHaffie acted quite shocked and asked L.D. if she was sure. L.D. said she told Ms. McHaffie she was sure and told her what the boys did. L.D. testified that Ms. McHaffie then asked G.G. if it happened and G.G. had replied "yes." L.D. testified that Ms. McHaffie patted the bed and G.G. came and sat beside her. She said that Ms. McHaffie asked G.G. if what she said was the truth and G.G. replied "yes." L.D. said that Ms. McHaffie then said "you will have to deal with this for awhile longer." L.D. testified that she knew that Ms. McHaffie then went and spoke with Ms. P. and that afterwards she left. L.D. testified that during this conversation with Ms. McHaffie she did most of the talking. She said this took place in August of 1967, shortly before she was removed from the P. home. She said Ms. McHaffie wasn't called over for the visit but this conversation took place during a regular home visit by Ms. McHaffie.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G.G. also gave evidence about this conversation with Ms. McHaffie. She said she remembered that L.D. told Ms. McHaffie that she was abused too, and that Ms. McHaffie asked G.G. if this was true and that she had replied yes to which Ms. McHaffie said "Be patient." According to G.G. L.D. was removed from the P. household on the day Ms. McHaffie was told about the abuse. She said L.D. had said to Ms. McHaffie "If you don't think this is happening to me and my sisters you're crazy."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Riar said in his report concerning 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remembered that one time she told her foster mother what was happening but the foster mother hit her in the face and told her that this was a dirty thing to say. She remembered her teacher asking her about the bruise on her face. Her foster mother told the teacher that she hit the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L.D. was not asked about these things she told Dr. Riar. L.D. testified that she was removed "soon after" she spoke to Ms. McHaffie. It is clear from the records that she was removed from the P. home on August 31, 1967. It remains unexplained why the teacher would have asked Ms. P. about a bruise as L.D. described to Dr. Riar given the fact that this event would have happened during the school summer holidays.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cross examination L.D. was asked about a comment made in her social services records that she was removed from the P. home because she was "bossy" and "picking fights." She said she didn't fight with the boys before telling Ms. P. about the sexual abuse -- other than struggling to get G.P. off of her. She was then asked about question and answers from an examination for discovery. She was asked:</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do you remember fighting with the boys?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 All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said her answer was true but she could remember fighting with the boys only after she told about the abuse. She said she had put up with abuse for almost a year without fighting back because she was afraid. She said after she told she got angry.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W.P. said that L.D. was there for quite some time before he and his wife asked for her removal. He said she was "bossy" for quite a long time before. Ms. McHaffie testified that her reason for removing L.D. from the P. household was because of increasing conflict between L.D. and the other children in the family. She said Ms. P. couldn't manage the workload and the conflict in the house. Ms. McHaffie said that when she went to tell L.D. she would be moving, L.D. seemed relatively content to be going. Ms. McHaffie said she initiated the meeting with L.D. and that although she couldn't remember exactly what she told L.D. it was to the effect that things weren't working out in the home for her and that Ms. P. couldn't care for all of the children. Ms. McHaffie said that she recalled neither L.D. nor G.G. saying anything about sexual abuse. She said that if she had been told of such abuse she would have immediately told her supervisor, and if the children were believed, they would be moved. She said the rest of the D. children were removed from the P. home in August of 1969 because the P.s were planning to move north and they only wanted to keep B.L. and G.G. because it was too much for them to have all four of the D. children. Ms. McHaffie said that it was decided it was advisable not to separate the children so all four were removed from the P. home. She said up to the time her dealings with the D. children came to an end, none of them complained about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After L.D. was removed from the P. residence she had a number of other foster placements. Portions of her Social Services placement history were put to her. In September 1967 there was yet another change of foster home with a note saying "very bossy and well on her way to attracting boys by fighting with them." She denied this saying there weren't any boys at that residence. She was placed in another home for a short time and then yet another home for about eight months and then to another home in May 1968. In August 1970 she was placed with a relative and removed from that home in December 1971. That was the home of an Aunt and Uncle, not Auntie A. and Uncle D. She said she was removed from that home because her Uncle attempted to perform oral sex on her and masturbated in front of her. The records do not indicate removal for that reason. Three complaints about L.D. are listed in her record, as follows, with respect to that relative foster placement:</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L.D.'s desire to act much older than her years and all this implies, e.g. boy friends, etc. Unfortunately L.D. lacked judgment in her choice of friends of both sexes.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Constant bullying of the J.'s three children to the point where all three and mother developed nervous disorders,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L.D.'s inability to accept correction and discipline gracefully, especially from Mrs. J. Placed in C. foster home in Parksville.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When asked about these complaints in cross-examination L.D. said with respect to number 1 that most people don't like their children's friends. With respect to number 2 she said that when she told her Aunt what her Uncle had done "she freaked." L.D. went on to say "I can't imagine her being too happy about her husband." L.D. also testified that she thought these complaints were made up because they didn't want the sexual abuse issue brought up. She said she had told the social worker of the abuse but she couldn't remember who that social worker was. With respect to complaint number 3, she said her Aunt disciplined her with a crib board and axe handles and that she would stand up to her Aunt for doing this. L.D. was removed from the next foster after about ten months. Her record noted "complaints are generally the same as in the past." In cross examination L.D. said that at this placement they had given her drugs to make her calm which she didn't want to take so she kept running away. She was placed in another foster home in October 1972. She said she was sexually assaulted by the adult brother of her foster mother. She said she had gone to help him clean his home and "he raped me while I was there." L.D. testified that three days after this incident she ran away from that foster home and that was her last foster 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G.G. testified that in a foster home that she was in with her sister A.D. after being removed from the P. home, "the husband there fondled us." The records indicate that G.G. and A.D. were in that placement from July 1969 to early September of 1969. G.G. also testified that on one occasion when she was a teenager, she thought about 16 years of age, she woke up in bed to find her father touching her in a sexual way. She says that since then she and her father have talked about this event and she now has a good relationship with him. G.G. also testified that on one occasion (after the P. residence) S.D. wanted to play doctor with her but that incident didn't last very long. A.D. did not testify as to any incidents of sexual abuse after being at the P. residence. She made no mention of being fondled at a foster home after being at the P.'s. She had reported to Dr. Riar, however, that in the foster placement after the P.'s she saw a couple in the next household having sex and a couple of days later the woman she saw came over and tried to feel her and kiss her but she said no to her advances.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After L.D. ran away from her last foster placement she again stayed with her mother and one by one the other D. children were also returned to their mother's care. The mother left the children. L.D. stayed with her sisters; S.D. went to live with their father. The girls lived together for some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L.D. testified that she and her sisters talked about what happened at the P. residence off and on over the years. She said "Whenever something came up that upset one of us, that related to it, we talked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S.D. said he may have spoken with L.D. as many as six times in the early 80's until the summer of 1998 and he likely spoke with G.G. with approximately the same frequency. He said he spoke with A.D. two or three times a year in the early 1990's.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A.D. said she and her sisters discussed the matters occasionally before the lawsuit was started but not in detail "until now." She said that although they never sat down as a group and talked about what happened, she did discuss the facts with L.D. She said, "she told me what she thought happened to her. I told her what I remembered." A.D. said that she had the same kind of discussions with G.G.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G.G. said that before the lawsuit began she, L.D., A.D. and S.D. had "all known what happened." She said however that they did not discuss matters in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her report concerning L.D., Dr. Lysak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difficult to elicit from her the necessary information to separate the contributions of various past and current events to her past and current psychological state, due to her difficulty focusing on one topic at a time, as well as her self-reported memory problems for the events relevant to her legal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outset of the interview, when I asked about the events that caused her to bring on the legal action, she stated "I am terrible with remembering some things." She explained that during the Examination for Discovery in December of 1999, related to her allegations of sexual abuse by the P.'s boys, she was not able to recall events, although she remembered more after she went home. She stated that during a previous Examination for Discovery, Mr. P.'s lawyer made her feel uncomfortable and this interfered with her ability to recall the information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trial L.D. often asserted a clear recollection of certain events but frequently contradicted her own testimony. There were obvious inconsistencies, also, between the events related at trial and events which were related on other occasions. Similarly, though not as dramatically, the evidence of G.G. and A.D. was often vague. They too, contradicted themselves and their respective narration of events have been inconsistent.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have been greatly concerned about the reliability of the plaintiffs' evidence. I have not been provided with any expert evidence regarding memory or the reliability of adult recollections of early childhood events. I have tried to relate the evidence of the plaintiffs and their brother, particularly concerning the incidents of abuse alleged, to illustrate the inconsistencies and contradictions which have proved troublesome to me. In reading my decision I have, of course, reviewed and carefully considered all of the evidence at trial, not only the evidence which I have summarized in these reasons. I noted at the outset of this judgment the fact that the plaintiffs were very young when the events in question are alleged to have occurred and that these events transpired more than 30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coming to my decision with respect to this case I have been greatly aided by the judgment of Madam Justice Stromberg-Stein in V.(J.L.) v. H.(P.) </w:t>
      </w:r>
      <w:hyperlink r:id="rId311" w:history="1">
        <w:r>
          <w:rPr>
            <w:rFonts w:ascii="arial" w:eastAsia="arial" w:hAnsi="arial" w:cs="arial"/>
            <w:i/>
            <w:color w:val="0077CC"/>
            <w:sz w:val="20"/>
            <w:u w:val="single"/>
            <w:shd w:val="clear" w:color="auto" w:fill="FFFFFF"/>
            <w:lang w:val="en-US" w:eastAsia="en-US" w:bidi="ar-SA"/>
          </w:rPr>
          <w:t>(1997), 31 B.C.L.R. (3d) 155</w:t>
        </w:r>
      </w:hyperlink>
      <w:r>
        <w:rPr>
          <w:rFonts w:ascii="arial" w:eastAsia="arial" w:hAnsi="arial" w:cs="arial"/>
          <w:color w:val="000000"/>
          <w:sz w:val="20"/>
          <w:lang w:val="en-US" w:eastAsia="en-US" w:bidi="ar-SA"/>
        </w:rPr>
        <w:t>. She too was dealing with allegations of sexual abuse, in that case dating back some 20 years. Both the plaintiff and a brother who testified in that case were young at the time of many of the incidents in question, but considerably older than the plaintiffs before me were at the time of the alleged incidents. The plaintiff in V.(J.L.) v H.(P.) admitted difficulty remembering details. She claimed to remember events clearly in conflict with her brother and the defendant father. In discussing these difficulties Madam Justice Stromberg-Stein said this at paragraphs 108 and 109: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Assessment of Credibility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The issue of credibility of the complainant is not to be confused with the reliability of her recollection of events dating back many years and not disclosed until recently. Invoking memories from childhood is fraught with unreliable accounting but this does not necessarily detract from credibility.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terms of the allegations made by the plaintiff, there is a </w:t>
      </w:r>
      <w:r>
        <w:rPr>
          <w:rFonts w:ascii="arial" w:eastAsia="arial" w:hAnsi="arial" w:cs="arial"/>
          <w:color w:val="000000"/>
          <w:sz w:val="20"/>
          <w:u w:val="single"/>
          <w:lang w:val="en-US" w:eastAsia="en-US" w:bidi="ar-SA"/>
        </w:rPr>
        <w:t>probability of truthfulness</w:t>
      </w:r>
      <w:r>
        <w:rPr>
          <w:rFonts w:ascii="arial" w:eastAsia="arial" w:hAnsi="arial" w:cs="arial"/>
          <w:color w:val="000000"/>
          <w:sz w:val="20"/>
          <w:lang w:val="en-US" w:eastAsia="en-US" w:bidi="ar-SA"/>
        </w:rPr>
        <w:t xml:space="preserve"> with respect to most of the allegations </w:t>
      </w:r>
      <w:r>
        <w:rPr>
          <w:rFonts w:ascii="arial" w:eastAsia="arial" w:hAnsi="arial" w:cs="arial"/>
          <w:color w:val="000000"/>
          <w:sz w:val="20"/>
          <w:u w:val="single"/>
          <w:lang w:val="en-US" w:eastAsia="en-US" w:bidi="ar-SA"/>
        </w:rPr>
        <w:t>having regard to the coherent, consistent and detailed descriptions of events and which contain descriptions of her subjective mental state as well as peripheral, unusual and unique details</w:t>
      </w:r>
      <w:r>
        <w:rPr>
          <w:rFonts w:ascii="arial" w:eastAsia="arial" w:hAnsi="arial" w:cs="arial"/>
          <w:color w:val="000000"/>
          <w:sz w:val="20"/>
          <w:lang w:val="en-US" w:eastAsia="en-US" w:bidi="ar-SA"/>
        </w:rPr>
        <w:t>. Her descriptions are realistic and her reactions are expected. It is of significance that the allegations of sexual abuse began with the death of her mother and ended, for the most part, with the defendant's remarriage. One final comment concerns the odd demeanour of the plaintiff when testifying about the allegations of sexual abuse. She displayed what I assume the psychologist and psychiatrists described as an autonomic response where there was observable and obvious effect on her facial expressions, her speech and her breathing pattern when she described the sexual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Madam Justice Stromberg-Stein also discussed the standard of proof in such cases. She said this at paragraphs 117 through 120 of her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civil standard of proof on a balance of probabilities is a flexible standard that enables Courts to require a higher degree of probability of persuasion in a case involving allegations of sexual, physical and emotional abuse made by a child against a parent. The seriousness of the allegations and the gravity of the consequences requires a high degree of probability that the allegations are true. This approach was set out by Lord Denning in Bater v. Bater, [1950] 2 All E.R. 458 (C.A.), at 459: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case may be proved by a preponderance of probability, but there may be degrees of probability within that standard. The degree depends on the subject matter. A civil court, when considering a charge of fraud, will naturally require a higher standard of probability than that which it would require considering whether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established. It does not adopt so high a degree as a criminal court, even when it is considering a charge of a criminal nature, but still it does require a degree of probability which is commensurate with the occasion.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Supreme Court of Canada considered the standard of proof in civil cases in Continental Insurance Co. v Dalton Cartage Co., </w:t>
      </w:r>
      <w:hyperlink r:id="rId466" w:history="1">
        <w:r>
          <w:rPr>
            <w:rFonts w:ascii="arial" w:eastAsia="arial" w:hAnsi="arial" w:cs="arial"/>
            <w:i/>
            <w:color w:val="0077CC"/>
            <w:sz w:val="20"/>
            <w:u w:val="single"/>
            <w:shd w:val="clear" w:color="auto" w:fill="FFFFFF"/>
            <w:lang w:val="en-US" w:eastAsia="en-US" w:bidi="ar-SA"/>
          </w:rPr>
          <w:t>[1982] 1 S.C.R. 164</w:t>
        </w:r>
      </w:hyperlink>
      <w:r>
        <w:rPr>
          <w:rFonts w:ascii="arial" w:eastAsia="arial" w:hAnsi="arial" w:cs="arial"/>
          <w:color w:val="000000"/>
          <w:sz w:val="20"/>
          <w:lang w:val="en-US" w:eastAsia="en-US" w:bidi="ar-SA"/>
        </w:rPr>
        <w:t>. In adopting Lord Denning's approach in Bater, Laskin C.J.C. held that where allegations of conduct that is morally blameworthy are made in civil cases, the relevant standard remains the civil one though there is necessarily a matter of judgment involved in weighing evidence and a trial judge is justified in scrutinizing evidence with care. Asserting that there is no shifting of the burden of proof, he stated at p. 171 "[t]he question in all cases is what evidence with what weight that is accorded to it will move the court to conclude that proof on a balance of probabilities has been established."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issue of the standard of proof in civil cases was addressed again by the Supreme Court of Canada in R. v Oakes </w:t>
      </w:r>
      <w:hyperlink r:id="rId467" w:history="1">
        <w:r>
          <w:rPr>
            <w:rFonts w:ascii="arial" w:eastAsia="arial" w:hAnsi="arial" w:cs="arial"/>
            <w:i/>
            <w:color w:val="0077CC"/>
            <w:sz w:val="20"/>
            <w:u w:val="single"/>
            <w:shd w:val="clear" w:color="auto" w:fill="FFFFFF"/>
            <w:lang w:val="en-US" w:eastAsia="en-US" w:bidi="ar-SA"/>
          </w:rPr>
          <w:t>(1986), 26 D.L.R. (4th) 200</w:t>
        </w:r>
      </w:hyperlink>
      <w:r>
        <w:rPr>
          <w:rFonts w:ascii="arial" w:eastAsia="arial" w:hAnsi="arial" w:cs="arial"/>
          <w:color w:val="000000"/>
          <w:sz w:val="20"/>
          <w:lang w:val="en-US" w:eastAsia="en-US" w:bidi="ar-SA"/>
        </w:rPr>
        <w:t>. Dickson, C.J.C. stated, "Within the broad category of the civil standard, there exist different degrees of probability depending on the nature of the case . . . " In support, at p. 226, he cited Bater.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 case such as this, involving allegations of sexual, physical and emotional abuse by a father against his daughter, spanning approximately twenty years, a high degree of probability "commensurate with the occasion" is the appropriate standard of proof of misconduct by the defendant toward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Court of Appeal reviewed Madam Justice Stromberg-Stein's decision in V.(J.L.) v. H.(P.), </w:t>
      </w:r>
      <w:hyperlink r:id="rId468" w:history="1">
        <w:r>
          <w:rPr>
            <w:rFonts w:ascii="arial" w:eastAsia="arial" w:hAnsi="arial" w:cs="arial"/>
            <w:i/>
            <w:color w:val="0077CC"/>
            <w:sz w:val="20"/>
            <w:u w:val="single"/>
            <w:shd w:val="clear" w:color="auto" w:fill="FFFFFF"/>
            <w:lang w:val="en-US" w:eastAsia="en-US" w:bidi="ar-SA"/>
          </w:rPr>
          <w:t>[1998] B.C.J. No. 1546</w:t>
        </w:r>
      </w:hyperlink>
      <w:r>
        <w:rPr>
          <w:rFonts w:ascii="arial" w:eastAsia="arial" w:hAnsi="arial" w:cs="arial"/>
          <w:color w:val="000000"/>
          <w:sz w:val="20"/>
          <w:lang w:val="en-US" w:eastAsia="en-US" w:bidi="ar-SA"/>
        </w:rPr>
        <w:t>. Mr. Justice Lambert said this at paragraphs eight and ten of the appeal court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argument on this appeal started with the finding of liability made by the trial judge, which rested on the standard represented by the balance of probabilities (using an exacting standard of assessing that balance based on the fact that these accusations of sexual assault involved moral blame-worthiness). It was pointed out that the trial judge found that three of the serious sexual assault incidents had been established to have taken place under that standard of proof, that the remainder, and she particularized four and one assumes one other since there were eight in total, had not been proved to the required standard.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it is important to realize that it was not that the five had been proven not to have occurred but just that they had not been proven, to the required standard, to have occurred. So I see nothing perverse in the finding that the trial judge rested her judgment on a conclusion that only three of these incidents had been proven to the requisite standard to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have no doubt that each of the plaintiffs as well as their brother holds a sincere belief that the acts complained of happened in the P. household. I cannot find, however, that there is a "probability of truthfulness" with respect to the allegations made because of the significant inconsistencies in each of the plaintiffs' descriptions of events. This is not a case where the defendants have proven the alleged events did not occur. Indeed, I have grave suspicions that one or more of the defendants may have committed inappropriate sexual acts on the plaintiffs. However, I must conclude that the plaintiffs have not proved their claims against the defendants on the standard represented by the balance of probabilities (using an exacting standard of assessing that balance) given the nature of the accusations involved in this case. I am therefore forced to conclude I must dismiss each of the plaintiffs' claims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Costs may be spoken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DOWNS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8" style="position:absolute;z-index:2518364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Ezer v. Syrjala, [2005] B.C.J. No. 2537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Scarth</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28, and October 5 and 14,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24,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M031882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2537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1636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144 A.C.W.S. (3d) 832</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Adam Ezer, plaintiff, and Peter Syrjala,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9"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8" w:name="Keywords_24"/>
      <w:bookmarkEnd w:id="168"/>
      <w:r>
        <w:rPr>
          <w:rFonts w:ascii="arial" w:eastAsia="arial" w:hAnsi="arial" w:cs="arial"/>
          <w:b/>
          <w:color w:val="000000"/>
          <w:sz w:val="20"/>
          <w:lang w:val="en-US" w:eastAsia="en-US" w:bidi="ar-SA"/>
        </w:rPr>
        <w:t>Civil procedure — Courts — Jurisdiction — Provincial courts — Application by the plaintiff Ezer to transfer his proceeding to the Provincial Court allowed — Ezer was claiming damages against the defendant Syrjala for injuries arising from a motor vehicle accident — Ezer also claimed punitive damages, alleging Syrjala's actions were intentional — He was willing to limit his claim to $25,000 — The inclusion of assault allegations did not render the case inappropriate for transfer — A jury trial would be expensive and lengthy and out of proportion to the probable amount involved.</w:t>
      </w:r>
    </w:p>
    <w:p>
      <w:pPr>
        <w:jc w:val="both"/>
        <w:rPr>
          <w:rFonts w:ascii="arial" w:eastAsia="arial" w:hAnsi="arial" w:cs="arial"/>
          <w:sz w:val="20"/>
          <w:lang w:val="en-US" w:eastAsia="en-US" w:bidi="ar-SA"/>
        </w:rPr>
      </w:pPr>
      <w:bookmarkStart w:id="169" w:name="Legislation Cited_19"/>
      <w:bookmarkEnd w:id="16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0"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Act, </w:t>
      </w:r>
      <w:hyperlink r:id="rId477" w:history="1">
        <w:r>
          <w:rPr>
            <w:rFonts w:ascii="arial" w:eastAsia="arial" w:hAnsi="arial" w:cs="arial"/>
            <w:i/>
            <w:color w:val="0077CC"/>
            <w:sz w:val="20"/>
            <w:u w:val="single"/>
            <w:shd w:val="clear" w:color="auto" w:fill="FFFFFF"/>
            <w:lang w:val="en-US" w:eastAsia="en-US" w:bidi="ar-SA"/>
          </w:rPr>
          <w:t>R.S.B.C. 1996, c. 443 s. 15</w:t>
        </w:r>
      </w:hyperlink>
      <w:r>
        <w:rPr>
          <w:rFonts w:ascii="arial" w:eastAsia="arial" w:hAnsi="arial" w:cs="arial"/>
          <w:color w:val="000000"/>
          <w:sz w:val="20"/>
          <w:lang w:val="en-US" w:eastAsia="en-US" w:bidi="ar-SA"/>
        </w:rPr>
        <w:t>, s. 15(a), s. 15(c)</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0" w:name="Counsel_24"/>
      <w:bookmarkEnd w:id="17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1" style="position:absolute;z-index:251786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in person: A. Ezer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 Duplessis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1" w:name="Judgment_24"/>
      <w:bookmarkEnd w:id="171"/>
      <w:r>
        <w:pict>
          <v:line id="_x0000_s1152" style="position:absolute;z-index:25183744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2" w:name="MASTER SCARTH"/>
            <w:bookmarkEnd w:id="172"/>
            <w:r>
              <w:rPr>
                <w:rFonts w:ascii="arial" w:eastAsia="arial" w:hAnsi="arial" w:cs="arial"/>
                <w:b/>
                <w:color w:val="000000"/>
                <w:sz w:val="30"/>
                <w:lang w:val="en-US" w:eastAsia="en-US" w:bidi="ar-SA"/>
              </w:rPr>
              <w:t>MASTER SCARTH</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applies pursuant to section 15 of the Supreme Court Act, </w:t>
      </w:r>
      <w:r>
        <w:rPr>
          <w:rFonts w:ascii="arial" w:eastAsia="arial" w:hAnsi="arial" w:cs="arial"/>
          <w:i/>
          <w:color w:val="000000"/>
          <w:sz w:val="20"/>
          <w:lang w:val="en-US" w:eastAsia="en-US" w:bidi="ar-SA"/>
        </w:rPr>
        <w:t>R.S.B.C. 1996, c. 443</w:t>
      </w:r>
      <w:r>
        <w:rPr>
          <w:rFonts w:ascii="arial" w:eastAsia="arial" w:hAnsi="arial" w:cs="arial"/>
          <w:color w:val="000000"/>
          <w:sz w:val="20"/>
          <w:lang w:val="en-US" w:eastAsia="en-US" w:bidi="ar-SA"/>
        </w:rPr>
        <w:t>, for an order that this proceeding be transferred to the Provincial Court. Section 15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judge or master may transfer proceedings to the Provincial Court of British Columbia if</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proceedings are within the jurisdiction of the Provincial Court under the Small Claims Act,</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to the proceedings applies to the judge or master or all parties to the proceedings agree to the transfer, and</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judge or master considers it appropriate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opposes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is a renewal of an application initially heard by Madam Justice Gill on July 28, 2005. Gill J. dismissed the plaintiff's application with liberty to reapply should the trial, then set for September 12, 2005 for five days with a jury, not proceed. In early September, the plaintiff applied for, and obtained, an order adjourning the trial. A new trial date was set for June of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paragraph 2 of her oral reasons for judgment dated July 28, 2005, Gill J. provided a summary of the action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claim is for damages for injuries sustained as a result of being struck by a motor vehicle driven by the defendant. The matter is unusual in that it is alleged that the defendant acted intentionally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pleaded in the alternative. Punitive damages are also sought. The allegation is therefore that the defendant assaulted the plaintiff and the means of assault was the use of a motor vehicle. Counsel for the defendant says that serious allegations are made against his client and obviously one must agree with that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denies liability. He maintains that the plaintiff was pursuing him and that at some point, the defendant got into his car and reversed from his parking space in order to escape from the plaintiff. The defendant pleads self-defence and provocation.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With respect to s. 15(a), as of September 1, 2005, the monetary jurisdiction of the Provincial Court was increased from $10,000 to $25,000. Should these proceedings be transferred pursuant to s. 15, it seems clear that the increased monetary jurisdiction of the Provincial Court would apply to this action. In my view, given that the plaintiff's injuries have been described as being relatively minor, it is safe to assume that general damages will not exceed $25,000. There remains the claim for punitive damages which, if successful, could take the claim outside the Provincial Court's jurisdiction: see Andrews v. North Burnaby Towing Ltd., </w:t>
      </w:r>
      <w:hyperlink r:id="rId478" w:history="1">
        <w:r>
          <w:rPr>
            <w:rFonts w:ascii="arial" w:eastAsia="arial" w:hAnsi="arial" w:cs="arial"/>
            <w:i/>
            <w:color w:val="0077CC"/>
            <w:sz w:val="20"/>
            <w:u w:val="single"/>
            <w:shd w:val="clear" w:color="auto" w:fill="FFFFFF"/>
            <w:lang w:val="en-US" w:eastAsia="en-US" w:bidi="ar-SA"/>
          </w:rPr>
          <w:t>[1995] B.C.J. No. 2508</w:t>
        </w:r>
      </w:hyperlink>
      <w:r>
        <w:rPr>
          <w:rFonts w:ascii="arial" w:eastAsia="arial" w:hAnsi="arial" w:cs="arial"/>
          <w:color w:val="000000"/>
          <w:sz w:val="20"/>
          <w:lang w:val="en-US" w:eastAsia="en-US" w:bidi="ar-SA"/>
        </w:rPr>
        <w:t xml:space="preserve"> (S.C.). In light of this, the plaintiff has indicated a willingness to limit his claim to $25,000. On that basis, it is appropriate to conclude that the precondition in s. 15(a) is met: Samain v. Roman, </w:t>
      </w:r>
      <w:hyperlink r:id="rId479" w:history="1">
        <w:r>
          <w:rPr>
            <w:rFonts w:ascii="arial" w:eastAsia="arial" w:hAnsi="arial" w:cs="arial"/>
            <w:i/>
            <w:color w:val="0077CC"/>
            <w:sz w:val="20"/>
            <w:u w:val="single"/>
            <w:shd w:val="clear" w:color="auto" w:fill="FFFFFF"/>
            <w:lang w:val="en-US" w:eastAsia="en-US" w:bidi="ar-SA"/>
          </w:rPr>
          <w:t>[1996] B.C.J. No. 708</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With respect to s. 15(c), the plaintiff submits that it is appropriate to transfer the proceedings given the amount involved and the costs associated with a five-day jury trial. He further submits that the issue of costs arising from the proceedings in this court can be addressed in the transfer order, as reflected in the case law on transfer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submits that it is not appropriate to transfer the proceedings to Provincial Court given the outstanding matters in this court and the serious nature of the allegations involved. The defendant submits that a transfer would prejudice him by denying him of both the pre-trial procedures available in this court and a jury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There are a number of considerations that lead me to conclude that this matter ought to be transferred to Provincial Court. First, while there is no doubt that the plaintiff's allegations against the defendant are serious, the Provincial Court regularly hears cases of this nature. In Werk v. Dyck, </w:t>
      </w:r>
      <w:hyperlink r:id="rId480" w:history="1">
        <w:r>
          <w:rPr>
            <w:rFonts w:ascii="arial" w:eastAsia="arial" w:hAnsi="arial" w:cs="arial"/>
            <w:i/>
            <w:color w:val="0077CC"/>
            <w:sz w:val="20"/>
            <w:u w:val="single"/>
            <w:shd w:val="clear" w:color="auto" w:fill="FFFFFF"/>
            <w:lang w:val="en-US" w:eastAsia="en-US" w:bidi="ar-SA"/>
          </w:rPr>
          <w:t>[1995] B.C.J. No. 833</w:t>
        </w:r>
      </w:hyperlink>
      <w:r>
        <w:rPr>
          <w:rFonts w:ascii="arial" w:eastAsia="arial" w:hAnsi="arial" w:cs="arial"/>
          <w:color w:val="000000"/>
          <w:sz w:val="20"/>
          <w:lang w:val="en-US" w:eastAsia="en-US" w:bidi="ar-SA"/>
        </w:rPr>
        <w:t xml:space="preserve"> (S.C.), Lowry J. (as he then was), in ordering the transfer of an action arising from two minor motor vehicle accidents, expressed the view that in such cases, a transfer application should be allowed almost as a matter of course unless there are compelling reasons that render the transfer inappropriate. In my view, the inclusion of the assault allegations in the present matter does not render this case inappropriate for transfer.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Second, the comparative delay in resolving this case by way of trial as between the Provincial Court and this court is not as pressing an issue as it was when the application was before Gill J in June. Gill J. states in her reasons that delay was the principal reason for dismissing the transfer application at that time. The defendant now concedes that, with the adjournment of the trial from September of 2005 to June of 2006, the delay issue now takes a "back burner". In proceedings before Master Tokarek, the plaintiff was directed, and has undertaken, to file his certificate of readiness in Provincial Court within seven days of any transfer order. As I understand it, once the certificate of readiness has been filed, the parties are required to attend at a settlement conference, following which a trial date will be booked, generally four to five months down the road. The trial date in this court is presently set for eight months away. It is fair to conclude that any trial date obtained in Provincial Court will entail a similar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Third, while this is a proper case for consideration by a jury, a jury trial would be expensive and lengthy and out of proportion to the probable amount involved: Mariotto v. Waterman, </w:t>
      </w:r>
      <w:hyperlink r:id="rId481" w:history="1">
        <w:r>
          <w:rPr>
            <w:rFonts w:ascii="arial" w:eastAsia="arial" w:hAnsi="arial" w:cs="arial"/>
            <w:i/>
            <w:color w:val="0077CC"/>
            <w:sz w:val="20"/>
            <w:u w:val="single"/>
            <w:shd w:val="clear" w:color="auto" w:fill="FFFFFF"/>
            <w:lang w:val="en-US" w:eastAsia="en-US" w:bidi="ar-SA"/>
          </w:rPr>
          <w:t>[1998] B.C.J. No. 1232</w:t>
        </w:r>
      </w:hyperlink>
      <w:r>
        <w:rPr>
          <w:rFonts w:ascii="arial" w:eastAsia="arial" w:hAnsi="arial" w:cs="arial"/>
          <w:color w:val="000000"/>
          <w:sz w:val="20"/>
          <w:lang w:val="en-US" w:eastAsia="en-US" w:bidi="ar-SA"/>
        </w:rPr>
        <w:t xml:space="preserve"> (S.C.). In Quon v. Foxwell, </w:t>
      </w:r>
      <w:hyperlink r:id="rId482" w:history="1">
        <w:r>
          <w:rPr>
            <w:rFonts w:ascii="arial" w:eastAsia="arial" w:hAnsi="arial" w:cs="arial"/>
            <w:i/>
            <w:color w:val="0077CC"/>
            <w:sz w:val="20"/>
            <w:u w:val="single"/>
            <w:shd w:val="clear" w:color="auto" w:fill="FFFFFF"/>
            <w:lang w:val="en-US" w:eastAsia="en-US" w:bidi="ar-SA"/>
          </w:rPr>
          <w:t>[1995] B.C.J. No. 973</w:t>
        </w:r>
      </w:hyperlink>
      <w:r>
        <w:rPr>
          <w:rFonts w:ascii="arial" w:eastAsia="arial" w:hAnsi="arial" w:cs="arial"/>
          <w:color w:val="000000"/>
          <w:sz w:val="20"/>
          <w:lang w:val="en-US" w:eastAsia="en-US" w:bidi="ar-SA"/>
        </w:rPr>
        <w:t xml:space="preserve"> (S.C.) the court commented at para. 12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Supreme Court jury trial would be substantially more costly and time-consuming than a trial in the Provincial Court. As well, it would entail unnecessary inconvenience to the jurors and would exacerbate the problems of the trial list in this Court which s. 13.1 [now s. 15] was designed to alleviate.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Fourth, while the application for transfer has been brought late in time, as stated earlier, the September 2005 trial date has already been lost. Thus a transfer is unlikely to cause additional delay in resolving this matter. Liability is at issue, but the witnesses have already been interviewed and their testimony captured.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Fifth, while there has been a flurry of chambers applications in the time since the order of Gill J. in June, the use of interlocutory procedures in this court has not been considered to be an impediment to a transfer in and of itself: Werk (supra). Further, most matters appear to have been addressed by the court to date. The examinations of the eye witnesses pursuant to Rule 28 of the Supreme Court Rules were completed on September 30, 2005. The plaintiff is willing to forego a further examination for discovery of the defendant in the interests of proceeding with the transfer. Further the parties have had time since the hearing of this application to deal with the outstanding document requests and to settle the various orders made in recent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With respect to the issue of costs in this court, it is appropriate to make the order that is commonly made on applications of this nature - namely, that the question of costs in the Supreme Court will be reserved until the proceedings in the Provincial Court are disposed of either by judgment or by settlement. On that basis, the plaintiff's application to transfer the matter to Provincial Court is allowed. Costs of this application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SCARTH</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3"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89" w:history="1">
        <w:r>
          <w:rPr>
            <w:rFonts w:ascii="arial" w:eastAsia="arial" w:hAnsi="arial" w:cs="arial"/>
            <w:b/>
            <w:bCs/>
            <w:i/>
            <w:color w:val="0077CC"/>
            <w:kern w:val="32"/>
            <w:sz w:val="28"/>
            <w:szCs w:val="32"/>
            <w:u w:val="single"/>
            <w:shd w:val="clear" w:color="auto" w:fill="FFFFFF"/>
            <w:lang w:val="en-US" w:eastAsia="en-US" w:bidi="ar-SA"/>
          </w:rPr>
          <w:t>Fibercom Systems Inc. v. Rogers Cable Inc., [2005] B.C.J. No. 1011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E.R.A. Edwards J.</w:t>
      </w:r>
    </w:p>
    <w:p>
      <w:pPr>
        <w:spacing w:before="120" w:line="260" w:lineRule="atLeast"/>
        <w:jc w:val="center"/>
        <w:rPr>
          <w:lang w:val="en-US" w:eastAsia="en-US" w:bidi="ar-SA"/>
        </w:rPr>
      </w:pPr>
      <w:r>
        <w:rPr>
          <w:rFonts w:ascii="arial" w:eastAsia="arial" w:hAnsi="arial" w:cs="arial"/>
          <w:color w:val="000000"/>
          <w:sz w:val="20"/>
          <w:lang w:val="en-US" w:eastAsia="en-US" w:bidi="ar-SA"/>
        </w:rPr>
        <w:t>Written submissions filed: April 1, 11 and 13,</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2005.</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May 5, 2005.</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S015042</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[2005] B.C.J. No. 1011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2005 BCSC 673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139 A.C.W.S. (3d) 236</w:t>
      </w:r>
    </w:p>
    <w:p>
      <w:pPr>
        <w:spacing w:before="120" w:line="260" w:lineRule="atLeast"/>
        <w:rPr>
          <w:lang w:val="en-US" w:eastAsia="en-US" w:bidi="ar-SA"/>
        </w:rPr>
      </w:pPr>
      <w:r>
        <w:rPr>
          <w:rFonts w:ascii="arial" w:eastAsia="arial" w:hAnsi="arial" w:cs="arial"/>
          <w:color w:val="000000"/>
          <w:sz w:val="20"/>
          <w:lang w:val="en-US" w:eastAsia="en-US" w:bidi="ar-SA"/>
        </w:rPr>
        <w:t>Between Fibercom Systems Inc. and Paul Carmichael, plaintiffs, and Rogers Cable Inc., Shaw Communications Inc., Alphonse Quenneville and Greg Wensley,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(45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54" style="position:absolute;z-index:25168486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73" w:name="Keywords_25"/>
      <w:bookmarkEnd w:id="173"/>
      <w:r>
        <w:rPr>
          <w:rFonts w:ascii="arial" w:eastAsia="arial" w:hAnsi="arial" w:cs="arial"/>
          <w:b/>
          <w:color w:val="000000"/>
          <w:sz w:val="20"/>
          <w:lang w:val="en-US" w:eastAsia="en-US" w:bidi="ar-SA"/>
        </w:rPr>
        <w:t>Civil procedure — Costs — Special orders — Unproved allegations of fraud — Offers to settle.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74" w:name="Case Summary_23"/>
            <w:bookmarkEnd w:id="174"/>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Determination of costs of an unsuccessful action by Fibercom Systems against Rogers Cable. Fibercom claimed that it relied on a fraudulent misrepresentation made by Rogers and expended resources on preparing for a work contract that was never awarded. Rogers argued that it was entitled to special costs because of Fibercom's unfounded allegation of fraud. In the alternative, Rogers argued that it was entitled to double costs because it made an offer to settle that was more favourable to Fibercom than the outcome at trial. Fibercom argued that double costs should not be awarded because of contradictions in Rogers's witnesses' testimonies. </w:t>
            </w:r>
            <w:r>
              <w:rPr>
                <w:lang w:val="en-US" w:eastAsia="en-US" w:bidi="ar-SA"/>
              </w:rPr>
              <w:cr/>
            </w:r>
          </w:p>
          <w:p>
            <w:pPr>
              <w:spacing w:before="120" w:line="260" w:lineRule="atLeast"/>
              <w:ind w:left="240"/>
              <w:jc w:val="both"/>
              <w:rPr>
                <w:lang w:val="en-US" w:eastAsia="en-US" w:bidi="ar-SA"/>
              </w:rPr>
            </w:pPr>
            <w:bookmarkStart w:id="175" w:name="Holdings of Court_22"/>
            <w:bookmarkEnd w:id="175"/>
            <w:r>
              <w:rPr>
                <w:rFonts w:ascii="arial" w:eastAsia="arial" w:hAnsi="arial" w:cs="arial"/>
                <w:color w:val="000000"/>
                <w:sz w:val="20"/>
                <w:lang w:val="en-US" w:eastAsia="en-US" w:bidi="ar-SA"/>
              </w:rPr>
              <w:t>HELD: Rogers was awarded special costs.</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There was no objective basis for Fibercom's principal's belief that Rogers made fraudulent misrepresentations. There was no basis for Fibercom's claim that Rogers misrepresented the amount of work available in order to induce Fibercom to make expenditures. Fibercom was reckless in alleging fraudulent misrepresentation when an allegation of negligent misrepresentation would have entitled Fibercom to a remedy. The contradictions in the testimonies were not intentional attempts by the witnesses to deceive the court. The contradictions provided no basis for denying costs to Rogers. </w:t>
            </w:r>
            <w:r>
              <w:rPr>
                <w:lang w:val="en-US" w:eastAsia="en-US" w:bidi="ar-SA"/>
              </w:rPr>
              <w:cr/>
            </w:r>
          </w:p>
          <w:p>
            <w:pPr>
              <w:rPr>
                <w:lang w:val="en-US" w:eastAsia="en-US" w:bidi="ar-SA"/>
              </w:rPr>
            </w:pPr>
          </w:p>
        </w:tc>
      </w:tr>
    </w:tbl>
    <w:p>
      <w:pPr>
        <w:jc w:val="both"/>
        <w:rPr>
          <w:lang w:val="en-US" w:eastAsia="en-US" w:bidi="ar-SA"/>
        </w:rPr>
      </w:pPr>
      <w:bookmarkStart w:id="176" w:name="Legislation Cited_20"/>
      <w:bookmarkEnd w:id="17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55" style="position:absolute;z-index:25173606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37(24)(b), Rule 57(9)</w:t>
      </w:r>
      <w:r>
        <w:rPr>
          <w:lang w:val="en-US" w:eastAsia="en-US" w:bidi="ar-SA"/>
        </w:rPr>
        <w:cr/>
      </w:r>
    </w:p>
    <w:p>
      <w:pPr>
        <w:keepNext/>
        <w:spacing w:before="240" w:line="340" w:lineRule="atLeast"/>
        <w:rPr>
          <w:lang w:val="en-US" w:eastAsia="en-US" w:bidi="ar-SA"/>
        </w:rPr>
      </w:pPr>
      <w:bookmarkStart w:id="177" w:name="Counsel_25"/>
      <w:bookmarkEnd w:id="177"/>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56" style="position:absolute;z-index:25178726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Plaintiffs: M.G. Madryga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J.L. Carpick</w:t>
      </w:r>
      <w:r>
        <w:rPr>
          <w:lang w:val="en-US" w:eastAsia="en-US" w:bidi="ar-SA"/>
        </w:rPr>
        <w:cr/>
      </w:r>
    </w:p>
    <w:p>
      <w:pPr>
        <w:spacing w:after="240"/>
        <w:rPr>
          <w:lang w:val="en-US" w:eastAsia="en-US" w:bidi="ar-SA"/>
        </w:rPr>
      </w:pPr>
      <w:bookmarkStart w:id="178" w:name="Judgment_25"/>
      <w:bookmarkEnd w:id="178"/>
      <w:r>
        <w:pict>
          <v:line id="_x0000_s1157" style="position:absolute;z-index:251838464"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79" w:name="E.R.A. EDWARDS J."/>
            <w:bookmarkEnd w:id="179"/>
            <w:r>
              <w:rPr>
                <w:rFonts w:ascii="arial" w:eastAsia="arial" w:hAnsi="arial" w:cs="arial"/>
                <w:b/>
                <w:color w:val="000000"/>
                <w:sz w:val="30"/>
                <w:lang w:val="en-US" w:eastAsia="en-US" w:bidi="ar-SA"/>
              </w:rPr>
              <w:t>E.R.A. EDWARDS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action was dismissed. Reasons for judgment are at </w:t>
      </w:r>
      <w:hyperlink r:id="rId490" w:history="1">
        <w:r>
          <w:rPr>
            <w:rFonts w:ascii="arial" w:eastAsia="arial" w:hAnsi="arial" w:cs="arial"/>
            <w:i/>
            <w:color w:val="0077CC"/>
            <w:sz w:val="20"/>
            <w:u w:val="single"/>
            <w:shd w:val="clear" w:color="auto" w:fill="FFFFFF"/>
            <w:lang w:val="en-US" w:eastAsia="en-US" w:bidi="ar-SA"/>
          </w:rPr>
          <w:t>[2005] B.C.J. No. 624</w:t>
        </w:r>
      </w:hyperlink>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2005 BCSC 419</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apply for special costs on the basis the plaintiffs persisted in alleging fraudulent misrepresentation which they ought to have known was untrue, or alternatively for double costs on the basis of an offer to settle.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Special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An award of special costs is "a form of chastisement" where the court determines the party ordered to pay such costs has been guilty of "reprehensible conduct" in the proceedings. See: Garcia v. Crestbrook Forest Industries Ltd. </w:t>
      </w:r>
      <w:hyperlink r:id="rId491" w:history="1">
        <w:r>
          <w:rPr>
            <w:rFonts w:ascii="arial" w:eastAsia="arial" w:hAnsi="arial" w:cs="arial"/>
            <w:i/>
            <w:color w:val="0077CC"/>
            <w:sz w:val="20"/>
            <w:u w:val="single"/>
            <w:shd w:val="clear" w:color="auto" w:fill="FFFFFF"/>
            <w:lang w:val="en-US" w:eastAsia="en-US" w:bidi="ar-SA"/>
          </w:rPr>
          <w:t>(1994), 119 D.L.R. (4th) 740</w:t>
        </w:r>
      </w:hyperlink>
      <w:r>
        <w:rPr>
          <w:rFonts w:ascii="arial" w:eastAsia="arial" w:hAnsi="arial" w:cs="arial"/>
          <w:color w:val="000000"/>
          <w:sz w:val="20"/>
          <w:lang w:val="en-US" w:eastAsia="en-US" w:bidi="ar-SA"/>
        </w:rPr>
        <w:t xml:space="preserve"> at para. 17.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An unsuccessful attempt to prove fraud or dishonesty will not necessarily lead to an award of special costs. However, "where a party makes such allegations unsuccessfully at trial and with access to information sufficient to conclude that the other party was merely negligent and neither dishonest nor fraudulent" special costs are appropriate. See: Hamilton v. Open Window Bakery Ltd., </w:t>
      </w:r>
      <w:hyperlink r:id="rId492" w:history="1">
        <w:r>
          <w:rPr>
            <w:rFonts w:ascii="arial" w:eastAsia="arial" w:hAnsi="arial" w:cs="arial"/>
            <w:i/>
            <w:color w:val="0077CC"/>
            <w:sz w:val="20"/>
            <w:u w:val="single"/>
            <w:shd w:val="clear" w:color="auto" w:fill="FFFFFF"/>
            <w:lang w:val="en-US" w:eastAsia="en-US" w:bidi="ar-SA"/>
          </w:rPr>
          <w:t>[2004] 1 S.C.R. 303</w:t>
        </w:r>
      </w:hyperlink>
      <w:r>
        <w:rPr>
          <w:rFonts w:ascii="arial" w:eastAsia="arial" w:hAnsi="arial" w:cs="arial"/>
          <w:color w:val="000000"/>
          <w:sz w:val="20"/>
          <w:lang w:val="en-US" w:eastAsia="en-US" w:bidi="ar-SA"/>
        </w:rPr>
        <w:t xml:space="preserve"> at para. 26.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Defendants' counsel argued that the plaintiffs ought to have realized the allegations of fraudulent misrepresentation could not be proved and that in any event they had not relied on any misrepresentations to their detriment.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found the misrepresentations pleaded were either not false or not relied on by the plaintiffs.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Since the plaintiffs, if successful, could have obtained the same remedy (apart from punitive damages) by alleging and proving only negligent not fraudulent misrepresentation, defendants' counsel argued the Court should infer the allegation of fraudulent misrepresentation must have been pursued to exert pressure on the defendants to settle.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decline to make that inference. The defendants' offered to settle in 2002. Once the trial began in 2005 it must have been clear to the plaintiffs such a tactic would not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Plaintiffs' counsel argued evidence at the trial showed that for the personal plaintiff ("Carmichael "), the directing mind of the corporate plaintiff ("Fibercom"), "the fraud allegation was genuinely held ... through the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No matter how genuine Carmichael's belief that fraudulent misrepresentations had been made to him by the personal defendants, that is a subjective not an objective assessment of the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Because of the potential for harm to the reputations of those accused of fraud, a plea of fraudulent misrepresentation should be advanced cautiously based on an objective assessment of the evidence and abandoned if evidence to support it is not disclosed during pre-trial discovery or fails to materialize at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Plaintiffs' counsel relied on the judgment of Quijano J. in Austin Industries Ltd. v. General Elevator Maintenance Ltd., </w:t>
      </w:r>
      <w:hyperlink r:id="rId493" w:history="1">
        <w:r>
          <w:rPr>
            <w:rFonts w:ascii="arial" w:eastAsia="arial" w:hAnsi="arial" w:cs="arial"/>
            <w:i/>
            <w:color w:val="0077CC"/>
            <w:sz w:val="20"/>
            <w:u w:val="single"/>
            <w:shd w:val="clear" w:color="auto" w:fill="FFFFFF"/>
            <w:lang w:val="en-US" w:eastAsia="en-US" w:bidi="ar-SA"/>
          </w:rPr>
          <w:t>[2004] B.C.J. No. 1262</w:t>
        </w:r>
      </w:hyperlink>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2004 BCSC 820</w:t>
        </w:r>
      </w:hyperlink>
      <w:r>
        <w:rPr>
          <w:rFonts w:ascii="arial" w:eastAsia="arial" w:hAnsi="arial" w:cs="arial"/>
          <w:color w:val="000000"/>
          <w:sz w:val="20"/>
          <w:lang w:val="en-US" w:eastAsia="en-US" w:bidi="ar-SA"/>
        </w:rPr>
        <w:t>, where at paras. 21 to 23 that learned judge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While the claim by the plaintiff in this case was not supported by the facts, it is possible, from a consideration of the opinion materials filed, that the plaintiff subjectively believed the allegations related to tampering with the elevator to be true.</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Further, there is no evidence that the plaintiff knowingly made false allegations to gain an economic advantage over the defendant or for any other ulterior motive. Nor were the parties in a fiduciary relationship; the relationship was one of contract. In this respect, the facts of this case may be distinguished from cases relied upon by the defendant including: Kurtakis v. Canadian Northern Shield Insurance Co., </w:t>
      </w:r>
      <w:hyperlink r:id="rId494" w:history="1">
        <w:r>
          <w:rPr>
            <w:rFonts w:ascii="arial" w:eastAsia="arial" w:hAnsi="arial" w:cs="arial"/>
            <w:i/>
            <w:color w:val="0077CC"/>
            <w:sz w:val="20"/>
            <w:u w:val="single"/>
            <w:shd w:val="clear" w:color="auto" w:fill="FFFFFF"/>
            <w:lang w:val="en-US" w:eastAsia="en-US" w:bidi="ar-SA"/>
          </w:rPr>
          <w:t>[1985] B.C.J. No 2738</w:t>
        </w:r>
      </w:hyperlink>
      <w:r>
        <w:rPr>
          <w:rFonts w:ascii="arial" w:eastAsia="arial" w:hAnsi="arial" w:cs="arial"/>
          <w:color w:val="000000"/>
          <w:sz w:val="20"/>
          <w:lang w:val="en-US" w:eastAsia="en-US" w:bidi="ar-SA"/>
        </w:rPr>
        <w:t xml:space="preserve"> (C.A.); Garcia v. Crestbrook Forest Industries Ltd. </w:t>
      </w:r>
      <w:hyperlink r:id="rId491" w:history="1">
        <w:r>
          <w:rPr>
            <w:rFonts w:ascii="arial" w:eastAsia="arial" w:hAnsi="arial" w:cs="arial"/>
            <w:i/>
            <w:color w:val="0077CC"/>
            <w:sz w:val="20"/>
            <w:u w:val="single"/>
            <w:shd w:val="clear" w:color="auto" w:fill="FFFFFF"/>
            <w:lang w:val="en-US" w:eastAsia="en-US" w:bidi="ar-SA"/>
          </w:rPr>
          <w:t>(1994), 9 B.C.L.R. (3d) 242</w:t>
        </w:r>
      </w:hyperlink>
      <w:r>
        <w:rPr>
          <w:rFonts w:ascii="arial" w:eastAsia="arial" w:hAnsi="arial" w:cs="arial"/>
          <w:color w:val="000000"/>
          <w:sz w:val="20"/>
          <w:lang w:val="en-US" w:eastAsia="en-US" w:bidi="ar-SA"/>
        </w:rPr>
        <w:t xml:space="preserve">; and, Ip v. I.C.B.C., supra, </w:t>
      </w:r>
      <w:hyperlink r:id="rId495" w:history="1">
        <w:r>
          <w:rPr>
            <w:rFonts w:ascii="arial" w:eastAsia="arial" w:hAnsi="arial" w:cs="arial"/>
            <w:i/>
            <w:color w:val="0077CC"/>
            <w:sz w:val="20"/>
            <w:u w:val="single"/>
            <w:shd w:val="clear" w:color="auto" w:fill="FFFFFF"/>
            <w:lang w:val="en-US" w:eastAsia="en-US" w:bidi="ar-SA"/>
          </w:rPr>
          <w:t>[1994] B.C.J. No. 81</w:t>
        </w:r>
      </w:hyperlink>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While the conduct of the plaintiff in maintaining objectively unsubstantiated allegations of a criminal nature against the defendant may be worthy of some degree of condemnation, I find that it is not sufficient to justify an award of special costs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Examination of the Court file in Austin discloses the plaintiff's "subjective belief" was based on "opinion materials filed", namely, a technician's deposition that the elevator was disabled by someone knowledgeable about elevators. The Statement of Claim did not plead criminal conduct by the defendant. The plaintiff's principal first asserted a "criminal act" on discovery. Quijano J. found, in her oral reasons for judgment of April 6, 2004, that the defendant disabled the elevator in accordance with WCB regulations because it was unsafe while under repair. Defendant's counsel argued that because the plaintiff "unwisely chose to advance allegations of misconduct of a criminal nature" "contrary to the facts" it ought to be chastised by an award of special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Here, I find no objective basis for Carmichael's genuinely held belief the defendants made fraudulent misrepresentations as pleaded. His asserted belief was that the defendants promised extensive work they never intended to award to Fibercom in order to get Fibercom to expend money to prepare for that work so as to give Telus the impression Fibercom was a competitor and thereby obtain a better deal from Telus. The defendant Alphonse Quenneville ("Quenneville") advised Telus on November 15, 2000, the defendant Shaw Communications Inc. ("Shaw") had awarded some work to Fibercom. There is no evidence the amount of work Fibercom might be awarded, if it proved to be faster and cheaper than Telus, was disclosed to Telus. The expenditures Fibercom made were necessary to meet its promise to be faster and cheaper than Telus. There is no basis to infer the defendants misrepresented the amount of work available to encourage Fibercom to make those expenditures in order to persuade Telus that it was facing a plausible new competitor in Fibercom.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Court's chastisement for pleading and pursuing unproven fraud, by an award of special costs, is to protect parties falsely alleged to have committed fraud, whose reputations may be damaged, by deterring the pursuit of such a claim where the evidence, on an objective assessment, does not support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is incumbent on counsel acting for a party in an action where an allegation of fraud may be appropriate to assess and reassess the evidence as it develops and advise that party of the risk of pleading or pursuing an allegation of fraud which cannot be proved.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Failure to prove alleged fraud will result in an award of special costs only where it is clear that the allegation of fraud ought not to have been made or pursued through trial, for example, where the evidence of fraud is so weak as to be "obviously unfounded" or where the allegation is malicious, reckless or advanced for an improper purpose, such as settlement leverage.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have already declined to infer such an improper purpose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am unable to conclude that the allegation of fraudulent misrepresentation was maliciously pursued to deliberately damage the reputations of the defendants. Nevertheless, as noted in Hamilton, supra, allegations of fraud and deception are potentially very damaging and therefore deserving of chastisement. Malice is a possible but not a necessary basis for an award of special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Austin Quijano J. referred to Hung v. Gardiner, </w:t>
      </w:r>
      <w:hyperlink r:id="rId496" w:history="1">
        <w:r>
          <w:rPr>
            <w:rFonts w:ascii="arial" w:eastAsia="arial" w:hAnsi="arial" w:cs="arial"/>
            <w:i/>
            <w:color w:val="0077CC"/>
            <w:sz w:val="20"/>
            <w:u w:val="single"/>
            <w:shd w:val="clear" w:color="auto" w:fill="FFFFFF"/>
            <w:lang w:val="en-US" w:eastAsia="en-US" w:bidi="ar-SA"/>
          </w:rPr>
          <w:t>[2003] B.C.J. No. 499</w:t>
        </w:r>
      </w:hyperlink>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2003 BCSC 285</w:t>
        </w:r>
      </w:hyperlink>
      <w:r>
        <w:rPr>
          <w:rFonts w:ascii="arial" w:eastAsia="arial" w:hAnsi="arial" w:cs="arial"/>
          <w:color w:val="000000"/>
          <w:sz w:val="20"/>
          <w:lang w:val="en-US" w:eastAsia="en-US" w:bidi="ar-SA"/>
        </w:rPr>
        <w:t>, where at para. 16, Joyce J. held that the "matter must be considered from the point of view of the plaintiff at the time she made or maintained the allegations". I understand that to mean considered on the basis of the facts known to the plaintiff at that time, not later with the benefit of hindsight.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Quijano J. also referred to Native Citizens Fisheries Ltd. et al v. Walkus, </w:t>
      </w:r>
      <w:hyperlink r:id="rId497" w:history="1">
        <w:r>
          <w:rPr>
            <w:rFonts w:ascii="arial" w:eastAsia="arial" w:hAnsi="arial" w:cs="arial"/>
            <w:i/>
            <w:color w:val="0077CC"/>
            <w:sz w:val="20"/>
            <w:u w:val="single"/>
            <w:shd w:val="clear" w:color="auto" w:fill="FFFFFF"/>
            <w:lang w:val="en-US" w:eastAsia="en-US" w:bidi="ar-SA"/>
          </w:rPr>
          <w:t>[2002] B.C.J. No. 1617</w:t>
        </w:r>
      </w:hyperlink>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2002 BCSC 1030</w:t>
        </w:r>
      </w:hyperlink>
      <w:r>
        <w:rPr>
          <w:rFonts w:ascii="arial" w:eastAsia="arial" w:hAnsi="arial" w:cs="arial"/>
          <w:color w:val="000000"/>
          <w:sz w:val="20"/>
          <w:lang w:val="en-US" w:eastAsia="en-US" w:bidi="ar-SA"/>
        </w:rPr>
        <w:t>, where at para. 9, Downs J. made "no finding as to whether the allegation of fraudulent misrepresentation was unfounded" and concluded that the "plaintiff's discovery, shortly before trial .... confirmed, at least for them" the defendant had deceived the plaintiffs.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Hung and Walkus are authority for the proposition that a party alleging fraudulent misrepresentation must have some evidentiary basis for making that allegation so the court may conclude it was not obviously unfounded at the time it was made.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Austin Quijano J., in applying Hung and Walkus, apparently concluded the technician's evidence provided an objective, albeit insufficient, "possible" basis for the plaintiff's "genuinely held" belief that the elevator "could have been" vandalized, as noted in her oral reasons. The allegation of criminal conduct in Austin was not expressly pleaded, but arose during submissions on a Rule 18A application and was found by Quilano J. not to be supported by the 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decision of the Supreme Court of Canada in Hamilton, supra, which was not considered by Quijano J., applied a much more rigorous onus on a party pleading and persisting in an allegation of fraud than having a "possible basis" for a "genuinely held" belief there had been fraud. Where the party that pleads fraud has "access to information sufficient to conclude" there was no fraud or dishonesty but merely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plea of fraud must be abandoned. If it is not, special costs are appropriate.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present case, I do not accept the submission that fraud could be inferred from the fact Telus started "ramping up" after learning Fibercom obtained work from Shaw. Any such ramping up does not lead to the inference Shaw awarded Fibercom work to prompt that ramping up by Telus rather than to test Fibercom's ability to do the work faster and cheaper than Telus. Carmichael acknowledged that Fibercom would have to prove it could do the work it had been awarded faster and cheaper than Telus in order to get extensive additional work he claimed was guaranteed by Shaw.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Nor is there evidence the defendants exaggerated to Fibercom the amount of work potentially available in order to prompt Telus to make a better deal with Shaw.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There is no evidence which, objectively viewed, justified the plaintiffs in alleging fraudulent misrepresentation by the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any event, it was reckless to allege fraudulent misrepresentation when an allegation of negligent misrepresentation, with no potential impact on the reputations of the defendants, would, if proven, have equally entitled the plaintiffs to a remedy.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Therefore I award the defendants special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Double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case I am wrong in awarding special costs, I consider the alternative claim for double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defendants seek double costs under Supreme Court Rule 37(24)(b) on the basis of the dismissal of the plaintiffs' claim, in light of an offer to settle for one dollar and costs to the date of the offer made in 2002, years before the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Court of Appeal has recently reiterated in Cridge v. Harper Grey Easton, </w:t>
      </w:r>
      <w:hyperlink r:id="rId498" w:history="1">
        <w:r>
          <w:rPr>
            <w:rFonts w:ascii="arial" w:eastAsia="arial" w:hAnsi="arial" w:cs="arial"/>
            <w:i/>
            <w:color w:val="0077CC"/>
            <w:sz w:val="20"/>
            <w:u w:val="single"/>
            <w:shd w:val="clear" w:color="auto" w:fill="FFFFFF"/>
            <w:lang w:val="en-US" w:eastAsia="en-US" w:bidi="ar-SA"/>
          </w:rPr>
          <w:t>[2005] B.C.J. No. 74</w:t>
        </w:r>
      </w:hyperlink>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2005 BCCA 33</w:t>
        </w:r>
      </w:hyperlink>
      <w:r>
        <w:rPr>
          <w:rFonts w:ascii="arial" w:eastAsia="arial" w:hAnsi="arial" w:cs="arial"/>
          <w:color w:val="000000"/>
          <w:sz w:val="20"/>
          <w:lang w:val="en-US" w:eastAsia="en-US" w:bidi="ar-SA"/>
        </w:rPr>
        <w:t xml:space="preserve"> at paras. 24 to 26 that it is important that Rule 37 be uniformly applied and that it is not open to a trial judge to decline to apply Rule 37 where its conditions have been met.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Plaintiffs' counsel argued that the Court should exercise its discretion under Rule 57(9) to deny the defendants their costs because the trial testimony of witnesses for the defendants, principally the personal defendants, contained "discrepancies" and "contradictions" "which establish a failure to be candid with the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Plaintiff's counsel relied on Port Coquitlam Building Supplies Ltd. v. Borysiak, </w:t>
      </w:r>
      <w:hyperlink r:id="rId499" w:history="1">
        <w:r>
          <w:rPr>
            <w:rFonts w:ascii="arial" w:eastAsia="arial" w:hAnsi="arial" w:cs="arial"/>
            <w:i/>
            <w:color w:val="0077CC"/>
            <w:sz w:val="20"/>
            <w:u w:val="single"/>
            <w:shd w:val="clear" w:color="auto" w:fill="FFFFFF"/>
            <w:lang w:val="en-US" w:eastAsia="en-US" w:bidi="ar-SA"/>
          </w:rPr>
          <w:t>[2004] B.C.J. No. 291</w:t>
        </w:r>
      </w:hyperlink>
      <w:r>
        <w:rPr>
          <w:rFonts w:ascii="arial" w:eastAsia="arial" w:hAnsi="arial" w:cs="arial"/>
          <w:color w:val="000000"/>
          <w:sz w:val="20"/>
          <w:lang w:val="en-US" w:eastAsia="en-US" w:bidi="ar-SA"/>
        </w:rPr>
        <w:t xml:space="preserve">, </w:t>
      </w:r>
      <w:hyperlink r:id="rId499" w:history="1">
        <w:r>
          <w:rPr>
            <w:rFonts w:ascii="arial" w:eastAsia="arial" w:hAnsi="arial" w:cs="arial"/>
            <w:i/>
            <w:color w:val="0077CC"/>
            <w:sz w:val="20"/>
            <w:u w:val="single"/>
            <w:shd w:val="clear" w:color="auto" w:fill="FFFFFF"/>
            <w:lang w:val="en-US" w:eastAsia="en-US" w:bidi="ar-SA"/>
          </w:rPr>
          <w:t>2004 BCSC 216</w:t>
        </w:r>
      </w:hyperlink>
      <w:r>
        <w:rPr>
          <w:rFonts w:ascii="arial" w:eastAsia="arial" w:hAnsi="arial" w:cs="arial"/>
          <w:color w:val="000000"/>
          <w:sz w:val="20"/>
          <w:lang w:val="en-US" w:eastAsia="en-US" w:bidi="ar-SA"/>
        </w:rPr>
        <w:t>, in which Crawford J. declined to award costs under Rule 57(9) thereby pre-empting application of Rule 37, on the basis that the primary witness for the successful defendant lacked "credibility and veracity" satisfying him (at para. 16) that "false evidence had been given at various stages of the proceeding, and that was reason to deny the defendants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am unable to conclude the "discrepancies" and "contradictions" noted by plaintiffs' counsel in this case amounted to deliberate attempts by the witnesses to whom they were attributed to deceive the Court. They provide no basis for denying the defendants their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For example, the discrepancy between the trial and discovery testimony of Quenneville noted at para. 58 of </w:t>
      </w:r>
      <w:hyperlink r:id="rId490" w:history="1">
        <w:r>
          <w:rPr>
            <w:rFonts w:ascii="arial" w:eastAsia="arial" w:hAnsi="arial" w:cs="arial"/>
            <w:i/>
            <w:color w:val="0077CC"/>
            <w:sz w:val="20"/>
            <w:u w:val="single"/>
            <w:shd w:val="clear" w:color="auto" w:fill="FFFFFF"/>
            <w:lang w:val="en-US" w:eastAsia="en-US" w:bidi="ar-SA"/>
          </w:rPr>
          <w:t>[2005] B.C.J. No. 624</w:t>
        </w:r>
      </w:hyperlink>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2005 BCSC 419</w:t>
        </w:r>
      </w:hyperlink>
      <w:r>
        <w:rPr>
          <w:rFonts w:ascii="arial" w:eastAsia="arial" w:hAnsi="arial" w:cs="arial"/>
          <w:color w:val="000000"/>
          <w:sz w:val="20"/>
          <w:lang w:val="en-US" w:eastAsia="en-US" w:bidi="ar-SA"/>
        </w:rPr>
        <w:t>, cannot have been calculated to influence the outcome of the case. Whether Carmichael made no request of Quenneville for a promise of work to support Fibercom's borrowing (as Quenneville testified at trial) or Carmichael made such a request which request Quenneville expressly rejected (as Quenneville testified on discovery) was of no moment on the issue of whether Quenneville had indeed made a guarantee of sufficient work to justify Fibercom's borrowing.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plaintiffs' position was that Quenneville lied both at discovery and at trial and had guaranteed extensive work to Fibercom. It is not plausible Quenneville would have done so on a handshake before Firercom, which had completed no jobs, proved it could do the work faster and cheaper than Telus.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find the defendants are entitled to costs as prescribed under Rule 37(24)(b).</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Apportionment of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Plaintiff's counsel also argued that there should be an apportionment of costs between the plaintiffs so that a lesser burden would fall on the personal plaintiff Carmichael, now an unemployed student, than on the insolvent Fibercom, because the bulk of the trial was devoted to Fibercom's breach of contract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Carmichael was the directing mind and principal shareholder of Fibercom. The case was largely based on his belief the defendants had made misrepresentations to him on which he relied. No doubt this was to him a more satisfactory explanation of the failure of Fibercom's business plan to deliver faster cheaper service than Telus, than was the fact that Fibercom had no effective way of forcing Telus to comply with CTRC 2000-13 time limits for applications to use Telus's support structure.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Carmichael would have been the primary beneficiary had the plaintiffs' case succeeded. His personal claim was no more than an adjunct to Fibercom's claim for damages based on alleged misrepresentations. I find no basis for apportioning costs liability between the plaintiffs. I find they are jointly and severally liable for the defendants'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Costs against Frank Wiebe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defendants also seek the following order:</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THIS COURT FURTHER ORDERS that, notwithstanding entry of this order, the defendants have liberty to apply for an order that Frank Wiebe pay their costs awarded against the plaintiffs, such application to be commenced by notice of motion delivered to the defendants and served on Frank Wiebe by May 31, 2005.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basis for that order is the decision in Interclaim Holdings Ltd. v. Down </w:t>
      </w:r>
      <w:hyperlink r:id="rId500" w:history="1">
        <w:r>
          <w:rPr>
            <w:rFonts w:ascii="arial" w:eastAsia="arial" w:hAnsi="arial" w:cs="arial"/>
            <w:i/>
            <w:color w:val="0077CC"/>
            <w:sz w:val="20"/>
            <w:u w:val="single"/>
            <w:shd w:val="clear" w:color="auto" w:fill="FFFFFF"/>
            <w:lang w:val="en-US" w:eastAsia="en-US" w:bidi="ar-SA"/>
          </w:rPr>
          <w:t>(2002), 7 B.C.L.R. (4th) 309</w:t>
        </w:r>
      </w:hyperlink>
      <w:r>
        <w:rPr>
          <w:rFonts w:ascii="arial" w:eastAsia="arial" w:hAnsi="arial" w:cs="arial"/>
          <w:color w:val="000000"/>
          <w:sz w:val="20"/>
          <w:lang w:val="en-US" w:eastAsia="en-US" w:bidi="ar-SA"/>
        </w:rPr>
        <w:t xml:space="preserve"> (C.A.).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Wiebe made no submission on this application, although the defendants' submission was mailed to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make the order requested only to ensure that I retain jurisdiction to consider any application made by the defendants for costs against Mr. Wiebe. Nothing may be implied from the fact I have made this order as to the merits of any such an application.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E.R.A. EDWARDS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1"/>
          <w:headerReference w:type="default" r:id="rId502"/>
          <w:footerReference w:type="even" r:id="rId503"/>
          <w:footerReference w:type="default" r:id="rId504"/>
          <w:headerReference w:type="first" r:id="rId505"/>
          <w:footerReference w:type="first" r:id="rId5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07" w:history="1">
        <w:r>
          <w:rPr>
            <w:rFonts w:ascii="arial" w:eastAsia="arial" w:hAnsi="arial" w:cs="arial"/>
            <w:b/>
            <w:bCs/>
            <w:i/>
            <w:color w:val="0077CC"/>
            <w:kern w:val="32"/>
            <w:sz w:val="28"/>
            <w:szCs w:val="32"/>
            <w:u w:val="single"/>
            <w:shd w:val="clear" w:color="auto" w:fill="FFFFFF"/>
            <w:lang w:val="en-US" w:eastAsia="en-US" w:bidi="ar-SA"/>
          </w:rPr>
          <w:t>Fill-More Seeds Inc. v. Victoria Seeds Inc., [2009] B.C.J. No. 2541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P.G. Voith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31 to April 3 and June 23-25,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17,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S070704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2541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1732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3454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183 A.C.W.S. (3d) 731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Fill-More Seeds Inc., Plaintiff, and Victoria Seeds Inc.,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9"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0" w:name="Keywords_26"/>
      <w:bookmarkEnd w:id="180"/>
      <w:r>
        <w:rPr>
          <w:rFonts w:ascii="arial" w:eastAsia="arial" w:hAnsi="arial" w:cs="arial"/>
          <w:b/>
          <w:color w:val="000000"/>
          <w:sz w:val="20"/>
          <w:lang w:val="en-US" w:eastAsia="en-US" w:bidi="ar-SA"/>
        </w:rPr>
        <w:t>Contracts — Remedies — Damages — Amount — Interest — Counterclaim — Action for the recovery of $67,244 from defendant as a result of breach of two contracts for the supply of seeds — Judgment for plaintiff for $67,245, and defendant's counterclaim dismissed — It was unreasonable for the defendant not to make the payments required by the plaintiff on previous orders before the product for the two outstanding contracts would be shipped.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1" w:name="Case Summary_24"/>
            <w:bookmarkEnd w:id="18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Fill-More for the recovery of $67,244 from Victoria Seeds. Victoria Seeds acknowledged a debt of $48,167, but also advanced a counterclaim for $51,520 for breach of contract. In 2003 Fill-More began to supply product to a company called Victoria Pulse (VP). At the outset of their business relationship, Fill-More sold VP small quantities of product. Thereafter it established a line of credit with Fill-More. From 2003 to July 2006 Fill-More, in its interactions with VP, also dealt with Taeb, whom it understood to be an employee of VP. In late December 2005, Taeb changed the name of a company that he held to Victoria Seeds, and in in 2006 began to do business with Fill-More. Taeb also continued, until July 2006, to conduct business on behalf of VP. It was the position of Fill-More at trial that it had understood and believed that Victoria Seeds was also owned by the owners of VP. In late July and early August 2006, Fill-More learned that Victoria Seeds was in fact owned by Taeb and that VP was unaware that Taeb had established Victoria Seeds as a competitor. As a result, Fill-More established various credit terms that had to be satisfied before it would deliver further product to Victoria Seeds. Some of these terms pertained to monies that were then owed by Victoria Seeds to Fill-More, some to pending orders Victoria Seeds had with Fill-More and some to future orders. As of late July 2006, Victoria Seeds had two pending contracts with Fill-More. Fill-More did not supply Victoria Seeds with the product from the two contracts when Victoria Seeds did not meet the credit terms. Victoria Seeds subsequently made separate arrangements for the supply of replacement product with other companies. This replacement product was secured at a higher cost than the price provided for in the Fill-More contracts. It was the difference between the prices in the Fill-More contracts and the price of replacement product that gave rise to Victoria Seeds' counterclaim.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2" w:name="Holdings of Court_23"/>
            <w:bookmarkEnd w:id="182"/>
            <w:r>
              <w:rPr>
                <w:rFonts w:ascii="arial" w:eastAsia="arial" w:hAnsi="arial" w:cs="arial"/>
                <w:color w:val="000000"/>
                <w:sz w:val="20"/>
                <w:lang w:val="en-US" w:eastAsia="en-US" w:bidi="ar-SA"/>
              </w:rPr>
              <w:t>HELD: Judgment for Fill-More in the amount of $67,245 plus interest on that amount under the Court Order Interest Act.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Seeds' counterclaim was dismissed. Fill-More simply sought the payment of monies already owed by Victoria Seeds to effect delivery under two contracts. It was unreasonable for Victoria Seeds not to make the payments required by Fill-More, which were ultimately due in any event, and to instead obtain alternate product at an increased price. The amounts in dispute were relatively modest. Victoria Seeds was not entitled to obtain replacement product at a much increased price where Fill-More remained willing to supply Victoria Seeds under the contracts at the original price provided for in those contracts.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3" w:name="Legislation Cited_21"/>
      <w:bookmarkEnd w:id="18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0"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CHAPTER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Evidence Act, </w:t>
      </w:r>
      <w:hyperlink r:id="rId508" w:history="1">
        <w:r>
          <w:rPr>
            <w:rFonts w:ascii="arial" w:eastAsia="arial" w:hAnsi="arial" w:cs="arial"/>
            <w:i/>
            <w:color w:val="0077CC"/>
            <w:sz w:val="20"/>
            <w:u w:val="single"/>
            <w:shd w:val="clear" w:color="auto" w:fill="FFFFFF"/>
            <w:lang w:val="en-US" w:eastAsia="en-US" w:bidi="ar-SA"/>
          </w:rPr>
          <w:t>RSBC 1996, CHAPTER 124, s. 42</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4" w:name="Counsel_26"/>
      <w:bookmarkEnd w:id="18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1"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John W. Bromley, G. Trotter.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 Kevin Woodall.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5" w:name="Judgment_26"/>
      <w:bookmarkEnd w:id="185"/>
      <w:r>
        <w:pict>
          <v:line id="_x0000_s1162" style="position:absolute;z-index:2518394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6" w:name="P.G. VOITH J._0"/>
            <w:bookmarkEnd w:id="186"/>
            <w:r>
              <w:rPr>
                <w:rFonts w:ascii="arial" w:eastAsia="arial" w:hAnsi="arial" w:cs="arial"/>
                <w:b/>
                <w:color w:val="000000"/>
                <w:sz w:val="30"/>
                <w:lang w:val="en-US" w:eastAsia="en-US" w:bidi="ar-SA"/>
              </w:rPr>
              <w:t>P.G. VOITH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Fill-More Seeds Inc. has brought an action in debt seeking recovery of $67,244.86, exclusive of interest. The defendant Victoria Seeds Inc. acknowledges a debt of $48,167.32. It also advanced a counterclaim based on an alleged breach of contract. The value of that counterclaim is $51,520.00.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and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is an export business based in Saskatchewan. It has been in business for more than 20 years and has approximately 25 employees. Its president is Mr. Blair Stewart. Its CFO is Mr. Gerald Lunde. Both gentlemen gave evidence on behalf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Fill-More is in the business of supplying grain, malt barley and pulses to various buyers in Canada and throughout the world. Pulses are a kind of rotational crop and include chickpeas, lentils and straight yellow and green peas.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Starting in 2003 Fill-More began to supply product to a company called Victoria Pulse Inc. The president, director and sole shareholder of Victoria Pulse is Mr. Mobayen. Mr. Mobayen's roots are in the Middle East. He and his family have various export businesses that are located in Dubai. Each of Messrs. Stewart and Lunde were aware that Mr. Mobayen's brother-in-law, Mr. Vahabzedeh, owned another company called Victoria Packing.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outset of their business relationship, Fill-More sold Victoria Pulse small quantities of product. Victoria Pulse originally paid for its purchases "up front". Thereafter it established a line of credit with Fill-More. It paid its accounts promptly and over time it built up the volume of business it had with Fill-More. Today, approximately 5-6% of Fill-More's total pulse business is done with Victoria Pulse.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From 2003 to July 2006 Fill-More, in its interactions with Victoria Pulse, would also deal with Mr. Taeb. At all times each of Messrs. Stewart and Lunde understood Mr. Taeb to be an employee of Victoria Pulse.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late December 2005, Mr. Taeb changed the name of a company that he held to Victoria Seeds Inc. He was the president and principal shareholder of Victoria Seeds. At some point in 2006 he began to do business with Fill-More on behalf of Victoria Seeds. Mr. Taeb also continued, until July 2006, to conduct business on behalf of each of Victoria Pulse and Victoria Packing. It was the position of Fill-More at trial that it had understood and believed that Victoria Seeds was also owned by Mr. Mobayen or his family. In December 2007, after the events in question, Mr. Taeb changed the name of Victoria Seeds to Viva Seeds.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late July and early August 2006, Fill-More learned that Victoria Seeds was in fact owned by Mr. Taeb and that Mr. Mobayen was unaware that Mr. Taeb had established Victoria Seeds and was competing with him. Victoria Pulse has since commenced a separate action in the Supreme Court of British Columbia against Victoria Seeds and Mr. Taeb under Action No. S077486 (the "Victoria Pulse Action"). In the Victoria Pulse Action the plaintiff claims,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 the defendants misused confidential information, misrepresented the relationship between Victoria Packing and Victoria Seeds and sought to pass-off the business and goods of Victoria Seeds as the business and goods of Victoria Pulse.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learning that Victoria Seeds was owned by Mr. Taeb, and had no relationship to Mr. Mobayen, Fill-More established various credit terms that had to be satisfied before it would deliver further product to Victoria Seeds. Some of these terms pertained to monies that were then owed by Victoria Seeds to Fill-More, some to pending orders Victoria Seeds had with Fill-More and some to future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of late July 2006, Victoria Seeds had two pending contracts with Fill-More. One such contract, S2174, was issued on July 7, 2006, and required Fill-More to deliver specified product, via container, between July 15, 2006 and July 31, 2006 (the "First Contract"). The other contract, S2183, was issued on July 24, 2006, and required Fill-More to deliver specified product, via container, between July 24, 2006 and August 15, 2006 (the "Second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Victoria Seeds had also entered into separate contracts with two Dubai based companies for the further sale of the product contemplated by the First and Second Contracts. The product from the First Contract was to go to Etminan General Trading Co. ("Etminan"). The product from the Second Contract was to go to Ninja Foodstuff Trading LLC ("Ninja").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Fill-More did not supply Victoria Seeds with the product from the First and Second Contracts. Victoria Seeds subsequently made separate arrangements with each of Etminan and Ninja for the supply of replacement product. This replacement product was secured at a higher cost than the price provided for in the First and Second Contracts. It is largely the difference between the prices in the First and Second Contracts and the price of replacement product, that gives rise to Victoria Seeds'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All dollar figures referred to in these Reasons are in U.S. currency. The parties have agreed that they will effect whatever currency exchanges are required under the </w:t>
      </w:r>
      <w:r>
        <w:rPr>
          <w:rFonts w:ascii="arial" w:eastAsia="arial" w:hAnsi="arial" w:cs="arial"/>
          <w:i/>
          <w:color w:val="000000"/>
          <w:sz w:val="20"/>
          <w:lang w:val="en-US" w:eastAsia="en-US" w:bidi="ar-SA"/>
        </w:rPr>
        <w:t>Foreign Money Claims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155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following distinct issues arise:</w:t>
      </w:r>
      <w:r>
        <w:rPr>
          <w:rFonts w:ascii="arial" w:eastAsia="arial" w:hAnsi="arial" w:cs="arial"/>
          <w:sz w:val="20"/>
          <w:lang w:val="en-US" w:eastAsia="en-US" w:bidi="ar-SA"/>
        </w:rPr>
        <w:cr/>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 of money does Victoria Seeds owe Fill-More?</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 legal basis for Fill-More to impose additional credit terms on Victoria Seeds in relation to the First and Second Contracts?</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Fill-More act properly in failing to supply Victoria Seeds under the First and Second Contracts?</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 Victoria Seeds make out its counterclaim and, in particular, did it act reasonably to mitigate its losses?</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Fill-More entitled to a contractual rate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Credibility of Mr. Taeb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Before addressing the foregoing specific issues, I wish to deal with the credibility of the parties and, in particular, of Mr. Taeb. The evidence of Mr. Taeb, who alone gave evidence for Victoria Seeds, stands in marked contrast to the evidence of Messrs. Stewart, Lunde and Mobayen in relation to a number of relevant issues. For the reasons that follow, I am of the view that Mr. Taeb has not been forthright in his evidence and that much of his evidence is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comments of O'Halloran J.A., in the often cited case of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at 357 provide a useful framework within which to assess the credibility of a party: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interested witnesses, particularly in cases of conflict of evidence, cannot be gauged solely by the test of whether the personal demeanour of the particular witness carried conviction of the truth. The test must reasonably subject his story to an examination of its consistency with the probabilities that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 Only thus can a Court satisfactorily appraise the testimony of quick-minded, experienced and confident witnesses, and of those shrewd persons adept in the half-lie and of long and successful experience in combining skilful exaggeration with partial suppression of the truth. Again a witness may testify what he sincerely believes to be true, but he may be quite honestly mistaken. For a trial Judge to say "I believe him because I judge him to be telling the truth", is to come to a conclusion on consideration of only half the problem. In truth it may easily be self-direction of a dangerous kind.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trial Judge ought to go further and say that evidence of the witness he believes is in accordance with the preponderance of probabilities in the case and, if his view is to command confidence, also state his reasons for that conclusion. The law does not clothe the trial Judge with a divine insight into the hearts and minds of the witnesses. And a Court of Appeal must be satisfied that the trial Judge's finding of credibility is based not on one element only to the exclusion of others, but is based on all the elements by which it can be tested in the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One of the central factual questions arising in this case relates to what took place between the parties in late July to mid-August, 2006. The evidence of both Mr. Stewart and Mr. Lunde was that they understood that Mr. Taeb, with whom they had worked for some years, was an employee of Mr. Mobayen for both Victoria Pulse and Victoria Seeds. They understood that both these entities were owned by Mr. Mobayen or his family in the same way that Victoria Packing was owned by Mr. Mobayen's brother-in-law. They understood that when Mr. Taeb placed orders, prepared contracts or delivered cheques for either Victoria Pulse or Victoria Seeds this was, in essence, on behalf of Mr. Mobayen. Both acknowledged that their respective understandings were largely "assumptions" on their part. Both agreed, with one exception, that Mr. Taeb did not actively mislead them or actively misrepresent either his status or the relationship between Victoria Pulse and Victoria Seeds. Instead, it was Mr. Taeb's silence or failure to disclose or expand on his true relationship to Victoria Seeds that gave rise to this misunderstanding. Mr. Lunde did say that on one occasion, in May 2006, Mr. Taeb told him that Victoria Seeds was "part of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Stewart said that in late July 2006, as a result of a conversation with Mr. Mobayen, he became concerned about the status of Victoria Seeds. Thereafter, a number of distinct events took place in relation to the dealings of the various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late July 2006, Mr. Stewart said he felt he had been "very much misled". He said he spoke to Mr. Taeb and explained he had understood that Victoria Seeds was Mr. Mobayen's company. He said he told Mr. Taeb that Victoria Seeds now had to establish credit terms with Fill-More and that if Victoria Seeds "kept current", Fill-More would continue to deliver on existing Victoria Seeds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July 31, 2006, following a conversation with Mr. Lunde, Mr. Taeb sent the following e-mail under the heading "new e-mail address":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Regarding our phone conversation, I wanted to remind you that my new e-mail address is victoriaseedsinc@shaw.ca, my phone number is 604-771-6272 and fax number is 604-221-1466. I would appreciate it if you send all e-mails to this address. The new mail address of Victoria Seeds 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803-5775 Toronto Road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BC V6T 1X4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arranged US$28326.10 wire transfer to your account from Victoria Pulse account for invoices P2397 (US$26480.00) and P2416 (US$10800.00). The total amount of these two invoices is US$37280.00 and based on the amount of discount (US$9379.00) which I faxed for you, I sent money to your account.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received invoice P2444 from Verla with the name of Victoria Pulse. Please note that some containers have been shipped for Victoria Seeds and some for Victoria Pulse. Regarding my request, please issue for each company the related invoice base on the containers which have been shipped for them and separate the account complete for preventing any confusion.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containers which have been shipped for Victoria Pulse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1987"/>
        <w:gridCol w:w="1568"/>
        <w:gridCol w:w="1150"/>
        <w:gridCol w:w="523"/>
        <w:gridCol w:w="21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10571</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GESU2705000</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1200 Bags</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24.000</w:t>
            </w:r>
          </w:p>
        </w:tc>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10581</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APZU3195543</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1202 Bags</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24.040</w:t>
            </w:r>
          </w:p>
        </w:tc>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10591</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TRLU2636570</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1200 Bags</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24.000</w:t>
            </w:r>
          </w:p>
        </w:tc>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10620</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TEXU3494236</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1218 Bags</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24.360</w:t>
            </w:r>
          </w:p>
        </w:tc>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10633</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GESU2129769</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1209 Bags</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24.180</w:t>
            </w:r>
          </w:p>
        </w:tc>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10632</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GESU2131576</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1208 Bags</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24.160</w:t>
            </w:r>
          </w:p>
        </w:tc>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10634</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GESU2127133</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1195 Bags</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23.910</w:t>
            </w:r>
          </w:p>
        </w:tc>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10635</w:t>
            </w:r>
          </w:p>
        </w:tc>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CAXU6784290</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1222 Bags</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24.440</w:t>
            </w:r>
          </w:p>
        </w:tc>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10639</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TRLU2038770</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1178 Bags</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23.560</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bags for Victoria Pulse is Green and 20 kg.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Regarding your last statement dated Jun 06, 2006, there are two invoices which belong to Victoria Seeds P2368 ($US3581.00) and P2373 (US$5730.00). The other invoices have been paid only there is an outstanding balance (US$2424.00) which I am working on it and I will arrange payment for it. I would appreciate if you check and send last statement of each company separately for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again for your cooperation.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August 2 or 3, 2006, Mr. Mobayen came to Fill-More's office in Saskatchewan to discuss what had happened. It became clear that Mr. Mobayen was unaware of Victoria Seeds or that Fill-More was shipping product to Victoria Seeds. Mr. Mobayen confirmed that Mr. Taeb was his employee. Mr. Mobayen was also shown the type of bag used by Fill-More to ship Victoria Seeds product. In many material respects the bag is very similar to the bag used by Fill-More to ship Victoria Pulse product. That bag had first been developed by Victoria Pulse in 2003. Both bags have a number of Arabic characters. Importantly, Mr. Mobayen said that the Arabic translation on the bag would read as "Canadian Hobbub Victoria Company" making it impossible for a non-English purchaser to know that the bag, with which they were familiar from the past, was in fact from a non-Mobayen company, Victoria Seeds.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August 2, 2006, Mr. Mobayen wrote to CFT, another entity that both Victoria Pulse and Victoria Seeds did business with. The letter bore the heading "Victoria Pulse Corp. and the present situation" and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like to inform you of the present situation that has caused some confusion. I, Abbas Ali Mobayen am the sole owner of Victoria Pulse Corp. and Tala General Trading.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Taeb has only been an employee for Victoria Pulse Corp. and my joint company Victoria Packing Corp. He has handled the communication and documentation with your company. I gave him my trust to be free in dealing with the suppliers and clients. Recently I found out that he has used my business reputation to start his own company "Victoria Seeds Inc." while he was legally working for 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would like to inform you that we have no related with Victoria Seeds Inc. and we are not responsible for any activity that is done by Mr. Taeb. If you do not receive your money in the future we are not responsible. He is no longer working for our group from August 1st.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August 3, 2006, Mr. Lunde, following a conversation and set of instructions from Mr. Stewart, sent Mr. Taeb the following e-mail under the heading "Outstanding Invoices":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the split in the company's, Verla and I have gone back through the transfers of funds from you over the past while.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appear that the Victoria pulse account is completely current with only the most recent shipment invoices outstanding. Given that there has not been very much shipped by that company lately, it was very clear as to the disbursements of funds.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for Victoria Seeds, once the last amount of payment received on Aug 2 has been applied, it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124"/>
        <w:gridCol w:w="2091"/>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Victoria Seeds Invoice P2415</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dated May 30/06 still outstanding</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$14,513.53</w:t>
            </w:r>
          </w:p>
        </w:tc>
        <w:tc>
          <w:tcPr>
            <w:tcW w:w="256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2510"/>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Victoria Seeds Invoice P2456</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dated Jul 18/06</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$50,323.53</w:t>
            </w:r>
          </w:p>
        </w:tc>
        <w:tc>
          <w:tcPr>
            <w:tcW w:w="256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2510"/>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Victoria Seeds Invoice P2450</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dated Jul 25/06</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$ 5,826.00</w:t>
            </w:r>
          </w:p>
        </w:tc>
        <w:tc>
          <w:tcPr>
            <w:tcW w:w="256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2510"/>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Victoria Seeds Invoice P2454</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dated July 31/06</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$52,498.60</w:t>
            </w:r>
          </w:p>
        </w:tc>
        <w:tc>
          <w:tcPr>
            <w:tcW w:w="256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4496"/>
        <w:gridCol w:w="2718"/>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amount outstanding</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$123,166.66</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trust that you will find this information accurate and that you will make arrangements for payment as soon as possible, especially on the May 30 invoice and the July 18 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circumstances, it is very important that your account remain current.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look forward to working with you over the course of this next year. For your information, until more of a track record is established with your company on its own, your company limit has been placed at $100,000 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be guided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August 13 or 14, 2006, Mr. Taeb and his son, Amir Taeb, who was employed by Victoria Seeds, attended for the first time at the Fill-More offices to meet with Mr. Stewart. Mr. Stewart said that he advised them of the following facts: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unaware, until the end of July 2006, that Victoria Seeds was Mr. Taeb's company;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thought Victoria Seeds was Mr. Mobayen's company;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Taeb needed to bring the Victoria Seeds account "current" before Fill-More would ship any more product. In keeping "current" Mr. Stewart intended that accounts had to be paid within 30 days and that the total amount of outstanding accounts was not to exceed $100,000;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order to do business in the future, Mr. Taeb would have to secure Export Development Corporation ("EDC") insurance for Victoria Seeds. Such insurance effectively guarantees payment to the supplier of product of up to 90% of the value of all outstanding accounts. Mr. Lunde confirmed he was called into the meeting for a brief time to explain the nature of EDC insurance to Mr. Taeb and his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evidence of Mr. Taeb was significantly at odds with this body of evidence and sought to cast a very different picture. Mr. Taeb said he was Mr. Mobayen's partner in Victoria Pulse and that he had earlier apprised Mr. Stewart of this. He said that in late 2005 he, Mr. Mobayen and Mr. Vahabzedeh, decided to form a joint venture consisting of Victoria Seeds, Victoria Pulse and Victoria Packing. He said that he apprised both Mr. Stewart and Mr. Lunde of the existence of this joint venture. He said he explained the details of the arrangement to Mr. Stewart and expressly explained who owned Victoria Seeds. In July of 2006, this joint venture fell apart and its various members decided to go their own ways. Mr. Taeb said he also communicated this fact to Mr. Stewart and Mr. Lunde.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events of late July to mid-August, 2006, were described in much more benign terms by Mr. Taeb. According to Mr. Taeb, Mr. Stewart did not seek to impose new credit terms on Victoria Seeds in late July 2006. Mr. Taeb's e-mail of July 31, 2006, was largely intended to confirm earlier requests to keep the affairs of Victoria Pulse and Victoria Seeds separate. The August 3, 2006 e-mail from Mr. Lunde did not impose a $100,000 credit limit for existing orders. Rather, it was simply a limit that would become effective for new crops commencing in the fall of 2006. Finally, at the August 13 or 14 meeting in Regina, Mr. Stewart was pleasant and confirmed that he would shortly be shipping the product required under the First and Second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find that the evidence of Mr. Taeb is not consistent with the probabilities that surround the circumstances that existed in the latter part of July to mid-August, 2006. His evidence rejects there being any confusion about the ownership of Victoria Seeds or there having been any restructuring of the credit terms between Fill-More and Victoria Seeds. Instead, his evidence advances a "business as usual" thesis.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This thesis is inconsistent with the evidence of each of Messrs. Stewart, Lunde and Mobayen. It is inconsistent with the flurry and confluence of events that took place from late July to mid-August, 2006. It is inconsistent with Mr. Taeb's July 31, 2006 e-mail which emphasized the importance of keeping the affairs of Victoria Pulse and Victoria Seeds separate and which emphasized the contact particulars for Victoria Seeds. The defendant spent some time emphasizing that Victoria Seeds had its own address, e-mail, fax and phone number and that these things were known to Fill-More and to Mr. Lunde in particular at an earlier date. To some extent this is true though Mr. Lunde said, and I accept, that he had not noticed some of these details on earlier communications and that he did not pay attention to the phone numbers for Victoria Pulse or Victoria Seeds. Rather, he was simply calling Mr. Taeb on behalf of the Victoria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More importantly, the fact that Victoria Seeds and Victoria Pulse had different contact information seems to be of little consequence. So too did Victoria Packing. The real point is that Fill-More's representatives believed they were dealing with a group of companies related to or owned by Mr. Mobayen. The fact that Victoria Seeds had its own contact information does not address whether this belief was either actually or reasonably held by Fill-More and its representatives.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Victoria Seeds also emphasized, and Mr. Lunde conceded, that Mr. Taeb had asked him prior to July 31, 2006, to keep the accounts of Victoria Seeds and Victoria Pulse separate. Again, this evidence does not directly address the questions in issue. Indeed, the fact that Mr. Lunde would apply Victoria Seeds payments to Victoria Pulse accounts, an issue to which I will return, supports the conclusion that he believed these companies to be related. What is of significance is Mr. Lunde's evidence, which I accept, that the July 31, 2006 e-mail from Mr. Taeb was the first time Mr. Lunde appreciated that there was no relationship whatsoever between Victoria Pulse and Victoria Seeds.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Finally, the evidence of Mr. Taeb is inconsistent with the August 3, 2006 e-mail from Mr. Lunde as well as with Mr. Stewart's evidence of his late July 2006 conversation with Mr. Taeb and of his August 13 or 14 meeting with Mr. Taeb and his son. In each of these communications, I find that Fill-More expressed that certain credit terms had to be satisfied before pending contracts with Victoria Seeds would be satisfied by Fill-More.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 have said that Mr. Taeb's son, Amir Taeb, attended the August 13 or 14 meeting. He did not give evidence. In Sopinka,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2nd ed. (Toronto: Butterworths, 1999) at 297 the learned author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civil cases, an unfavourable inference can be drawn when, in the absence of an explanation, a party litigant does not testify, or fails to provide affidavit evidence on an application, or fails to call a witness who would have knowledge of the facts and would be assumed to be willing to assist that party. In the same vein, an adverse inference may be drawn against a party who does not call a material witness over whom he or she has exclusive control and does not explain it away. Such failure amounts to an implied admission that the evidence of the absent witness would be contrary to the party's case, or at least would not support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connection with when the court may draw an adverse inference, in </w:t>
      </w:r>
      <w:r>
        <w:rPr>
          <w:rFonts w:ascii="arial" w:eastAsia="arial" w:hAnsi="arial" w:cs="arial"/>
          <w:i/>
          <w:color w:val="000000"/>
          <w:sz w:val="20"/>
          <w:lang w:val="en-US" w:eastAsia="en-US" w:bidi="ar-SA"/>
        </w:rPr>
        <w:t>Cranewood Financial Corp. v. Norisawa</w:t>
      </w:r>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2001 BCSC 1126</w:t>
        </w:r>
      </w:hyperlink>
      <w:r>
        <w:rPr>
          <w:rFonts w:ascii="arial" w:eastAsia="arial" w:hAnsi="arial" w:cs="arial"/>
          <w:color w:val="000000"/>
          <w:sz w:val="20"/>
          <w:lang w:val="en-US" w:eastAsia="en-US" w:bidi="ar-SA"/>
        </w:rPr>
        <w:t>, Cohen J. said at para. 127: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127 It is well established that an adverse inference may be drawn against a party who fails to call a material witness. In </w:t>
      </w:r>
      <w:r>
        <w:rPr>
          <w:rFonts w:ascii="arial" w:eastAsia="arial" w:hAnsi="arial" w:cs="arial"/>
          <w:i/>
          <w:color w:val="000000"/>
          <w:sz w:val="20"/>
          <w:lang w:val="en-US" w:eastAsia="en-US" w:bidi="ar-SA"/>
        </w:rPr>
        <w:t>Barker v. McQuahe</w:t>
      </w:r>
      <w:r>
        <w:rPr>
          <w:rFonts w:ascii="arial" w:eastAsia="arial" w:hAnsi="arial" w:cs="arial"/>
          <w:color w:val="000000"/>
          <w:sz w:val="20"/>
          <w:lang w:val="en-US" w:eastAsia="en-US" w:bidi="ar-SA"/>
        </w:rPr>
        <w:t xml:space="preserve"> (1964), 49 W.W.R. 685 (B.C.C.A.) the court held that an inference adverse to a litigant may be drawn, if, without sufficient explanation, he fails to call a witness who might be expected to give important supporting evidence if his case were sound.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What transpired at the August 13 or 14, 2006 meeting is of importance. It is directly relevant to the status of the First and Second Contracts and to Mr. Taeb's decision to obtain replacement product. Mr. Stewart and Mr. Taeb have very different versions of that meeting. Mr. Amir Taeb had important sounding or supporting evidence. No explanation was given for Mr. Amir Taeb's failure to give evidence. Indeed it was originally expected that he would give evidence at trial. Accordingly, I do draw an adverse inference from the defendant's failure to call Mr. Amir Taeb. This failure constitutes an additional basis on which I prefer the evidence of Mr. Stewart in terms of what took place at the meeting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evidence of Mr. Taeb is also out of "harmony with the preponderance of probabilities" in another material respect. The counterclaim of Victoria Seeds is, as I have said, based on the failure of Fill-More to fulfill the First and Second Contracts. The evidence of Mr. Taeb is that he repeatedly asked Fill-More about delivery of product under the First and Second Contracts and was told that such delivery would be forthcoming shortly. Mr. Taeb said he spoke to Mr. Stewart about delivery in late July 2006 and was promised that delivery would be effected shortly. He called again in August and his phone call was not returned. He was told at the August 13 or 14 meeting that delivery would take place. I have referred to Mr. Stewart's evidence about his late July conversation with Mr. Taeb and his mid-August meeting with Mr. Taeb and his son. If the failure to effect delivery under the First and Second Contracts was not based on any confusion relating to the ownership of Victoria Seeds or on the imposition by Fill-More of a set of new credit terms which were not met by Victoria Seeds, then what caused the non-delivery of the required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thesis advanced by Victoria Seeds to explain Fill-More's failure to deliver the product required under the First and Second Contracts was that the price for lentils was rising in July and August of 2006 and that Fill-More simply chose to sell the product contemplated by the First and Second Contracts elsewhere. Though Mr. Stewart was asked about rising lentil prices during the period in question, the proposition that Fill-More simply chose to sell the product in question to a third party at a better price was not put to him. Under the "rule" in </w:t>
      </w:r>
      <w:r>
        <w:rPr>
          <w:rFonts w:ascii="arial" w:eastAsia="arial" w:hAnsi="arial" w:cs="arial"/>
          <w:i/>
          <w:color w:val="000000"/>
          <w:sz w:val="20"/>
          <w:lang w:val="en-US" w:eastAsia="en-US" w:bidi="ar-SA"/>
        </w:rPr>
        <w:t>Browne v. Dunn</w:t>
      </w:r>
      <w:r>
        <w:rPr>
          <w:rFonts w:ascii="arial" w:eastAsia="arial" w:hAnsi="arial" w:cs="arial"/>
          <w:color w:val="000000"/>
          <w:sz w:val="20"/>
          <w:lang w:val="en-US" w:eastAsia="en-US" w:bidi="ar-SA"/>
        </w:rPr>
        <w:t xml:space="preserve"> (1893), 6 R. 67 (H.L.), as matter of fairness, that suggestion should have been put to Mr. Stewart and Mr. Lunde.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Further, the theory that Fill-More simply chose to sell the product required under the First and Second Contracts for a better price elsewhere means, of necessity, that the evidence of Messrs. Stewart and Lunde about their knowledge of the status of Victoria Seeds and Mr. Taeb, their concerns with that status and their efforts to address those concerns through strengthened credit terms are a fiction - a tale concocted by Mr. Stewart and Mr. Lunde to explain Fill-More's failure to deliver. In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O'Halloran J.A, in referring to </w:t>
      </w:r>
      <w:r>
        <w:rPr>
          <w:rFonts w:ascii="arial" w:eastAsia="arial" w:hAnsi="arial" w:cs="arial"/>
          <w:i/>
          <w:color w:val="000000"/>
          <w:sz w:val="20"/>
          <w:lang w:val="en-US" w:eastAsia="en-US" w:bidi="ar-SA"/>
        </w:rPr>
        <w:t>Hvalfangerselskapet Polaris A/S v. Unilever Ltd.</w:t>
      </w:r>
      <w:r>
        <w:rPr>
          <w:rFonts w:ascii="arial" w:eastAsia="arial" w:hAnsi="arial" w:cs="arial"/>
          <w:color w:val="000000"/>
          <w:sz w:val="20"/>
          <w:lang w:val="en-US" w:eastAsia="en-US" w:bidi="ar-SA"/>
        </w:rPr>
        <w:t xml:space="preserve"> (1933), 46 Ll.L.Rep. 29, said (at 358):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Court of Appeal Scrutton L.J., giving the leading judgment said the trial Judge had seen the witnesses and heard the conflicting testimony and because of that it was impossible for the Court of Appeal to interfere with the trial Judge's finding on credibility. But the House of Lords did interfere. It said that the strictures cast by the trial Judge on the two witnesses were unjustified and that the evidence of these two witnesses ought to have been received. The House, Lord Atkin presiding, came to that conclusion because it was satisfied that the evidence of the witnesses disbelieved by the trial Judge was entirely consistent with the probabilities and the business conditions proved to be in existence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explanation and evidence advanced by Victoria Seeds is not "consistent with the probabilities and the business conditions proved to be in existence at the time". It is not credible that Fill-More simply chose to breach its contract with an existing customer, with whom it had had good relations and no history of difficulty, because of a rising lentil market. Furthermore, Victoria Seeds almost immediately began to make alternate arrangements to supply the product required by the First and Second Contracts to Etminan and Ninja respectively. This is much more consistent with Victoria Seeds having the discussions with Fill-More that were described by Mr. Stewart than with Mr. Taeb being consistently assured or promised that delivery would take place. There was no evidence whatsoever that Fill-More had any history of dilatory performance other than for such routine and inevitable matters as difficulties associated with obtaining containers in which to ship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dynamic described by Mr. Taeb is implausible for still another reason. Victoria Seeds had contracts with Etminan and Ninja based on product Victoria Seeds was to receive from Fill-More. The time lines on those contracts were very tight. One would have expected, on Mr. Taeb's version of the events, that that urgency would have been communicated as would Mr. Taeb's intention to find alternate product. These matters were communicated to Fill-More in writing in October 2006, long after the events in question took place. Mr. Lunde said, and I accept, that Mr. Taeb never contacted him about these pending contracts or about finding replacement product prior to Mr. Taeb's October communication. Mr. Stewart said, and I accept, that when Mr. Taeb contacted him about the pending contracts in July 2006, Mr. Stewart relayed to him the concerns about credit that I have described. Indeed, in a November 20, 2006 e-mail Mr. Taeb concedes he had no communications with Fill-More about locating replacement product though he says he tried to relay this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make the following specific findings, that:</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July 2006 Fill-More believed, and that it was reasonable for it to believe, that Victoria Seeds was a company owned by or related to Mr. Mobayen.</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July 2006 Fill-More believed, and that it was reasonable for it to believe, that Mr. Taeb was an employee of Victoria Pulse and Victoria Seeds.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time did Mr. Taeb communicate to Mr. Stewart or to Mr. Lunde that he was a partner of Mr. Mobayen or that he was in a joint venture with Mr. Mobayen and Mr. Vahabzedeh.</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Fill-More, on learning that Victoria Seeds had no relationship with Mr. Mobayen, was concerned about the credit of Victoria Seeds.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Fill-More communicated to Victoria Seeds, through Mr. Taeb, that further product, which of necessity included product under the First and Second Contracts, would not be delivered unless Victoria Seeds' accounts were current. In order to keep accounts current such accounts would both have to be paid within 30 days of being issued and the aggregate amount of all outstanding accounts could not exceed $100,000. In order to secure new contracts for further or future product Victoria Seeds was going to have to obtain EDC insurance.</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Fill-More was ready and willing to continue to deal with Victoria Seeds and to deliver the product in the First and Second Contracts if Victoria Seeds adhered to these credit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make no findings about the precise nature of the relationship between Mr. Mobayen and Mr. Taeb at any time prior to early August 2006. These are matters that will be determined in the Victoria Pulse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Apart from the broader concerns with Mr. Taeb's evidence that I have described, that evidence was also at odds in a more finite way with the evidence of Messrs. Stewart, Lunde and Mobayen on many occasions. The following two examples are merely illustrative of these differences.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Each of Mr. Stewart and Mr. Mobayen described how they were introduced in 2003. That introduction was effected through a provincial agency called Saskatchewan Trade and Export Partnership. That agency brings buyers from around the world together with exporters in Saskatchewan. The fact that Mr. Mobayen was introduced through the agency enhanced Mr. Mobayen's credibility with Mr.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Conversely, Mr. Taeb said he was responsible for the introduction in that he had done research on the internet to locate Fill-More and other potential suppliers of product. He said he then effected an introduction by fax. No such faxes were produced by either party. I do not accept Mr. Taeb's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Each of Messrs. Stewart, Lunde and Mobayen described how Victoria Pulse and Fill-More did business. They described a general practice where Mr. Stewart and Mr. Mobayen would negotiate the terms of a contract and, in particular, the price of that contract. It would subsequently be up to Mr. Taeb and Mr. Lunde to confirm these terms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Taeb's evidence was that generally it was he who would negotiate the terms in such contracts with Mr. Stewart. I do not accept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Finally, Mr. Taeb was not responsive to many of the questions asked of him. By way of example, he would not accept, until pressed at some length, that Victoria Seeds' accounts were often not paid within the required 30 days. When he ultimately conceded this self-evident fact, he then speculated that perhaps payment was late with the agreement of Mr. Stewart or, alternatively, that perhaps the relevant credit terms had been extended to 60 days. When further pressed, he admitted he had no memory of these things having actually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What Amount of Money does Victoria Seeds Owe Fill-More?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Fill-More bears the burden of proving its claim against Victoria Seeds. To do so it relies on a calculation generated by Mr. Lunde. This calculation tracks each of the orders placed by Victoria Seeds with Fill-More and offsets against those obligations the payments received by Fill-More from Victoria Seeds. It is this calculation that supports Fill-More's claim that it is owed $67,244.86.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Though the calculation is sound in theory, there are at least two problems with it. It starts in April 2006 with the first identified order received by Fill-More from Victoria Seeds. The difficulty with this premise is related to Fill-More's central concern - it was uncertain during this period whether it was dealing with Victoria Pulse or Victoria Seeds. Mr. Lunde admitted he had been asked before July 31, 2006 to keep the accounts of these entities separate and had not done so. Thus, if there is even one occasion where Fill-More believed it was supplying Victoria Pulse when in fact the order was from Victoria Seeds, the Fill-More calculations will necessarily be inaccurate.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Second, and in a similar vein, Fill-More accepts that it received numerous payments from Victoria Seeds that do not appear on its calculation. Fill-More applied these payments to the oldest outstanding account it had from a Mobayen company. It cannot, as a matter of accounting practice, be faulted in this: </w:t>
      </w:r>
      <w:r>
        <w:rPr>
          <w:rFonts w:ascii="arial" w:eastAsia="arial" w:hAnsi="arial" w:cs="arial"/>
          <w:i/>
          <w:color w:val="000000"/>
          <w:sz w:val="20"/>
          <w:lang w:val="en-US" w:eastAsia="en-US" w:bidi="ar-SA"/>
        </w:rPr>
        <w:t>Waisman and Ross et al. v. Crown Trust Company</w:t>
      </w:r>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[1970] S.C.R. 553</w:t>
        </w:r>
      </w:hyperlink>
      <w:r>
        <w:rPr>
          <w:rFonts w:ascii="arial" w:eastAsia="arial" w:hAnsi="arial" w:cs="arial"/>
          <w:color w:val="000000"/>
          <w:sz w:val="20"/>
          <w:lang w:val="en-US" w:eastAsia="en-US" w:bidi="ar-SA"/>
        </w:rPr>
        <w:t xml:space="preserve"> at 560. Furthermore, Mr. Taeb conceded that Fill-More's applying monies it received to the oldest outstanding account first was consistent with his expectations. Finally, there is nothing factually untoward with Fill-More's methodology. There appear to have been numerous instances where Victoria Seeds sent a cheque to Fill-More which was intended to be applied to a Victoria Pulse account. Such payments would then be dealt with or accounted for internally as between Victoria Pulse and Victoria Seeds. The difficulty that remains, however, is that if there is even a single payment received by Fill-More which was improperly applied, the calculation it relies on would be flawed.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benefit or strength of the Fill-More calculation, however, lies in the fact that each of its entries is supported by some underlying e-mail, invoice or other record. It is a good faith effort by Fill-More to forensically generate an after the fact reconciliation upon learning that Victoria Seeds was unrelated to Mr. Mobayen.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support of its calculation, Fill-More asserts that any frailties of the calculation are a function of the defendant's conduct and that the true state of what orders or what payments were made on behalf of Victoria Seeds lies peculiarly within its knowledge. Specifically, Fill-More relies on the comments of Lord Mansfield that were referred to by Mr. Justice Sopinka in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511"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328: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certainly a maxim that all evidence is to be weighed according to the proof which it was in the power of one side to have produced, and in the power of the other to have contradicted.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Quite apart from the question of whether the application of </w:t>
      </w:r>
      <w:r>
        <w:rPr>
          <w:rFonts w:ascii="arial" w:eastAsia="arial" w:hAnsi="arial" w:cs="arial"/>
          <w:i/>
          <w:color w:val="000000"/>
          <w:sz w:val="20"/>
          <w:lang w:val="en-US" w:eastAsia="en-US" w:bidi="ar-SA"/>
        </w:rPr>
        <w:t>Snell</w:t>
      </w:r>
      <w:r>
        <w:rPr>
          <w:rFonts w:ascii="arial" w:eastAsia="arial" w:hAnsi="arial" w:cs="arial"/>
          <w:color w:val="000000"/>
          <w:sz w:val="20"/>
          <w:lang w:val="en-US" w:eastAsia="en-US" w:bidi="ar-SA"/>
        </w:rPr>
        <w:t xml:space="preserve"> extends beyond questions of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the application of its precepts would be misconceived in this case. Here Victoria Seeds has not simply attacked the adequacy of the plaintiff's calculation. Instead, it has generated its own and competing calculation. It seeks to "contradict" Fill-More's calculation with its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Similarly, Fill-More relies on the maxim </w:t>
      </w:r>
      <w:r>
        <w:rPr>
          <w:rFonts w:ascii="arial" w:eastAsia="arial" w:hAnsi="arial" w:cs="arial"/>
          <w:i/>
          <w:color w:val="000000"/>
          <w:sz w:val="20"/>
          <w:lang w:val="en-US" w:eastAsia="en-US" w:bidi="ar-SA"/>
        </w:rPr>
        <w:t>omnia praesumuntur contra spoliatorem</w:t>
      </w:r>
      <w:r>
        <w:rPr>
          <w:rFonts w:ascii="arial" w:eastAsia="arial" w:hAnsi="arial" w:cs="arial"/>
          <w:color w:val="000000"/>
          <w:sz w:val="20"/>
          <w:lang w:val="en-US" w:eastAsia="en-US" w:bidi="ar-SA"/>
        </w:rPr>
        <w:t xml:space="preserve"> - everything is presumed against the spoiler or wrongdoer. In </w:t>
      </w:r>
      <w:r>
        <w:rPr>
          <w:rFonts w:ascii="arial" w:eastAsia="arial" w:hAnsi="arial" w:cs="arial"/>
          <w:i/>
          <w:color w:val="000000"/>
          <w:sz w:val="20"/>
          <w:lang w:val="en-US" w:eastAsia="en-US" w:bidi="ar-SA"/>
        </w:rPr>
        <w:t>Ticketnet Corporation v. Air Canada</w:t>
      </w:r>
      <w:r>
        <w:rPr>
          <w:rFonts w:ascii="arial" w:eastAsia="arial" w:hAnsi="arial" w:cs="arial"/>
          <w:color w:val="000000"/>
          <w:sz w:val="20"/>
          <w:lang w:val="en-US" w:eastAsia="en-US" w:bidi="ar-SA"/>
        </w:rPr>
        <w:t xml:space="preserve"> </w:t>
      </w:r>
      <w:hyperlink r:id="rId512" w:history="1">
        <w:r>
          <w:rPr>
            <w:rFonts w:ascii="arial" w:eastAsia="arial" w:hAnsi="arial" w:cs="arial"/>
            <w:i/>
            <w:color w:val="0077CC"/>
            <w:sz w:val="20"/>
            <w:u w:val="single"/>
            <w:shd w:val="clear" w:color="auto" w:fill="FFFFFF"/>
            <w:lang w:val="en-US" w:eastAsia="en-US" w:bidi="ar-SA"/>
          </w:rPr>
          <w:t>(1997), 105 O.A.C. 87</w:t>
        </w:r>
      </w:hyperlink>
      <w:r>
        <w:rPr>
          <w:rFonts w:ascii="arial" w:eastAsia="arial" w:hAnsi="arial" w:cs="arial"/>
          <w:color w:val="000000"/>
          <w:sz w:val="20"/>
          <w:lang w:val="en-US" w:eastAsia="en-US" w:bidi="ar-SA"/>
        </w:rPr>
        <w:t xml:space="preserve">, </w:t>
      </w:r>
      <w:hyperlink r:id="rId512" w:history="1">
        <w:r>
          <w:rPr>
            <w:rFonts w:ascii="arial" w:eastAsia="arial" w:hAnsi="arial" w:cs="arial"/>
            <w:i/>
            <w:color w:val="0077CC"/>
            <w:sz w:val="20"/>
            <w:u w:val="single"/>
            <w:shd w:val="clear" w:color="auto" w:fill="FFFFFF"/>
            <w:lang w:val="en-US" w:eastAsia="en-US" w:bidi="ar-SA"/>
          </w:rPr>
          <w:t>154 D.L.R. (4th) 271</w:t>
        </w:r>
      </w:hyperlink>
      <w:r>
        <w:rPr>
          <w:rFonts w:ascii="arial" w:eastAsia="arial" w:hAnsi="arial" w:cs="arial"/>
          <w:color w:val="000000"/>
          <w:sz w:val="20"/>
          <w:lang w:val="en-US" w:eastAsia="en-US" w:bidi="ar-SA"/>
        </w:rPr>
        <w:t xml:space="preserve"> (C.A.), Laskin J.A., writing for the Court, said in paras. 85 and 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[85] In my view, the maxim should only apply where the wrongdoer's acts make it difficult or impossible for the innocent party to prove its loss or where the facts needed to prove the loss are known solely by the wrongdoer and the wrongdoer does not disclose these facts to the innocent party. As Professor Waddams writes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13.250: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However, the examples collected in the preceding paragraphs and elsewhere in this work, indicate that in cases where the nature of the wrong itself makes it difficult for the plaintiff to establish a loss, or where the critical facts are peculiarly within the defendant's knowledge, the maximum, or its equivalent, will be invoked for the plaintiff's benefit.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[86] See also </w:t>
      </w:r>
      <w:r>
        <w:rPr>
          <w:rFonts w:ascii="arial" w:eastAsia="arial" w:hAnsi="arial" w:cs="arial"/>
          <w:i/>
          <w:color w:val="000000"/>
          <w:sz w:val="20"/>
          <w:lang w:val="en-US" w:eastAsia="en-US" w:bidi="ar-SA"/>
        </w:rPr>
        <w:t>Coldman v. Hill</w:t>
      </w:r>
      <w:r>
        <w:rPr>
          <w:rFonts w:ascii="arial" w:eastAsia="arial" w:hAnsi="arial" w:cs="arial"/>
          <w:color w:val="000000"/>
          <w:sz w:val="20"/>
          <w:lang w:val="en-US" w:eastAsia="en-US" w:bidi="ar-SA"/>
        </w:rPr>
        <w:t xml:space="preserve">, [1919] 1 K.B. 443 (C.A.) at 457,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Scrutton L.J. and </w:t>
      </w:r>
      <w:r>
        <w:rPr>
          <w:rFonts w:ascii="arial" w:eastAsia="arial" w:hAnsi="arial" w:cs="arial"/>
          <w:i/>
          <w:color w:val="000000"/>
          <w:sz w:val="20"/>
          <w:lang w:val="en-US" w:eastAsia="en-US" w:bidi="ar-SA"/>
        </w:rPr>
        <w:t>Kohler v. Thorold Natural Gas Co.</w:t>
      </w:r>
      <w:r>
        <w:rPr>
          <w:rFonts w:ascii="arial" w:eastAsia="arial" w:hAnsi="arial" w:cs="arial"/>
          <w:color w:val="000000"/>
          <w:sz w:val="20"/>
          <w:lang w:val="en-US" w:eastAsia="en-US" w:bidi="ar-SA"/>
        </w:rPr>
        <w:t xml:space="preserve"> </w:t>
      </w:r>
      <w:hyperlink r:id="rId513" w:history="1">
        <w:r>
          <w:rPr>
            <w:rFonts w:ascii="arial" w:eastAsia="arial" w:hAnsi="arial" w:cs="arial"/>
            <w:i/>
            <w:color w:val="0077CC"/>
            <w:sz w:val="20"/>
            <w:u w:val="single"/>
            <w:shd w:val="clear" w:color="auto" w:fill="FFFFFF"/>
            <w:lang w:val="en-US" w:eastAsia="en-US" w:bidi="ar-SA"/>
          </w:rPr>
          <w:t>(1916), 52 S.C.R. 514</w:t>
        </w:r>
      </w:hyperlink>
      <w:r>
        <w:rPr>
          <w:rFonts w:ascii="arial" w:eastAsia="arial" w:hAnsi="arial" w:cs="arial"/>
          <w:color w:val="000000"/>
          <w:sz w:val="20"/>
          <w:lang w:val="en-US" w:eastAsia="en-US" w:bidi="ar-SA"/>
        </w:rPr>
        <w:t xml:space="preserve"> at 530-31, </w:t>
      </w:r>
      <w:hyperlink r:id="rId514" w:history="1">
        <w:r>
          <w:rPr>
            <w:rFonts w:ascii="arial" w:eastAsia="arial" w:hAnsi="arial" w:cs="arial"/>
            <w:i/>
            <w:color w:val="0077CC"/>
            <w:sz w:val="20"/>
            <w:u w:val="single"/>
            <w:shd w:val="clear" w:color="auto" w:fill="FFFFFF"/>
            <w:lang w:val="en-US" w:eastAsia="en-US" w:bidi="ar-SA"/>
          </w:rPr>
          <w:t>27 D.L.R. 319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Duff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principle was also recently applied in </w:t>
      </w:r>
      <w:r>
        <w:rPr>
          <w:rFonts w:ascii="arial" w:eastAsia="arial" w:hAnsi="arial" w:cs="arial"/>
          <w:i/>
          <w:color w:val="000000"/>
          <w:sz w:val="20"/>
          <w:lang w:val="en-US" w:eastAsia="en-US" w:bidi="ar-SA"/>
        </w:rPr>
        <w:t>Encorp Pacific Canada v. Rocky Mountain Return Center Ltd.</w:t>
      </w:r>
      <w:r>
        <w:rPr>
          <w:rFonts w:ascii="arial" w:eastAsia="arial" w:hAnsi="arial" w:cs="arial"/>
          <w:color w:val="000000"/>
          <w:sz w:val="20"/>
          <w:lang w:val="en-US" w:eastAsia="en-US" w:bidi="ar-SA"/>
        </w:rPr>
        <w:t xml:space="preserve">, </w:t>
      </w:r>
      <w:hyperlink r:id="rId515" w:history="1">
        <w:r>
          <w:rPr>
            <w:rFonts w:ascii="arial" w:eastAsia="arial" w:hAnsi="arial" w:cs="arial"/>
            <w:i/>
            <w:color w:val="0077CC"/>
            <w:sz w:val="20"/>
            <w:u w:val="single"/>
            <w:shd w:val="clear" w:color="auto" w:fill="FFFFFF"/>
            <w:lang w:val="en-US" w:eastAsia="en-US" w:bidi="ar-SA"/>
          </w:rPr>
          <w:t>2008 BCSC 779</w:t>
        </w:r>
      </w:hyperlink>
      <w:r>
        <w:rPr>
          <w:rFonts w:ascii="arial" w:eastAsia="arial" w:hAnsi="arial" w:cs="arial"/>
          <w:color w:val="000000"/>
          <w:sz w:val="20"/>
          <w:lang w:val="en-US" w:eastAsia="en-US" w:bidi="ar-SA"/>
        </w:rPr>
        <w:t>, where Madam Justice Griffin said at paras. 128 to 130:</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128. The plaintiff cites the maxim that in assessing damages "everything is presumed against the spoiler or wrongdoer", or </w:t>
      </w:r>
      <w:r>
        <w:rPr>
          <w:rFonts w:ascii="arial" w:eastAsia="arial" w:hAnsi="arial" w:cs="arial"/>
          <w:i/>
          <w:color w:val="000000"/>
          <w:sz w:val="20"/>
          <w:lang w:val="en-US" w:eastAsia="en-US" w:bidi="ar-SA"/>
        </w:rPr>
        <w:t>omnia praesumuntur contra spoliatorem.</w:t>
      </w:r>
      <w:r>
        <w:rPr>
          <w:rFonts w:ascii="arial" w:eastAsia="arial" w:hAnsi="arial" w:cs="arial"/>
          <w:color w:val="000000"/>
          <w:sz w:val="20"/>
          <w:lang w:val="en-US" w:eastAsia="en-US" w:bidi="ar-SA"/>
        </w:rPr>
        <w:t xml:space="preserve"> The authorities indicate that where the nature of the wrong itself makes it difficult for the plaintiff to establish a loss or where the critical facts are peculiarly within the defendant's knowledge, this maxim will be invoked for the plaintiff's benefit: </w:t>
      </w:r>
      <w:r>
        <w:rPr>
          <w:rFonts w:ascii="arial" w:eastAsia="arial" w:hAnsi="arial" w:cs="arial"/>
          <w:i/>
          <w:color w:val="000000"/>
          <w:sz w:val="20"/>
          <w:lang w:val="en-US" w:eastAsia="en-US" w:bidi="ar-SA"/>
        </w:rPr>
        <w:t>Ticketnet Corp v. Air Canada</w:t>
      </w:r>
      <w:r>
        <w:rPr>
          <w:rFonts w:ascii="arial" w:eastAsia="arial" w:hAnsi="arial" w:cs="arial"/>
          <w:color w:val="000000"/>
          <w:sz w:val="20"/>
          <w:lang w:val="en-US" w:eastAsia="en-US" w:bidi="ar-SA"/>
        </w:rPr>
        <w:t xml:space="preserve"> </w:t>
      </w:r>
      <w:hyperlink r:id="rId512" w:history="1">
        <w:r>
          <w:rPr>
            <w:rFonts w:ascii="arial" w:eastAsia="arial" w:hAnsi="arial" w:cs="arial"/>
            <w:i/>
            <w:color w:val="0077CC"/>
            <w:sz w:val="20"/>
            <w:u w:val="single"/>
            <w:shd w:val="clear" w:color="auto" w:fill="FFFFFF"/>
            <w:lang w:val="en-US" w:eastAsia="en-US" w:bidi="ar-SA"/>
          </w:rPr>
          <w:t>(1997), 154 D.L.R. (4th) 271</w:t>
        </w:r>
      </w:hyperlink>
      <w:r>
        <w:rPr>
          <w:rFonts w:ascii="arial" w:eastAsia="arial" w:hAnsi="arial" w:cs="arial"/>
          <w:color w:val="000000"/>
          <w:sz w:val="20"/>
          <w:lang w:val="en-US" w:eastAsia="en-US" w:bidi="ar-SA"/>
        </w:rPr>
        <w:t xml:space="preserve"> at para. 85, </w:t>
      </w:r>
      <w:hyperlink r:id="rId512" w:history="1">
        <w:r>
          <w:rPr>
            <w:rFonts w:ascii="arial" w:eastAsia="arial" w:hAnsi="arial" w:cs="arial"/>
            <w:i/>
            <w:color w:val="0077CC"/>
            <w:sz w:val="20"/>
            <w:u w:val="single"/>
            <w:shd w:val="clear" w:color="auto" w:fill="FFFFFF"/>
            <w:lang w:val="en-US" w:eastAsia="en-US" w:bidi="ar-SA"/>
          </w:rPr>
          <w:t>105 O.A.C. 87</w:t>
        </w:r>
      </w:hyperlink>
      <w:r>
        <w:rPr>
          <w:rFonts w:ascii="arial" w:eastAsia="arial" w:hAnsi="arial" w:cs="arial"/>
          <w:color w:val="000000"/>
          <w:sz w:val="20"/>
          <w:lang w:val="en-US" w:eastAsia="en-US" w:bidi="ar-SA"/>
        </w:rPr>
        <w:t xml:space="preserve"> (Ont. C.A.), leave to appeal to S.C.C. refused, </w:t>
      </w:r>
      <w:hyperlink r:id="rId516" w:history="1">
        <w:r>
          <w:rPr>
            <w:rFonts w:ascii="arial" w:eastAsia="arial" w:hAnsi="arial" w:cs="arial"/>
            <w:i/>
            <w:color w:val="0077CC"/>
            <w:sz w:val="20"/>
            <w:u w:val="single"/>
            <w:shd w:val="clear" w:color="auto" w:fill="FFFFFF"/>
            <w:lang w:val="en-US" w:eastAsia="en-US" w:bidi="ar-SA"/>
          </w:rPr>
          <w:t>[1998] S.C.C.A. 4</w:t>
        </w:r>
      </w:hyperlink>
      <w:r>
        <w:rPr>
          <w:rFonts w:ascii="arial" w:eastAsia="arial" w:hAnsi="arial" w:cs="arial"/>
          <w:color w:val="000000"/>
          <w:sz w:val="20"/>
          <w:lang w:val="en-US" w:eastAsia="en-US" w:bidi="ar-SA"/>
        </w:rPr>
        <w:t xml:space="preserve">, </w:t>
      </w:r>
      <w:hyperlink r:id="rId516" w:history="1">
        <w:r>
          <w:rPr>
            <w:rFonts w:ascii="arial" w:eastAsia="arial" w:hAnsi="arial" w:cs="arial"/>
            <w:i/>
            <w:color w:val="0077CC"/>
            <w:sz w:val="20"/>
            <w:u w:val="single"/>
            <w:shd w:val="clear" w:color="auto" w:fill="FFFFFF"/>
            <w:lang w:val="en-US" w:eastAsia="en-US" w:bidi="ar-SA"/>
          </w:rPr>
          <w:t>161 D.L.R. (4th) viii</w:t>
        </w:r>
      </w:hyperlink>
      <w:r>
        <w:rPr>
          <w:rFonts w:ascii="arial" w:eastAsia="arial" w:hAnsi="arial" w:cs="arial"/>
          <w:color w:val="000000"/>
          <w:sz w:val="20"/>
          <w:lang w:val="en-US" w:eastAsia="en-US" w:bidi="ar-SA"/>
        </w:rPr>
        <w:t xml:space="preserve">. para55 129. Although the general burden of proof lies upon a plaintiff to prove the loss for which compensation is claimed, courts have consistently held that if a plaintiff establishes that a loss has been suffered, the difficulty of determining the amount of it does not excuse the wrongdoer from paying damages: S.M. Waddams, </w:t>
      </w:r>
      <w:r>
        <w:rPr>
          <w:rFonts w:ascii="arial" w:eastAsia="arial" w:hAnsi="arial" w:cs="arial"/>
          <w:i/>
          <w:color w:val="000000"/>
          <w:sz w:val="20"/>
          <w:lang w:val="en-US" w:eastAsia="en-US" w:bidi="ar-SA"/>
        </w:rPr>
        <w:t>Law of Damages,</w:t>
      </w:r>
      <w:r>
        <w:rPr>
          <w:rFonts w:ascii="arial" w:eastAsia="arial" w:hAnsi="arial" w:cs="arial"/>
          <w:color w:val="000000"/>
          <w:sz w:val="20"/>
          <w:lang w:val="en-US" w:eastAsia="en-US" w:bidi="ar-SA"/>
        </w:rPr>
        <w:t xml:space="preserve"> loose-leaf (Aurora, Ont.: Canada Law Book, 2007) at 13-2; </w:t>
      </w:r>
      <w:r>
        <w:rPr>
          <w:rFonts w:ascii="arial" w:eastAsia="arial" w:hAnsi="arial" w:cs="arial"/>
          <w:i/>
          <w:color w:val="000000"/>
          <w:sz w:val="20"/>
          <w:lang w:val="en-US" w:eastAsia="en-US" w:bidi="ar-SA"/>
        </w:rPr>
        <w:t>Webster v. Ernst &amp; Young</w:t>
      </w:r>
      <w:r>
        <w:rPr>
          <w:rFonts w:ascii="arial" w:eastAsia="arial" w:hAnsi="arial" w:cs="arial"/>
          <w:color w:val="000000"/>
          <w:sz w:val="20"/>
          <w:lang w:val="en-US" w:eastAsia="en-US" w:bidi="ar-SA"/>
        </w:rPr>
        <w:t xml:space="preserve">, </w:t>
      </w:r>
      <w:hyperlink r:id="rId517" w:history="1">
        <w:r>
          <w:rPr>
            <w:rFonts w:ascii="arial" w:eastAsia="arial" w:hAnsi="arial" w:cs="arial"/>
            <w:i/>
            <w:color w:val="0077CC"/>
            <w:sz w:val="20"/>
            <w:u w:val="single"/>
            <w:shd w:val="clear" w:color="auto" w:fill="FFFFFF"/>
            <w:lang w:val="en-US" w:eastAsia="en-US" w:bidi="ar-SA"/>
          </w:rPr>
          <w:t>2000 BCCA 229</w:t>
        </w:r>
      </w:hyperlink>
      <w:r>
        <w:rPr>
          <w:rFonts w:ascii="arial" w:eastAsia="arial" w:hAnsi="arial" w:cs="arial"/>
          <w:color w:val="000000"/>
          <w:sz w:val="20"/>
          <w:lang w:val="en-US" w:eastAsia="en-US" w:bidi="ar-SA"/>
        </w:rPr>
        <w:t xml:space="preserve">, </w:t>
      </w:r>
      <w:hyperlink r:id="rId517" w:history="1">
        <w:r>
          <w:rPr>
            <w:rFonts w:ascii="arial" w:eastAsia="arial" w:hAnsi="arial" w:cs="arial"/>
            <w:i/>
            <w:color w:val="0077CC"/>
            <w:sz w:val="20"/>
            <w:u w:val="single"/>
            <w:shd w:val="clear" w:color="auto" w:fill="FFFFFF"/>
            <w:lang w:val="en-US" w:eastAsia="en-US" w:bidi="ar-SA"/>
          </w:rPr>
          <w:t>75 B.C.L.R. (3d) 169</w:t>
        </w:r>
      </w:hyperlink>
      <w:r>
        <w:rPr>
          <w:rFonts w:ascii="arial" w:eastAsia="arial" w:hAnsi="arial" w:cs="arial"/>
          <w:color w:val="000000"/>
          <w:sz w:val="20"/>
          <w:lang w:val="en-US" w:eastAsia="en-US" w:bidi="ar-SA"/>
        </w:rPr>
        <w:t xml:space="preserve"> at para. 22 leave to appeal to S.C.C. refused, 2000 S.C.C.A. No. 263.</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are to be assessed by the court, not calculated, and in my view the plaintiff has proven sufficient facts on which to make a fair and reasonable estimate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maxim invoked by Fill-More is not entirely relevant or applicable. It normally assists a plaintiff whose assessment or calculation of loss is made difficult because information is peculiarly within the defendant's knowledge and that party will not disclose relevant information or has otherwise made obtaining such information difficult. The defendant then attacks the plaintiff's calculations or relies on the plaintiff's burden of proof and argues that that burden has not been satisfied. In this case, Mr. Lunde's task was made more difficult because Mr. Taeb was not forthcoming with accounting information when asked. At the same time, however, in this case, Victoria Seeds not only says that Fill-More's assessment is inaccurate, it also advances its own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calculation or ledger relied on by Victoria Seeds is a one page document which Mr. Taeb said was originally created in early 2006 and which was supplemented contemporaneously by Mr. Taeb or his son as orders were placed or payments were made to Fill-More by Victoria Seeds. It is a document which contains numerous transactions and payments, all ostensibly made by Victoria Seeds, that are not contained on Mr. Lunde's calculation. Its earliest entries are made months before the first transactions on Mr. Lunde's calculation. These extra transactions and payments total some hundreds of thousands of dollars. Nevertheless, the Victoria Seeds calculation acknowledges a debt to Fill-More of $48,167.32. Not surprisingly, the outstanding balance of the amount due from Victoria Seeds to Fill-More at any given point in time is different in the two 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Victoria Seeds ledger complies with the requirements of s. 42 of the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124</w:t>
      </w:r>
      <w:r>
        <w:rPr>
          <w:rFonts w:ascii="arial" w:eastAsia="arial" w:hAnsi="arial" w:cs="arial"/>
          <w:color w:val="000000"/>
          <w:sz w:val="20"/>
          <w:lang w:val="en-US" w:eastAsia="en-US" w:bidi="ar-SA"/>
        </w:rPr>
        <w:t>, and thus is to be admitted into evidence. Indeed, there was no objection taken to the document being admitted into evidence. The weight it is to be given is a very different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Setak Computer Services Corporation Ltd. v. Burroughs Business Machines Ltd.,</w:t>
      </w:r>
      <w:r>
        <w:rPr>
          <w:rFonts w:ascii="arial" w:eastAsia="arial" w:hAnsi="arial" w:cs="arial"/>
          <w:color w:val="000000"/>
          <w:sz w:val="20"/>
          <w:lang w:val="en-US" w:eastAsia="en-US" w:bidi="ar-SA"/>
        </w:rPr>
        <w:t xml:space="preserve"> </w:t>
      </w:r>
      <w:hyperlink r:id="rId518" w:history="1">
        <w:r>
          <w:rPr>
            <w:rFonts w:ascii="arial" w:eastAsia="arial" w:hAnsi="arial" w:cs="arial"/>
            <w:i/>
            <w:color w:val="0077CC"/>
            <w:sz w:val="20"/>
            <w:u w:val="single"/>
            <w:shd w:val="clear" w:color="auto" w:fill="FFFFFF"/>
            <w:lang w:val="en-US" w:eastAsia="en-US" w:bidi="ar-SA"/>
          </w:rPr>
          <w:t>15 O.R. (2d) 750</w:t>
        </w:r>
      </w:hyperlink>
      <w:r>
        <w:rPr>
          <w:rFonts w:ascii="arial" w:eastAsia="arial" w:hAnsi="arial" w:cs="arial"/>
          <w:color w:val="000000"/>
          <w:sz w:val="20"/>
          <w:lang w:val="en-US" w:eastAsia="en-US" w:bidi="ar-SA"/>
        </w:rPr>
        <w:t xml:space="preserve">, </w:t>
      </w:r>
      <w:hyperlink r:id="rId518" w:history="1">
        <w:r>
          <w:rPr>
            <w:rFonts w:ascii="arial" w:eastAsia="arial" w:hAnsi="arial" w:cs="arial"/>
            <w:i/>
            <w:color w:val="0077CC"/>
            <w:sz w:val="20"/>
            <w:u w:val="single"/>
            <w:shd w:val="clear" w:color="auto" w:fill="FFFFFF"/>
            <w:lang w:val="en-US" w:eastAsia="en-US" w:bidi="ar-SA"/>
          </w:rPr>
          <w:t>76 D.L.R. (3d) 641</w:t>
        </w:r>
      </w:hyperlink>
      <w:r>
        <w:rPr>
          <w:rFonts w:ascii="arial" w:eastAsia="arial" w:hAnsi="arial" w:cs="arial"/>
          <w:color w:val="000000"/>
          <w:sz w:val="20"/>
          <w:lang w:val="en-US" w:eastAsia="en-US" w:bidi="ar-SA"/>
        </w:rPr>
        <w:t xml:space="preserve"> (Ont. C.J.), the court, in dealing with the Ontario equivalent of s. 42, said at para. 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view that once the writings or records meet the criteria of s. 36, the Court has no discretion as to whether or not they should be admitted, but may in the circumstances attach no weight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Setak</w:t>
      </w:r>
      <w:r>
        <w:rPr>
          <w:rFonts w:ascii="arial" w:eastAsia="arial" w:hAnsi="arial" w:cs="arial"/>
          <w:color w:val="000000"/>
          <w:sz w:val="20"/>
          <w:lang w:val="en-US" w:eastAsia="en-US" w:bidi="ar-SA"/>
        </w:rPr>
        <w:t xml:space="preserve"> has been followed in British Columbia in </w:t>
      </w:r>
      <w:r>
        <w:rPr>
          <w:rFonts w:ascii="arial" w:eastAsia="arial" w:hAnsi="arial" w:cs="arial"/>
          <w:i/>
          <w:color w:val="000000"/>
          <w:sz w:val="20"/>
          <w:lang w:val="en-US" w:eastAsia="en-US" w:bidi="ar-SA"/>
        </w:rPr>
        <w:t>Olynyk v. Yeo</w:t>
      </w:r>
      <w:r>
        <w:rPr>
          <w:rFonts w:ascii="arial" w:eastAsia="arial" w:hAnsi="arial" w:cs="arial"/>
          <w:color w:val="000000"/>
          <w:sz w:val="20"/>
          <w:lang w:val="en-US" w:eastAsia="en-US" w:bidi="ar-SA"/>
        </w:rPr>
        <w:t xml:space="preserve"> </w:t>
      </w:r>
      <w:hyperlink r:id="rId519" w:history="1">
        <w:r>
          <w:rPr>
            <w:rFonts w:ascii="arial" w:eastAsia="arial" w:hAnsi="arial" w:cs="arial"/>
            <w:i/>
            <w:color w:val="0077CC"/>
            <w:sz w:val="20"/>
            <w:u w:val="single"/>
            <w:shd w:val="clear" w:color="auto" w:fill="FFFFFF"/>
            <w:lang w:val="en-US" w:eastAsia="en-US" w:bidi="ar-SA"/>
          </w:rPr>
          <w:t>(1988), 33 B.C.L.R. (2d) 247</w:t>
        </w:r>
      </w:hyperlink>
      <w:r>
        <w:rPr>
          <w:rFonts w:ascii="arial" w:eastAsia="arial" w:hAnsi="arial" w:cs="arial"/>
          <w:color w:val="000000"/>
          <w:sz w:val="20"/>
          <w:lang w:val="en-US" w:eastAsia="en-US" w:bidi="ar-SA"/>
        </w:rPr>
        <w:t xml:space="preserve">, </w:t>
      </w:r>
      <w:hyperlink r:id="rId519" w:history="1">
        <w:r>
          <w:rPr>
            <w:rFonts w:ascii="arial" w:eastAsia="arial" w:hAnsi="arial" w:cs="arial"/>
            <w:i/>
            <w:color w:val="0077CC"/>
            <w:sz w:val="20"/>
            <w:u w:val="single"/>
            <w:shd w:val="clear" w:color="auto" w:fill="FFFFFF"/>
            <w:lang w:val="en-US" w:eastAsia="en-US" w:bidi="ar-SA"/>
          </w:rPr>
          <w:t>55 D.L.R. (4th) 294</w:t>
        </w:r>
      </w:hyperlink>
      <w:r>
        <w:rPr>
          <w:rFonts w:ascii="arial" w:eastAsia="arial" w:hAnsi="arial" w:cs="arial"/>
          <w:color w:val="000000"/>
          <w:sz w:val="20"/>
          <w:lang w:val="en-US" w:eastAsia="en-US" w:bidi="ar-SA"/>
        </w:rPr>
        <w:t xml:space="preserve"> (C.A.) and in </w:t>
      </w:r>
      <w:r>
        <w:rPr>
          <w:rFonts w:ascii="arial" w:eastAsia="arial" w:hAnsi="arial" w:cs="arial"/>
          <w:i/>
          <w:color w:val="000000"/>
          <w:sz w:val="20"/>
          <w:lang w:val="en-US" w:eastAsia="en-US" w:bidi="ar-SA"/>
        </w:rPr>
        <w:t>Can-Dive Services Ltd. v. Pacific Coast Energy Corp.</w:t>
      </w:r>
      <w:r>
        <w:rPr>
          <w:rFonts w:ascii="arial" w:eastAsia="arial" w:hAnsi="arial" w:cs="arial"/>
          <w:color w:val="000000"/>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100 B.C.L.R. (2d) 356</w:t>
        </w:r>
      </w:hyperlink>
      <w:r>
        <w:rPr>
          <w:rFonts w:ascii="arial" w:eastAsia="arial" w:hAnsi="arial" w:cs="arial"/>
          <w:color w:val="000000"/>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[1995] 3 W.W.R. 706</w:t>
        </w:r>
      </w:hyperlink>
      <w:r>
        <w:rPr>
          <w:rFonts w:ascii="arial" w:eastAsia="arial" w:hAnsi="arial" w:cs="arial"/>
          <w:color w:val="000000"/>
          <w:sz w:val="20"/>
          <w:lang w:val="en-US" w:eastAsia="en-US" w:bidi="ar-SA"/>
        </w:rPr>
        <w:t xml:space="preserve">. Each of </w:t>
      </w:r>
      <w:r>
        <w:rPr>
          <w:rFonts w:ascii="arial" w:eastAsia="arial" w:hAnsi="arial" w:cs="arial"/>
          <w:i/>
          <w:color w:val="000000"/>
          <w:sz w:val="20"/>
          <w:lang w:val="en-US" w:eastAsia="en-US" w:bidi="ar-SA"/>
        </w:rPr>
        <w:t>Strata Plan LMS 3854 v. Homer Street Development Limited Partnership</w:t>
      </w:r>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shd w:val="clear" w:color="auto" w:fill="FFFFFF"/>
            <w:lang w:val="en-US" w:eastAsia="en-US" w:bidi="ar-SA"/>
          </w:rPr>
          <w:t>2007 BCSC 1265</w:t>
        </w:r>
      </w:hyperlink>
      <w:r>
        <w:rPr>
          <w:rFonts w:ascii="arial" w:eastAsia="arial" w:hAnsi="arial" w:cs="arial"/>
          <w:color w:val="000000"/>
          <w:sz w:val="20"/>
          <w:lang w:val="en-US" w:eastAsia="en-US" w:bidi="ar-SA"/>
        </w:rPr>
        <w:t xml:space="preserve">, at para. 31, and </w:t>
      </w:r>
      <w:r>
        <w:rPr>
          <w:rFonts w:ascii="arial" w:eastAsia="arial" w:hAnsi="arial" w:cs="arial"/>
          <w:i/>
          <w:color w:val="000000"/>
          <w:sz w:val="20"/>
          <w:lang w:val="en-US" w:eastAsia="en-US" w:bidi="ar-SA"/>
        </w:rPr>
        <w:t>O'Rourke v. Claire</w:t>
      </w:r>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(1997), 32 B.C.L.R. (3d) 104</w:t>
        </w:r>
      </w:hyperlink>
      <w:r>
        <w:rPr>
          <w:rFonts w:ascii="arial" w:eastAsia="arial" w:hAnsi="arial" w:cs="arial"/>
          <w:color w:val="000000"/>
          <w:sz w:val="20"/>
          <w:lang w:val="en-US" w:eastAsia="en-US" w:bidi="ar-SA"/>
        </w:rPr>
        <w:t>, at para. 28, also address the difference between admitting a record or document into evidence under s. 42 and the weight to be given to that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For several reasons I have declined to give weight to the Victoria Seeds calculation or ledger:</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Importantly, and at bottom, it is a single document intended to address a central issue in this action. It is unsupported by any underlying documentation whatsoever. It is a document which seeks to establish that Mr. Lunde's calculation is flawed because it fails to account for multiple Victoria Seeds payments or purchases and yet if a single one of its entries is inaccurate it too would generate a result that was incorrect. The fact that the payments were made by Victoria Seeds was acknowledged by Mr. Lunde. The various additional Victoria Seeds purchases are, however, completely unsupported by any records. Mr. Taeb conceded that only he knew which sales were for Victoria Seeds and which Victoria Pulse invoices were to be paid by Victoria Seeds. Victoria Seeds should have relevant invoices and cheques. At a minimum, it should have records showing which containers were shipped for Victoria Seeds.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Taeb said that he regularly did work in Victoria Packing's offices in the morning. He said that he kept a Victoria Seeds file there and that when his relations with Victoria Packing ended, he left the file there. This is an explanation that strains credulity. It does not explain why Victoria Seeds did not make any application to retrieve these materials from Victoria Packing. It is also difficult to imagine that all potentially relevant records would have been stored at the offices of Victoria Packing. This would include all records of purchases and payments by Victoria Seeds as well as the contracts and invoices to which each related. It would include internal accounting records for Victoria Pulse purchases paid for by Victoria Seeds. It would include all relevant e-mails. Indeed Mr. Taeb said he had sent Mr. Lunde e-mails expressly indicating who the consignees were on given contracts. With one exception, no such e-mails were produced by either party.</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Though on various occasions Mr. Taeb contested the amount being sought by Fill-More after receipt of its August 3, 2006 e-mail, he never referred to the calculation or ledger that Victoria Seeds now relies on. Indeed, the tenor and content of these communications is inconsistent with the accuracy or existence of the ledger. Thus, by way of example, in an e-mail dated September 21, 2006, Mr. Taeb ascribes much of the difference in the calculations being advanced by the parties to various issues relating to the weight of the products being shipped to Victoria Seeds or other finite issues. Mr. Taeb expressly asserts that it is these issues that are the source of the difference in the calculations of the parties.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Lunde said, and I accept, that he repeatedly asked Mr. Taeb to provide him with information that would enable him to undertake a complete and accurate reconciliation. Mr. Taeb never produced or so much as referred to the Victoria Seeds ledger until well after this action was commenced. One would have expected this would be one of the first things he produced when the issue of a proper accounting first arose.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Overlying all of this is my view that Mr. Taeb has not been forthright in his evidence and that his evidence cannot be relied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the result, I accept Fill-More's assessment or calculation of $67,244.86 as the amount owed to it by Victoria Seeds.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Apart from arguing that the Fill-More calculations were flawed, Victoria Seeds also advanced various arguments to reduce the amounts of certain invoices. The arguments were directed to concerns about the weight or quality of the product shipped by Fill-More to Victoria Seeds on earlier contracts. Furthermore, Mr. Taeb sought to receive, on behalf of Victoria Seeds, various discounts that had been negotiated between Mr. Stewart and Mr. Mobayen on behalf of Victoria Pulse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Each of Mr. Stewart and Mr. Lunde gave evidence that industry practice, which Fill-More followed, required that any dispute as to weight or quality had to be substantiated by scale tickets or a grading certificate obtained at the destination of the product. Furthermore, each of the relevant sales contracts contained a term which provided that "Shipper's Weights, Grades and Moisture to apply". Finally, Mr. Taeb accepted that Victoria Seeds was required under the Canadian Special Crops Association ("CSCA") Rules, which were incorporated into all of the contracts, to immediately communicate any dispute to Fill-More: CSCA Trade Rule 5(1). Here no such immediate communication was effected. Instead, all of these disparate concerns only appeared to surface after late July or early August 2006, when Fill-More began to press more forcefully for timely payment of its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am satisfied that the various weight and quality adjustments sought by Victoria Seeds, and the unilateral price adjustments it effected to some of Fill-More's accounts, are without basis. Further, I find that there was no basis for Victoria Seeds to seek or receive a price discount based on an earlier discount negotiated by Fill-More with Mr. Mobayen.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Was There a Legal Basis for Fill-More to Impose Additional Credit Terms on Victoria Seeds in Relation to Pending Supply Contracts?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legal basis for the foregoing enquiry arises from the Fill-More Statement of Defence to Counterclaim which states:</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Plaintiff was finally informed that the Defendant was not a company owned and controlled by Mr. Mobayen, it imposed credit terms on the Defendant which the Defendant refused to abide by.</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denies that it was in breach of contract ... and says that the non-delivery of the containers resulted solely from the Defendant in exceeding its credit terms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factual basis for the enquiry arises from the fact that in each of Mr. Stewart's late July 2006 conversation with Mr. Taeb, the August 3, 2006 e-mail and in the August 13 or 14, 2006 meeting between Mr. Stewart, Mr. Taeb and Mr. Taeb's son, Fill-More communicated that various credit terms had to be satisfied before Fill-More would continue to deliver on existing Victoria Seeds contracts. There were three distinct credit terms discussed, only one of which is a source of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First, contracts between the parties required payment within 30 days. This was an existing term in all such contracts. Mr. Taeb said he understood that if Victoria Seeds failed to pay earlier invoices when due, Fill-More would be able to withhold further shipments. Fill-More's communication of its expectation that Victoria Seeds adhere to this term did not cause Fill-More to "impose" a new or different credit term into their existing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Fill-More's insistence that Victoria Seeds obtain EDC insurance only pertained, on Fill-More's own evidence, to future contracts and not to pending contracts. It is thus a requirement that is not relevant to the First or Second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Finally, Fill-More communicated that it would not ship under pending contracts if the sum of all outstanding Victoria Seeds contracts exceeded $100,000. This was a new term unilaterally imposed after the formation of the First and Second Contracts. It was likely a reasonable requirement based on a pragmatic concern arising from the fact that Fill-More had no working history with Victoria Seeds as a stand-alone company. As Mr. Stewart said, "I found out at the end of July that I was shipping to a company that I had no credit with. Extending $100,000 was a stretch of good faith. I thought $100,000 was more than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Nevertheless, the question which remains, is whether there was any principled basis upon which Fill-More could "impose" a credit term as a condition of shipping the product in the First and Second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It is not clear what legal theory Fill-More relies on in support of its actions. It is constrained in part by its pleadings. Paragraph 5 of its Statement of Defence to Counterclaim alleges:</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time up to the end of July 2006 did Mr. Taeb inform the Plaintiff that the orders on behalf of the Defendant were not for Mr. Mobayen's companies, but rather for a new company owned and controlled by Mr. Taeb.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Fill-More argues that paragraph 5 supports a pleading of misrepresentation though it does not say whether this misrepresentation is innocent, negligent or fraudulent. Indeed, it does not do so expressly in its submissions though the cases it relies on deal with all three forms of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It is further constrained by the legal remedies which attach to a claim of misrepresentation. Finally, it is constrained by the evidence of Messrs. Stewart and Lunde.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Even if one accepts that paragraph 5 of Fill-More's Statement of Defence to Counterclaim constitutes a sufficient pleading of misrepresentation, this does not assist Fill-More. While each of innocent and fraudulent misrepresentation can, in certain circumstances, enable a party to rescind a contract, neither doctrine allows the representee to an executory contract to amend the terms of that contract or to insist on the inclusion of new terms to the contract: Fridman, </w:t>
      </w:r>
      <w:r>
        <w:rPr>
          <w:rFonts w:ascii="arial" w:eastAsia="arial" w:hAnsi="arial" w:cs="arial"/>
          <w:i/>
          <w:color w:val="000000"/>
          <w:sz w:val="20"/>
          <w:lang w:val="en-US" w:eastAsia="en-US" w:bidi="ar-SA"/>
        </w:rPr>
        <w:t>The Law of Contract in Canada</w:t>
      </w:r>
      <w:r>
        <w:rPr>
          <w:rFonts w:ascii="arial" w:eastAsia="arial" w:hAnsi="arial" w:cs="arial"/>
          <w:color w:val="000000"/>
          <w:sz w:val="20"/>
          <w:lang w:val="en-US" w:eastAsia="en-US" w:bidi="ar-SA"/>
        </w:rPr>
        <w:t>, 5th ed., (Toronto: Thomson Canada Limited, 2006) at 287-301. Nevertheless, this is exactly what Fill-More, based on the evidence of Messrs. Stewart and Lunde, sought to do. In its final submissions, Fill-More argues: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brief, the Defendant induced the Plaintiff to enter the Counterclaim Contracts on the basis of the misrepresentation. When the Plaintiff discovered the misrepresentation, it stated an unequivocal intention not to proceed with the contracts unless the credit terms stated in its August 3, 2006 e-mail were complied with. The Defendant never complied with those terms, and it is for that reason alone that the Counterclaim Contracts were not shipped once containers became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course of conduct which Fill-More describes cannot be justified on the basis of any misrepresentation by Mr. Taeb. Even if Mr. Taeb's conduct, on behalf of Victoria Seeds, would have allowed Fill-More to rescind the First and Second Contracts, this is not what Fill-More chose to do. It did not rescind these contracts. In </w:t>
      </w:r>
      <w:r>
        <w:rPr>
          <w:rFonts w:ascii="arial" w:eastAsia="arial" w:hAnsi="arial" w:cs="arial"/>
          <w:i/>
          <w:color w:val="000000"/>
          <w:sz w:val="20"/>
          <w:lang w:val="en-US" w:eastAsia="en-US" w:bidi="ar-SA"/>
        </w:rPr>
        <w:t>Celgar Ltd. v. Star Bulk Shipping Co.</w:t>
      </w: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[1976] B.C.J. No. 636</w:t>
        </w:r>
      </w:hyperlink>
      <w:r>
        <w:rPr>
          <w:rFonts w:ascii="arial" w:eastAsia="arial" w:hAnsi="arial" w:cs="arial"/>
          <w:color w:val="000000"/>
          <w:sz w:val="20"/>
          <w:lang w:val="en-US" w:eastAsia="en-US" w:bidi="ar-SA"/>
        </w:rPr>
        <w:t xml:space="preserve"> (C.A.), the court said at para. 73:</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"Rescission (except by mutual consent or by a competent court)" said Lord Sumner in </w:t>
      </w:r>
      <w:r>
        <w:rPr>
          <w:rFonts w:ascii="arial" w:eastAsia="arial" w:hAnsi="arial" w:cs="arial"/>
          <w:i/>
          <w:color w:val="000000"/>
          <w:sz w:val="20"/>
          <w:lang w:val="en-US" w:eastAsia="en-US" w:bidi="ar-SA"/>
        </w:rPr>
        <w:t>Hirji Mulji v. Cheong Yue Steamship Co. Ltd.</w:t>
      </w:r>
      <w:r>
        <w:rPr>
          <w:rFonts w:ascii="arial" w:eastAsia="arial" w:hAnsi="arial" w:cs="arial"/>
          <w:color w:val="000000"/>
          <w:sz w:val="20"/>
          <w:lang w:val="en-US" w:eastAsia="en-US" w:bidi="ar-SA"/>
        </w:rPr>
        <w:t xml:space="preserve"> [1926] A.C. 497, 509, "is the right of one party, arising upon conduct by the other, by which he intimates his intention to abide by the contract no longer. It is a right to treat the contract as at an end if he chooses, and to claim damages for its total breach, but it is a right in his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Here, Fill-More did not treat the First and Second Contracts at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Instead, I find that Fill-More expressed an ongoing willingness to perform under the First and Second Contracts, albeit on different credit terms. That option was not open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Victoria Seeds argued that Fill-More was also unable to make out a claim of unilateral mistake - an issue not raised directly by Fill-More. Even if Fill-More could establish the constituent components of a claim for unilateral mistake, its position would not be advanced. The potential remedies available for unilateral mistake include, in limited circumstances, rescission: </w:t>
      </w:r>
      <w:r>
        <w:rPr>
          <w:rFonts w:ascii="arial" w:eastAsia="arial" w:hAnsi="arial" w:cs="arial"/>
          <w:i/>
          <w:color w:val="000000"/>
          <w:sz w:val="20"/>
          <w:lang w:val="en-US" w:eastAsia="en-US" w:bidi="ar-SA"/>
        </w:rPr>
        <w:t>Milinx Marketing Group Inc. v. ABC Inc.</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[1999] B.C.J. No. 958</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Windjammer Homes Inc. v. Generation Enterprises</w:t>
      </w:r>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43 B.L.R. 315</w:t>
        </w:r>
      </w:hyperlink>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[1989] B.C.J. No. 278</w:t>
        </w:r>
      </w:hyperlink>
      <w:r>
        <w:rPr>
          <w:rFonts w:ascii="arial" w:eastAsia="arial" w:hAnsi="arial" w:cs="arial"/>
          <w:color w:val="000000"/>
          <w:sz w:val="20"/>
          <w:lang w:val="en-US" w:eastAsia="en-US" w:bidi="ar-SA"/>
        </w:rPr>
        <w:t xml:space="preserve"> (S.C.). Again, at no time after Fill-More learned about the true status of Victoria Seeds did it rescind the First and Second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There is then no basis which is supported by the pleadings and which is consistent with the evidence of Fill-More that supports Fill-More's unilateral imposition of additional credit terms on Victoria Seeds for the First and Second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Did Fill-More Act Properly in Failing to Supply Victoria Seeds Under the First and Second Contracts?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First Contract required Fill-More to effect delivery between July 15, 2006 and July 31, 2006. The Second Contract required delivery between July 24, 2006 and August 15, 2006. As I have already noted, Mr. Stewart expressed Fill-More's position to Mr. Taeb with increasing precision in their late July 2006 conversation, the August 3, 2006 e-mail and during the August 13 or 14, 2006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Obviously, these latter two communications post-dated the time of delivery stipulated in the First Contract. There was a dispute between the parties about whether there was a shortage of containers during this period which would have potentially delayed delivery by Fill-More in any event. Each of Messrs. Stewart, Lunde and Mobayen were consistent in asserting that there was such a shortage during the period in question. Mr. Taeb claimed that there was not. The records indicate that a shipment to Victoria Seeds some weeks earlier was in fact delayed as a result of a shortage of containers. Accordingly, I find that there was such a shortage of containers. I do not believe, however, that this advances the position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CSCA Rules, which pertained to the First and Second Contracts, confirm that time is of the essence in relation to shipment timelines (Rule 12(2)). Rule 31(2) provides a seller with the right to declare an extension to the contractual shipment period. Here Fill-More did not seek to engage this entitlement. Rule 48(1) deals with circumstances of </w:t>
      </w:r>
      <w:r>
        <w:rPr>
          <w:rFonts w:ascii="arial" w:eastAsia="arial" w:hAnsi="arial" w:cs="arial"/>
          <w:i/>
          <w:color w:val="000000"/>
          <w:sz w:val="20"/>
          <w:lang w:val="en-US" w:eastAsia="en-US" w:bidi="ar-SA"/>
        </w:rPr>
        <w:t>force majeure</w:t>
      </w:r>
      <w:r>
        <w:rPr>
          <w:rFonts w:ascii="arial" w:eastAsia="arial" w:hAnsi="arial" w:cs="arial"/>
          <w:color w:val="000000"/>
          <w:sz w:val="20"/>
          <w:lang w:val="en-US" w:eastAsia="en-US" w:bidi="ar-SA"/>
        </w:rPr>
        <w:t xml:space="preserve"> and does not appear to apply. Apart from these issues, which arise from the framework imposed by the CSCA Rules, Fill-More's evidence of a container shortage was general in nature. There was no evidence of its severity or of the extent of the delays that ensued from the shortage. Finally, and most importantly, the conversations between Fill-More and Victoria Seeds about non-delivery took place in the context of Victoria Seeds "remaining current" rather than with any reference to a container shortage. Thus, while I accept that there appears to have been a container shortage during this period which may have delayed shipments, I do not accept that such shortages underlay Fill-More's failure to make delivery. Instead, I find that it was Victoria Seeds' failure to adhere to its new credit terms which gave rise to Fill-More's failure to perform under the First and Second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An examination of the financial records indicates that from June 29 to August 1, 2006 Victoria Seeds had accounts outstanding from earlier shipments that were more than 30 days overdue. This state of affairs was inconsistent with Fill-More's pre-existing credit terms and with Mr. Stewart's communication in late July and supported Fill-More's failure to deliver under the First and Second Contract. After August 1 until August 17, 2006, however, it was the fact that Victoria Seeds' total outstanding accounts exceeded $100,000 (or would after delivery under the First Contract) that Fill-More relies on as the basis for non-delivery under these contracts. Thus, during this period of time, it was Fill-More's new credit term that prevented it from effecting delivery. During this period of time there was no proper basis for Fill-More's refusal to perform under the First and Second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Fill-More referred to both the case of </w:t>
      </w:r>
      <w:r>
        <w:rPr>
          <w:rFonts w:ascii="arial" w:eastAsia="arial" w:hAnsi="arial" w:cs="arial"/>
          <w:i/>
          <w:color w:val="000000"/>
          <w:sz w:val="20"/>
          <w:lang w:val="en-US" w:eastAsia="en-US" w:bidi="ar-SA"/>
        </w:rPr>
        <w:t>Grainex Can. Ltd. (Trustee of) v. Canbra Foods Ltd.</w:t>
      </w:r>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(1987), 11 B.C.L.R. (2d) 1</w:t>
        </w:r>
      </w:hyperlink>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34 D.L.R. (4th) 646</w:t>
        </w:r>
      </w:hyperlink>
      <w:r>
        <w:rPr>
          <w:rFonts w:ascii="arial" w:eastAsia="arial" w:hAnsi="arial" w:cs="arial"/>
          <w:color w:val="000000"/>
          <w:sz w:val="20"/>
          <w:lang w:val="en-US" w:eastAsia="en-US" w:bidi="ar-SA"/>
        </w:rPr>
        <w:t xml:space="preserve"> (C.A.) and to s. 44(1)(c) of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410</w:t>
      </w:r>
      <w:r>
        <w:rPr>
          <w:rFonts w:ascii="arial" w:eastAsia="arial" w:hAnsi="arial" w:cs="arial"/>
          <w:color w:val="000000"/>
          <w:sz w:val="20"/>
          <w:lang w:val="en-US" w:eastAsia="en-US" w:bidi="ar-SA"/>
        </w:rPr>
        <w:t xml:space="preserve">, as additional grounds justifying its failure to deliver. </w:t>
      </w:r>
      <w:r>
        <w:rPr>
          <w:rFonts w:ascii="arial" w:eastAsia="arial" w:hAnsi="arial" w:cs="arial"/>
          <w:i/>
          <w:color w:val="000000"/>
          <w:sz w:val="20"/>
          <w:lang w:val="en-US" w:eastAsia="en-US" w:bidi="ar-SA"/>
        </w:rPr>
        <w:t>Grainex</w:t>
      </w:r>
      <w:r>
        <w:rPr>
          <w:rFonts w:ascii="arial" w:eastAsia="arial" w:hAnsi="arial" w:cs="arial"/>
          <w:color w:val="000000"/>
          <w:sz w:val="20"/>
          <w:lang w:val="en-US" w:eastAsia="en-US" w:bidi="ar-SA"/>
        </w:rPr>
        <w:t xml:space="preserve"> examines the rights of an unpaid vendor to a series of supply contracts when the purchaser makes an assignment into bankruptcy. Section 44(1)(c) allows an unpaid seller of goods to retain possession of such goods if the buyer becomes insolvent. The CSCA Rules deem a person to be insolvent if that person fails "to pay debts in the ordinary course of business". Fill-More argues that Victoria Seeds' repeated late payments meet this definition. I do not agree. The principles emerging from </w:t>
      </w:r>
      <w:r>
        <w:rPr>
          <w:rFonts w:ascii="arial" w:eastAsia="arial" w:hAnsi="arial" w:cs="arial"/>
          <w:i/>
          <w:color w:val="000000"/>
          <w:sz w:val="20"/>
          <w:lang w:val="en-US" w:eastAsia="en-US" w:bidi="ar-SA"/>
        </w:rPr>
        <w:t>Grainex</w:t>
      </w:r>
      <w:r>
        <w:rPr>
          <w:rFonts w:ascii="arial" w:eastAsia="arial" w:hAnsi="arial" w:cs="arial"/>
          <w:color w:val="000000"/>
          <w:sz w:val="20"/>
          <w:lang w:val="en-US" w:eastAsia="en-US" w:bidi="ar-SA"/>
        </w:rPr>
        <w:t xml:space="preserve"> and the basis of s. 44(1)(c) of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are both directed to suspending the obligations of a seller in instances where the buyer of goods is insolvent. Here, notwithstanding periodic late payments, Victoria Seeds was, as of August 1, 2006, fully current in the sense that its accounts were less than 30 days overdue. It was not insolvent and </w:t>
      </w:r>
      <w:r>
        <w:rPr>
          <w:rFonts w:ascii="arial" w:eastAsia="arial" w:hAnsi="arial" w:cs="arial"/>
          <w:i/>
          <w:color w:val="000000"/>
          <w:sz w:val="20"/>
          <w:lang w:val="en-US" w:eastAsia="en-US" w:bidi="ar-SA"/>
        </w:rPr>
        <w:t>Grainex</w:t>
      </w:r>
      <w:r>
        <w:rPr>
          <w:rFonts w:ascii="arial" w:eastAsia="arial" w:hAnsi="arial" w:cs="arial"/>
          <w:color w:val="000000"/>
          <w:sz w:val="20"/>
          <w:lang w:val="en-US" w:eastAsia="en-US" w:bidi="ar-SA"/>
        </w:rPr>
        <w:t xml:space="preserve"> and s. 44(1)(c) have no relevance to the circumstances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Can Victoria Seeds Make Out its Counterclaim and, in Particular, Did it Act Reasonably to Mitigate its Losses?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On July 14, 2006, Victoria Seeds entered into a contract with Etminan to sell 460 tonnes of green lentils at $350 per tonne, C&amp;F Dubai. The shipping dates for this contract were stipulated to be between July 31, 2006 and August 10, 2006. By August 24, 2006, the delivery date under the First Contract was more than three weeks overdue. Because of this, Victoria Seeds was also overdue on its contract with Etminan. Accordingly, Victoria Seeds authorized Etminan to purchase the lentils in the local Dubai market. The price in the local Dubai market was $450 per tonne. The additional cost to Etminan was $100 per tonne. On the contract of 460 tonnes, the difference is $46,000. Victoria Seeds then gave Etminan discounts on subsequent purchases to offset the additional amounts that Etminan had to pay to purchase the lentils in Dubai.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On July 18, 2006, Victoria Seeds entered into a contract with Ninja for 46 tonnes of green lentils. The price was $410 per tonne, C&amp;F Dubai. The contract did not have a specified shipping date, but provided the goods would be shipped two weeks after Victoria Seeds received a down payment. Ninja asked that Victoria Seeds "try" to have the goods shipped by the end of July or the first week of August at the latest. Mr. Taeb was unable to commit to delivery before the middle of August. When Fill-More did not perform under the Second Contract, Victoria Seeds entered into a contract with an entity called Prime Seeds for two containers of lentils at $370 per tonne, FOB Saskatoon. As a result of discussions between Victoria Seeds and Ninja, Mr. Taeb reached a compromise with Ninja under which Ninja would accept late delivery in exchange for a discount of $30 per tonne. Thus, Victoria Seeds both paid a premium for the lentils it acquired from Prime Seeds and was required to give Ninja the $30 per tonne discount. The combined value of these two components of its loss on the Ninja contract is $5,520.00.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claim advanced by Victoria Seeds for its loss under both the Ninja and Etminan contracts is $51,520.00.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Fill-More raised a number of arguments to address the Victoria Seeds counterclaim. One of these - that Victoria Seeds failed to mitigate its losses - is dispositive of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An authoritative statement of the principles governing the measure of damages for breach of contract and of the obligation of the wronged party to mitigate its losses is found in </w:t>
      </w:r>
      <w:r>
        <w:rPr>
          <w:rFonts w:ascii="arial" w:eastAsia="arial" w:hAnsi="arial" w:cs="arial"/>
          <w:i/>
          <w:color w:val="000000"/>
          <w:sz w:val="20"/>
          <w:lang w:val="en-US" w:eastAsia="en-US" w:bidi="ar-SA"/>
        </w:rPr>
        <w:t>Red Deer College v. Michaels</w:t>
      </w:r>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[1976] 2 S.C.R. 324</w:t>
        </w:r>
      </w:hyperlink>
      <w:r>
        <w:rPr>
          <w:rFonts w:ascii="arial" w:eastAsia="arial" w:hAnsi="arial" w:cs="arial"/>
          <w:color w:val="000000"/>
          <w:sz w:val="20"/>
          <w:lang w:val="en-US" w:eastAsia="en-US" w:bidi="ar-SA"/>
        </w:rPr>
        <w:t xml:space="preserve"> at 330-331: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primary rule in breach of contract cases, that a wronged plaintiff is entitled to be put in as good a position as he would have been in if there had been proper performance by the defendant, is subject to the qualification that the defendant cannot be called upon to pay for avoidable losses which would result in an increase in the quantum of damages payable to the plaintiff. The reference in the case law to a "duty" to mitigate should be understood in this sense.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short, a wronged plaintiff is entitled to recover damages for the losses he has suffered but the extent of those losses may depend on whether he has taken reasonable steps to avoid their unreasonable accumulation. In </w:t>
      </w:r>
      <w:r>
        <w:rPr>
          <w:rFonts w:ascii="arial" w:eastAsia="arial" w:hAnsi="arial" w:cs="arial"/>
          <w:i/>
          <w:color w:val="000000"/>
          <w:sz w:val="20"/>
          <w:lang w:val="en-US" w:eastAsia="en-US" w:bidi="ar-SA"/>
        </w:rPr>
        <w:t>Payzu Ltd. v. Saunders</w:t>
      </w:r>
      <w:r>
        <w:rPr>
          <w:rFonts w:ascii="arial" w:eastAsia="arial" w:hAnsi="arial" w:cs="arial"/>
          <w:color w:val="000000"/>
          <w:sz w:val="20"/>
          <w:lang w:val="en-US" w:eastAsia="en-US" w:bidi="ar-SA"/>
        </w:rPr>
        <w:t>, [1919] 2 K.B. 581, at p. 589, Scrutton, L.J. explained the matter in this 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Whether it be more correct to say that a plaintiff must minimize his damages, or to say that he can recover no more than he would have suffered if he had acted reasonably, because any further damages do not reasonably follow from the defendant's breach, the result is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These statements in </w:t>
      </w:r>
      <w:r>
        <w:rPr>
          <w:rFonts w:ascii="arial" w:eastAsia="arial" w:hAnsi="arial" w:cs="arial"/>
          <w:i/>
          <w:color w:val="000000"/>
          <w:sz w:val="20"/>
          <w:lang w:val="en-US" w:eastAsia="en-US" w:bidi="ar-SA"/>
        </w:rPr>
        <w:t>Red Deer College</w:t>
      </w:r>
      <w:r>
        <w:rPr>
          <w:rFonts w:ascii="arial" w:eastAsia="arial" w:hAnsi="arial" w:cs="arial"/>
          <w:color w:val="000000"/>
          <w:sz w:val="20"/>
          <w:lang w:val="en-US" w:eastAsia="en-US" w:bidi="ar-SA"/>
        </w:rPr>
        <w:t xml:space="preserve">, relating to the obligation of a wronged party to mitigate, have more recently been cited in </w:t>
      </w:r>
      <w:r>
        <w:rPr>
          <w:rFonts w:ascii="arial" w:eastAsia="arial" w:hAnsi="arial" w:cs="arial"/>
          <w:i/>
          <w:color w:val="000000"/>
          <w:sz w:val="20"/>
          <w:lang w:val="en-US" w:eastAsia="en-US" w:bidi="ar-SA"/>
        </w:rPr>
        <w:t>A. Estate v. B.C. Rail Ltd.</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1999 BCCA 773</w:t>
        </w:r>
      </w:hyperlink>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72 B.C.L.R. (3d) 227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Cunningham v. Slubowski</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2006 BCCA 220</w:t>
        </w:r>
      </w:hyperlink>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225 B.C.A.C. 224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English decision of </w:t>
      </w:r>
      <w:r>
        <w:rPr>
          <w:rFonts w:ascii="arial" w:eastAsia="arial" w:hAnsi="arial" w:cs="arial"/>
          <w:i/>
          <w:color w:val="000000"/>
          <w:sz w:val="20"/>
          <w:lang w:val="en-US" w:eastAsia="en-US" w:bidi="ar-SA"/>
        </w:rPr>
        <w:t>Payzu</w:t>
      </w:r>
      <w:r>
        <w:rPr>
          <w:rFonts w:ascii="arial" w:eastAsia="arial" w:hAnsi="arial" w:cs="arial"/>
          <w:color w:val="000000"/>
          <w:sz w:val="20"/>
          <w:lang w:val="en-US" w:eastAsia="en-US" w:bidi="ar-SA"/>
        </w:rPr>
        <w:t xml:space="preserve">, referred to by Laskin C.J. in </w:t>
      </w:r>
      <w:r>
        <w:rPr>
          <w:rFonts w:ascii="arial" w:eastAsia="arial" w:hAnsi="arial" w:cs="arial"/>
          <w:i/>
          <w:color w:val="000000"/>
          <w:sz w:val="20"/>
          <w:lang w:val="en-US" w:eastAsia="en-US" w:bidi="ar-SA"/>
        </w:rPr>
        <w:t>Red Deer College</w:t>
      </w:r>
      <w:r>
        <w:rPr>
          <w:rFonts w:ascii="arial" w:eastAsia="arial" w:hAnsi="arial" w:cs="arial"/>
          <w:color w:val="000000"/>
          <w:sz w:val="20"/>
          <w:lang w:val="en-US" w:eastAsia="en-US" w:bidi="ar-SA"/>
        </w:rPr>
        <w:t xml:space="preserve">, is factually similar to this case. In </w:t>
      </w:r>
      <w:r>
        <w:rPr>
          <w:rFonts w:ascii="arial" w:eastAsia="arial" w:hAnsi="arial" w:cs="arial"/>
          <w:i/>
          <w:color w:val="000000"/>
          <w:sz w:val="20"/>
          <w:lang w:val="en-US" w:eastAsia="en-US" w:bidi="ar-SA"/>
        </w:rPr>
        <w:t>Payzu</w:t>
      </w:r>
      <w:r>
        <w:rPr>
          <w:rFonts w:ascii="arial" w:eastAsia="arial" w:hAnsi="arial" w:cs="arial"/>
          <w:color w:val="000000"/>
          <w:sz w:val="20"/>
          <w:lang w:val="en-US" w:eastAsia="en-US" w:bidi="ar-SA"/>
        </w:rPr>
        <w:t>, the defendants were sellers of silk. They wrongfully repudiated the contract they had with the plaintiff buyers when they refused to deliver goods following a failure by the plaintiff to pay an instalment of the purchase price punctually. The sellers offered to deliver the goods if the plaintiff paid in cash. The plaintiff refused this offer and the goods were not delivered. When the price of silk rose, the buyers sued for non-delivery. It was held that though the sellers were in breach, the buyers had failed to mitigate since they should have accepted the sellers' offer to supply the goods on a cash basis. Hence, the damages payable to the buyers could only be measured in accordance with what would have been lost if the sellers' offer had been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Specifically, Scrutton L.J. said at 589: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must take "all reasonable steps to mitigate the loss consequent on the breach" and this principle "debars him from claiming any part of the damage which is due to his neglect to take such steps": </w:t>
      </w:r>
      <w:r>
        <w:rPr>
          <w:rFonts w:ascii="arial" w:eastAsia="arial" w:hAnsi="arial" w:cs="arial"/>
          <w:i/>
          <w:color w:val="000000"/>
          <w:sz w:val="20"/>
          <w:lang w:val="en-US" w:eastAsia="en-US" w:bidi="ar-SA"/>
        </w:rPr>
        <w:t>British Westinghouse Electric and Manufacturing Co. v. Underground Electric Railways Co. of London,</w:t>
      </w:r>
      <w:r>
        <w:rPr>
          <w:rFonts w:ascii="arial" w:eastAsia="arial" w:hAnsi="arial" w:cs="arial"/>
          <w:color w:val="000000"/>
          <w:sz w:val="20"/>
          <w:lang w:val="en-US" w:eastAsia="en-US" w:bidi="ar-SA"/>
        </w:rPr>
        <w:t xml:space="preserve"> per Lord Haldane, L.C. [Counsel for the plaintiffs] has contended that in considering what steps should be taken to mitigate the damage all contractual relations with the party in default must be excluded. That is contrary to my experience. In certain cases of personal service it may be unreasonable to expect a plaintiff to consider an offer from the other party who has grossly injured him; but in commercial contracts it is generally reasonable to accept an offer from the party in default. However, it is always a question of fact. About the law there is no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Recently, in </w:t>
      </w:r>
      <w:r>
        <w:rPr>
          <w:rFonts w:ascii="arial" w:eastAsia="arial" w:hAnsi="arial" w:cs="arial"/>
          <w:i/>
          <w:color w:val="000000"/>
          <w:sz w:val="20"/>
          <w:lang w:val="en-US" w:eastAsia="en-US" w:bidi="ar-SA"/>
        </w:rPr>
        <w:t>Husky Crane Service Inc. v. Danco Equipment Inc.</w:t>
      </w:r>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2009 BCSC 906</w:t>
        </w:r>
      </w:hyperlink>
      <w:r>
        <w:rPr>
          <w:rFonts w:ascii="arial" w:eastAsia="arial" w:hAnsi="arial" w:cs="arial"/>
          <w:color w:val="000000"/>
          <w:sz w:val="20"/>
          <w:lang w:val="en-US" w:eastAsia="en-US" w:bidi="ar-SA"/>
        </w:rPr>
        <w:t>, Smith J. said at para. 68: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trite law that the plaintiff has a duty to mitigate. As part of that duty, it is generally reasonable, at least in commercial contracts, to accept an offer from the party in default: </w:t>
      </w:r>
      <w:r>
        <w:rPr>
          <w:rFonts w:ascii="arial" w:eastAsia="arial" w:hAnsi="arial" w:cs="arial"/>
          <w:i/>
          <w:color w:val="000000"/>
          <w:sz w:val="20"/>
          <w:lang w:val="en-US" w:eastAsia="en-US" w:bidi="ar-SA"/>
        </w:rPr>
        <w:t>Payzu, Lim v. Saunders</w:t>
      </w:r>
      <w:r>
        <w:rPr>
          <w:rFonts w:ascii="arial" w:eastAsia="arial" w:hAnsi="arial" w:cs="arial"/>
          <w:color w:val="000000"/>
          <w:sz w:val="20"/>
          <w:lang w:val="en-US" w:eastAsia="en-US" w:bidi="ar-SA"/>
        </w:rPr>
        <w:t xml:space="preserve"> (1919), 89 L.J.K.B. 17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Here, based on the findings of fact I have made, Fill-More simply sought the payment of monies already owed by Victoria Seeds to effect delivery under the First and Second Contracts. Admittedly, in requiring that the global amount of Victoria Seeds indebtedness remain below $100,000, some payment of monies owing under other contracts which had not yet been outstanding for 30 days, would have been required. Had such payment been made, however, Fill-More was prepared to ship under the First and Second Contracts at the prices established in those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find that it was unreasonable for Victoria Seeds not to make the payments required by Fill-More, which were ultimately due in any event, and to instead obtain alternate product at an increased price in order to satisfy the Etminan and Ninja contracts. Had it made the payments in question when the issue of credit was first raised by Mr. Stewart in late July 2006 and in Fill-More's August 3, 2006 e-mail, the shipments to Etminan and Ninja could have still been effected in a timely way without there being any need to source and procure alternate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also note, though I have accepted Fill-More's calculation of the debt owed by Victoria Seeds, the fact that the parties disagreed about who owed what money to whom does not detract from the reasonableness of Victoria Seeds accepting Fill-More's credit terms to effect delivery of the product it required for Etminan and Ninja. The fact there was a disagreement between the parties was a matter that could be resolved or reconciled in due course. The amounts in dispute were relatively modest. Certainly, they did not warrant Victoria Seeds obtaining replacement product at a much increased price where Fill-More remained willing to supply Victoria Seeds under the First and Second Contracts at the original price provided for in those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Is Fill-More Entitled to a Contractual Rate of Interest?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Fill-More claims that it should receive interest in accordance with the CSCA Rules. However, in its Statement of Claim, it advanced a claim for interest under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Crown Packaging Ltd. v. Royse Sports Ltd.</w:t>
      </w:r>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[1997] B.C.J. No. 1421</w:t>
        </w:r>
      </w:hyperlink>
      <w:r>
        <w:rPr>
          <w:rFonts w:ascii="arial" w:eastAsia="arial" w:hAnsi="arial" w:cs="arial"/>
          <w:color w:val="000000"/>
          <w:sz w:val="20"/>
          <w:lang w:val="en-US" w:eastAsia="en-US" w:bidi="ar-SA"/>
        </w:rPr>
        <w:t xml:space="preserve"> (S.C.), the court, in refusing to grant contractual interest said:</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argument, the plaintiff sought prejudgment interest at the contractual rate of 19.56% per annum set out on Crown's invoices to Royse. The statement of claim only seeks prejudgment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R.S.B.C. 1979, c. 76. I am not prepared to award prejudgment interest at the higher rate in the face of that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Murray (Tony) &amp; Associates Co. Ltd. v. Law</w:t>
      </w:r>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(1991), 93 Nfld. &amp; P.E.I.R. 292</w:t>
        </w:r>
      </w:hyperlink>
      <w:r>
        <w:rPr>
          <w:rFonts w:ascii="arial" w:eastAsia="arial" w:hAnsi="arial" w:cs="arial"/>
          <w:color w:val="000000"/>
          <w:sz w:val="20"/>
          <w:lang w:val="en-US" w:eastAsia="en-US" w:bidi="ar-SA"/>
        </w:rPr>
        <w:t xml:space="preserve"> (S.C.), in similar circumstances, the court said at para. 202:</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fairness, the Statement of Claim claims interest under the </w:t>
      </w:r>
      <w:r>
        <w:rPr>
          <w:rFonts w:ascii="arial" w:eastAsia="arial" w:hAnsi="arial" w:cs="arial"/>
          <w:i/>
          <w:color w:val="000000"/>
          <w:sz w:val="20"/>
          <w:lang w:val="en-US" w:eastAsia="en-US" w:bidi="ar-SA"/>
        </w:rPr>
        <w:t>Judgement Interest Act</w:t>
      </w:r>
      <w:r>
        <w:rPr>
          <w:rFonts w:ascii="arial" w:eastAsia="arial" w:hAnsi="arial" w:cs="arial"/>
          <w:color w:val="000000"/>
          <w:sz w:val="20"/>
          <w:lang w:val="en-US" w:eastAsia="en-US" w:bidi="ar-SA"/>
        </w:rPr>
        <w:t xml:space="preserve"> only. The issue of contractual interest was raised only in the plaintiff's reply submission. In the circumstances, and especially where the plaintiff has successfully argued that the defence should be limited to issues arising from the pleadings, I do not find it appropriate to consider awarding interest at the contract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These latter comments are particularly apposite because Fill-More sought and succeeded, in an objection made mid-trial, in preventing Victoria Seeds from making a claim for lost profit on the Etminan and Ninja contracts on the basis of Victoria Seeds' pleadings. Under the circumstances, Fill-More's claim for contractual interest, under the CSCA Rules,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make the following specific orders: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Fill-More is to have judgment in the amount of $67,244.86 plus interest on that amount under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Victoria Seeds' counterclaim is dismissed;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Fill-More is to receive the costs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P.G. VOITH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3"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Foote v. Canada (Attorney General), [2012] B.C.J. No. 2432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R.S. Tindale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8,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22,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1036823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Prince George</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2432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1732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Nathan Clark Foote and Elly Foote, Plaintiffs, and The Attorney General of Canada and the Canada Revenue Agency,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4"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7" w:name="Keywords_27"/>
      <w:bookmarkEnd w:id="187"/>
      <w:r>
        <w:rPr>
          <w:rFonts w:ascii="arial" w:eastAsia="arial" w:hAnsi="arial" w:cs="arial"/>
          <w:b/>
          <w:color w:val="000000"/>
          <w:sz w:val="20"/>
          <w:lang w:val="en-US" w:eastAsia="en-US" w:bidi="ar-SA"/>
        </w:rPr>
        <w:t>Civil litigation — Civil procedure — Trials — Summary trials — Availability — Application by defendants for order dismissing plaintiffs' claim of misfeasance in public office dismissed — Canada Revenue Agency executed search warrant at plaintiffs' home and business during investigation for tax evasion — Plaintiffs initiated action against Attorney General of Canada and CRA — Defendants argued that claim was statute-barred — Court could not determine whether cause of action would have been apparent from information to obtain search warrant because court did not have it — It would be unjust to decide limitation issue.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Government law — Crown — Ministries, departments and agencies — Servants of the Crown — Agents of the Crown — Public officers — Actions by and against Crown — Crown's representation by Attorney General — Abuse of public office — Statutory defences, immunities and bars to actions — Practice and procedure — Limitation periods — Application by defendants for order dismissing plaintiffs' claim of misfeasance in public office dismissed — Canada Revenue Agency executed search warrant at plaintiffs' home and business during investigation for tax evasion — Plaintiffs initiated action against Attorney General of Canada and CRA — Defendants argued that claim was statute-barred — Court could not determine whether cause of action would have been apparent from information to obtain search warrant because court did not have it — It would be unjust to decide limitation issue.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8" w:name="Case Summary_25"/>
            <w:bookmarkEnd w:id="18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for an order dismissing the plaintiffs' claim of misfeasance in public office. The Canada Revenue Agency executed a search warrant at the plaintiffs' home and business during an investigation for tax evasion. The CRA provided the plaintiffs with a copy of the information to obtain a search warrant the next day, but refused to provide any other requested documents until after the investigation. The investigation was concluded and no criminal charges were laid. The plaintiffs initiated an action against the Attorney General of Canada and the CRA. A court dismissed all claims except that for misfeasance in public office. The plaintiffs' appeal was currently before the British Columbia Court of Appeal. The defendants argued that the claim was statute-barred.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9" w:name="Holdings of Court_24"/>
            <w:bookmarkEnd w:id="189"/>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could not determine whether the cause of action would have been apparent from the ITO because the court did not have it. It would be unjust to decide the limitation issue, given that significant disclosure requests by the plaintiffs were outstanding. The matters being appealed were inexorably intertwined with the cause of action. The matter was complex.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0" w:name="Legislation Cited_22"/>
      <w:bookmarkEnd w:id="19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5"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RSBC 1996, CHAPTER 266, s. 3(2), s. 6(3), s.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Privacy Act, </w:t>
      </w:r>
      <w:r>
        <w:rPr>
          <w:rFonts w:ascii="arial" w:eastAsia="arial" w:hAnsi="arial" w:cs="arial"/>
          <w:i/>
          <w:color w:val="000000"/>
          <w:sz w:val="20"/>
          <w:lang w:val="en-US" w:eastAsia="en-US" w:bidi="ar-SA"/>
        </w:rPr>
        <w:t>RSBC 1996, CHAPTER 373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9-6(4), Rule 9-7, Rule 9-7(15)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1" w:name="Counsel_27"/>
      <w:bookmarkEnd w:id="19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6" style="position:absolute;z-index:251789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for the plaintiffs: N. Foote and E. Foote,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 Duncan.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2" w:name="Judgment_27"/>
      <w:bookmarkEnd w:id="192"/>
      <w:r>
        <w:pict>
          <v:line id="_x0000_s1167" style="position:absolute;z-index:2518405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3" w:name="R.S. TINDALE J."/>
            <w:bookmarkEnd w:id="193"/>
            <w:r>
              <w:rPr>
                <w:rFonts w:ascii="arial" w:eastAsia="arial" w:hAnsi="arial" w:cs="arial"/>
                <w:b/>
                <w:color w:val="000000"/>
                <w:sz w:val="30"/>
                <w:lang w:val="en-US" w:eastAsia="en-US" w:bidi="ar-SA"/>
              </w:rPr>
              <w:t>R.S. TINDALE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seek an order dismissing the plaintiffs' claim of Misfeasance in Public Office pursuant to Rule 9-7(15) of the Supreme Court Civil Rules, on the grounds that the claim is statute barred by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as amended. The defendants also seek an order for costs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oppose this application on the basis that the applicable limitation period was postponed because the plaintiffs were not in a position to be able to assess whether or not they had a cause of action until they received certain relevant documents from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Canada Revenue Agency ("CRA"), between March 15, 2006 and November 9, 2006, initiated an audit of the plaintiffs which turned into an investigation for criminal tax evasion.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CRA executed a search warrant on March 14, 2007 at the plaintiffs' home and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obtained a copy of the Information to Obtain a Search Warrant ("ITO") from the CRA on March 15,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criminal investigation was concluded on February 25, 2009. There were no criminal charges laid as a result of this investigation. The plaintiff, Mr. Foote, was advised of this by letter dated March 17,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filed a Writ of Summons and Statement of Claim on March 31, 2010 and an amended Notice of Civil Claim on April 20,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July 9, 2007 the plaintiff, Nathan Foote, was advised by the CRA, in response to his requests for documentation, that they would not provide any of the documents requested by him until the investigation was concluded.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On July 8, 2011 Mr. Justice Dley heard the defendants' Motion to Strike Pleadings. Those reasons are indexed as </w:t>
      </w:r>
      <w:r>
        <w:rPr>
          <w:rFonts w:ascii="arial" w:eastAsia="arial" w:hAnsi="arial" w:cs="arial"/>
          <w:i/>
          <w:color w:val="000000"/>
          <w:sz w:val="20"/>
          <w:lang w:val="en-US" w:eastAsia="en-US" w:bidi="ar-SA"/>
        </w:rPr>
        <w:t>Foote v. Canada (Attorney General)</w:t>
      </w:r>
      <w:r>
        <w:rPr>
          <w:rFonts w:ascii="arial" w:eastAsia="arial" w:hAnsi="arial" w:cs="arial"/>
          <w:color w:val="000000"/>
          <w:sz w:val="20"/>
          <w:lang w:val="en-US" w:eastAsia="en-US" w:bidi="ar-SA"/>
        </w:rPr>
        <w:t xml:space="preserve">, </w:t>
      </w:r>
      <w:hyperlink r:id="rId256" w:history="1">
        <w:r>
          <w:rPr>
            <w:rFonts w:ascii="arial" w:eastAsia="arial" w:hAnsi="arial" w:cs="arial"/>
            <w:i/>
            <w:color w:val="0077CC"/>
            <w:sz w:val="20"/>
            <w:u w:val="single"/>
            <w:shd w:val="clear" w:color="auto" w:fill="FFFFFF"/>
            <w:lang w:val="en-US" w:eastAsia="en-US" w:bidi="ar-SA"/>
          </w:rPr>
          <w:t>2011 BCSC 1062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Justice Dley struck out a number of the paragraphs in the plaintiffs' pleadings. However, with regard to the tort of Misfeasance in Public Office he made the following comments at paras. 49-51: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 Paragraphs 49 to 52 set out the facts that describe how the Revenue Agency "conjured up a scheme" in the information to obtain the warrant. Those facts are assumed to be true for the purposes of this 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The tort of misfeasance in public office is based on the principle that public officials must not abuse their powers. It is necessary to show that the defendants deliberately acted unlawfully and intended to harm the plaintiffs: </w:t>
      </w:r>
      <w:r>
        <w:rPr>
          <w:rFonts w:ascii="arial" w:eastAsia="arial" w:hAnsi="arial" w:cs="arial"/>
          <w:i/>
          <w:color w:val="000000"/>
          <w:sz w:val="20"/>
          <w:lang w:val="en-US" w:eastAsia="en-US" w:bidi="ar-SA"/>
        </w:rPr>
        <w:t>A.L. v. Ontario (Minister of Community and Social Services)</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83 O.R. (3d) 512</w:t>
        </w:r>
      </w:hyperlink>
      <w:r>
        <w:rPr>
          <w:rFonts w:ascii="arial" w:eastAsia="arial" w:hAnsi="arial" w:cs="arial"/>
          <w:color w:val="000000"/>
          <w:sz w:val="20"/>
          <w:lang w:val="en-US" w:eastAsia="en-US" w:bidi="ar-SA"/>
        </w:rPr>
        <w:t xml:space="preserve"> (C.A.) at paras. 34-36 and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xml:space="preserve"> at paras. 24-28.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The pleadings describe how the Revenue Agency treated unreported income. If the Revenue Agency deliberately ignored evidence in favor of the taxpayer and concealed it in pursuit of the warrant, then the plaintiffs cannot be said to have no chance to succeed on this issue. The facts are specific enough to base a claim in misfeasance of public office and to identify the transactions to the defendants. This claim will remain undisturbed.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On January 31, 2012 Mr. Justice Savage heard the defendants' application to dismiss the plaintiffs' claim pursuant to Rule 9-6(4) on two grounds. First, that the action was statute barred, and second, that there was no triable issue and the claims were bound to fail. Those reasons are indexed as </w:t>
      </w:r>
      <w:r>
        <w:rPr>
          <w:rFonts w:ascii="arial" w:eastAsia="arial" w:hAnsi="arial" w:cs="arial"/>
          <w:i/>
          <w:color w:val="000000"/>
          <w:sz w:val="20"/>
          <w:lang w:val="en-US" w:eastAsia="en-US" w:bidi="ar-SA"/>
        </w:rPr>
        <w:t>Foote v. Canada (Attorney General)</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2012 BCSC 177</w:t>
        </w:r>
      </w:hyperlink>
      <w:r>
        <w:rPr>
          <w:rFonts w:ascii="arial" w:eastAsia="arial" w:hAnsi="arial" w:cs="arial"/>
          <w:color w:val="000000"/>
          <w:sz w:val="20"/>
          <w:lang w:val="en-US" w:eastAsia="en-US" w:bidi="ar-SA"/>
        </w:rPr>
        <w:t>. All of the plaintiffs' claims except for the claim for Misfeasance in Public Office were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Mr. Justice Savage was unable to conclude that there was no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on the question of whether the limitation period for the Misfeasance in Public Office claim was postponed.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appealed the decision of Mr. Justice Savage and the matter is currently before the British Columbia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position is that the search warrant was executed on March 14, 2007 and the plaintiffs had a copy of the ITO in their hands by March 15, 2007. The defendants argue that the limitation period began to run as of the date of the search which was March 14, 2007 or at the latest March 15, 2007. The limitation period for an action in misfeasance in public office is two years. The plaintiffs did not commence their action until March 31,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argue that they were not in a position to know that there was a cause of action until they received the requested documents because the mere fact that a search warrant was issued does not give rise to a cause of action. They were not in a position to request disclosure until the CRA's investigation was complete and they were advised of that fact on March 17, 2009. The plaintiffs argue that the limitation period was postponed until at least March 17,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Neither party provided a full copy of the ITO for this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defendants' only evidence on this application was the affidavit of Joyce Chan sworn on 6 October 2010. This affidavit was not based upon personal knowledge but rather a review of the defendant CRA's file. This type of evidence is not admissible on an application pursuant to Rule 9-7 as it is hearsay; see </w:t>
      </w:r>
      <w:r>
        <w:rPr>
          <w:rFonts w:ascii="arial" w:eastAsia="arial" w:hAnsi="arial" w:cs="arial"/>
          <w:i/>
          <w:color w:val="000000"/>
          <w:sz w:val="20"/>
          <w:lang w:val="en-US" w:eastAsia="en-US" w:bidi="ar-SA"/>
        </w:rPr>
        <w:t>Wilson v. United Church of Canada</w:t>
      </w:r>
      <w:r>
        <w:rPr>
          <w:rFonts w:ascii="arial" w:eastAsia="arial" w:hAnsi="arial" w:cs="arial"/>
          <w:color w:val="000000"/>
          <w:sz w:val="20"/>
          <w:lang w:val="en-US" w:eastAsia="en-US" w:bidi="ar-SA"/>
        </w:rPr>
        <w:t xml:space="preserve"> </w:t>
      </w:r>
      <w:hyperlink r:id="rId542" w:history="1">
        <w:r>
          <w:rPr>
            <w:rFonts w:ascii="arial" w:eastAsia="arial" w:hAnsi="arial" w:cs="arial"/>
            <w:i/>
            <w:color w:val="0077CC"/>
            <w:sz w:val="20"/>
            <w:u w:val="single"/>
            <w:shd w:val="clear" w:color="auto" w:fill="FFFFFF"/>
            <w:lang w:val="en-US" w:eastAsia="en-US" w:bidi="ar-SA"/>
          </w:rPr>
          <w:t>(2005), 44 B.C.L.R. (4th) 363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Duncan, on behalf of the defendants, stated that he would rely on the materials filed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relevant sections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are sections 3(2), and 6(3) and (4). These sections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(2) After the expiration of 2 years after the date on which the right to do so arose a person may not bring any of the following actions:</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(4) (k), for damages in respect of injury to person or property, including economic loss arising from the injury, whether based on contract, tort or statutory duty;</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trespass to property not included in paragraph (a);</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defamation;</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false imprisonment;</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malicious prosecution;</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tort under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seduction;</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section 27 of the </w:t>
      </w:r>
      <w:r>
        <w:rPr>
          <w:rFonts w:ascii="arial" w:eastAsia="arial" w:hAnsi="arial" w:cs="arial"/>
          <w:i/>
          <w:color w:val="000000"/>
          <w:sz w:val="20"/>
          <w:lang w:val="en-US" w:eastAsia="en-US" w:bidi="ar-SA"/>
        </w:rPr>
        <w:t>Engineers and Geoscientists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(3) The running of time with respect to the limitation periods set by this Act for any of the following actions is postponed as provided in subsection (4);</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personal injury;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damage to property;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fraud or deceit;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which material facts relating to the cause of action have been willfully concealed;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relief from the consequences of a mistake;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brought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breach of trust not within subsection (1).</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or claimant with respect to an action referred to in subsection (3) until the identity of the defendant or respondent is known to the plaintiff or claimant and those facts within the plaintiff's or claimant's means of knowledge are such that a reasonable person, knowing those facts and having taken the appropriate advice a reasonable person would seek on those facts, would regard those facts as showing that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or the cause of action would, apart from the effect of the expiration of a limitation period, have a reasonable prospect of success, and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the decision of </w:t>
      </w:r>
      <w:r>
        <w:rPr>
          <w:rFonts w:ascii="arial" w:eastAsia="arial" w:hAnsi="arial" w:cs="arial"/>
          <w:i/>
          <w:color w:val="000000"/>
          <w:sz w:val="20"/>
          <w:lang w:val="en-US" w:eastAsia="en-US" w:bidi="ar-SA"/>
        </w:rPr>
        <w:t>Novak v. Bond</w:t>
      </w:r>
      <w:r>
        <w:rPr>
          <w:rFonts w:ascii="arial" w:eastAsia="arial" w:hAnsi="arial" w:cs="arial"/>
          <w:color w:val="000000"/>
          <w:sz w:val="20"/>
          <w:lang w:val="en-US" w:eastAsia="en-US" w:bidi="ar-SA"/>
        </w:rPr>
        <w:t xml:space="preserve">, </w:t>
      </w:r>
      <w:hyperlink r:id="rId543" w:history="1">
        <w:r>
          <w:rPr>
            <w:rFonts w:ascii="arial" w:eastAsia="arial" w:hAnsi="arial" w:cs="arial"/>
            <w:i/>
            <w:color w:val="0077CC"/>
            <w:sz w:val="20"/>
            <w:u w:val="single"/>
            <w:shd w:val="clear" w:color="auto" w:fill="FFFFFF"/>
            <w:lang w:val="en-US" w:eastAsia="en-US" w:bidi="ar-SA"/>
          </w:rPr>
          <w:t>[1999] 1 S.C.R. 808</w:t>
        </w:r>
      </w:hyperlink>
      <w:r>
        <w:rPr>
          <w:rFonts w:ascii="arial" w:eastAsia="arial" w:hAnsi="arial" w:cs="arial"/>
          <w:color w:val="000000"/>
          <w:sz w:val="20"/>
          <w:lang w:val="en-US" w:eastAsia="en-US" w:bidi="ar-SA"/>
        </w:rPr>
        <w:t>, McLachlin J., for the majority,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The scheme and purpose of the Act leads me to conclude that the appropriate test is a variant of the second approach. Leaving aside the requirement that the identity of the defendant must be known to the plaintiff and that the provisions of s. 6(4)(a) must also be satisfied before the running of time is postponed, it is my view that the proper interpretation of s. 6(4)(b) may be summarized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6(4)(b) requires the court to adopt the perspective of a reasonable person who knows the facts that are within the plaintiff's knowledge and has taken the appropriate advice a reasonable person would seek on those facts. Time does not begin to run until this reasonable person would conclude that someone in the plaintiff's position </w:t>
      </w:r>
      <w:r>
        <w:rPr>
          <w:rFonts w:ascii="arial" w:eastAsia="arial" w:hAnsi="arial" w:cs="arial"/>
          <w:color w:val="000000"/>
          <w:sz w:val="20"/>
          <w:u w:val="single"/>
          <w:lang w:val="en-US" w:eastAsia="en-US" w:bidi="ar-SA"/>
        </w:rPr>
        <w:t>could</w:t>
      </w:r>
      <w:r>
        <w:rPr>
          <w:rFonts w:ascii="arial" w:eastAsia="arial" w:hAnsi="arial" w:cs="arial"/>
          <w:color w:val="000000"/>
          <w:sz w:val="20"/>
          <w:lang w:val="en-US" w:eastAsia="en-US" w:bidi="ar-SA"/>
        </w:rPr>
        <w:t>, acting reasonably in light of his or her own circumstances and interests, bring an action. The question posed by s. 6(4)(b) therefore becomes: "in light of his or her own particular circumstances and interests, at what point could the plaintiff reasonably have brought an action?" The reasonable person would only consider that the plaintiff could not have brought an action at the time the right to do so first arose if the plaintiff's own interests and circumstances were serious, significant and compelling. Purely tactical concerns have no place in this analysis.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the affidavit of Nathan Foote, sworn on January 20, 2012, he deposes, at paras. 8, 14 and 19, as to the reasons why the plaintiff's say the limitation period should be postponed;</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not until September 2009, when we received Defendants' documents through ATIP and Privacy Act in response to requests we had made beginning May 22, 2009 that we realized the untruths and misrepresentations of the ITO and the resulting search were part of a deliberate scheme to cause us harm.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action was filed within two years of the date, September 7, 2009, when we were first able to obtain sufficient information, through disclosure of Defendants' documents and pro bono expert accounting and legal advice, to file an action against the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were further hampered in detecting the true extent of the Defendants' malicious intent against us, by the fact that a large number of the documents we obtained through ATIP were blacked out, and our requests for unredacted copies had been repeatedly refused by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defendants argue that the cause of action arose upon the execution of the search warrant on March 14, 2007, or at the latest when the plaintiffs received the ITO on March 15, 2007. Further, the defendants argue that Mr. Justice Dley narrowed the scope of the cause of action to the time period around the issuance of the search warrant and production of the ITO.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have provided information that it was not until they received the documents from the defendants that they became aware of the "untruths and misrepresentations" of the ITO.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For a cause of action to be founded in misfeasance in public office the plaintiffs have to show that the defendants deliberately acted unlawfully and intended to harm the plaintiffs. I agree with the plaintiff's that the mere fact that there may have been erroneous information in the ITO does not necessarily lead to the conclusion that a cause of action exists based on that document. The cause of action is not that the defendants were wrong about information that led to the search but rather that they deliberately acted in an unlawful manner and intended to harm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do not have the ITO to analyze whether or not the defendants are right that the cause of action would have been apparent from that document or whether the plaintiffs are right that the document itself does not show anything more than some erroneous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plaintiffs have also requested a plethora of documentation from the defendants which they have not received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SUITABILITY FOR A RULE 9-7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Rule 9-7(15) states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 summary trial application, the court may</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1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the decision of </w:t>
      </w:r>
      <w:r>
        <w:rPr>
          <w:rFonts w:ascii="arial" w:eastAsia="arial" w:hAnsi="arial" w:cs="arial"/>
          <w:i/>
          <w:color w:val="000000"/>
          <w:sz w:val="20"/>
          <w:lang w:val="en-US" w:eastAsia="en-US" w:bidi="ar-SA"/>
        </w:rPr>
        <w:t>656925 B.C. Ltd. v. Cullen Diesel Power Ltd.</w:t>
      </w:r>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2009 BCSC 260</w:t>
        </w:r>
      </w:hyperlink>
      <w:r>
        <w:rPr>
          <w:rFonts w:ascii="arial" w:eastAsia="arial" w:hAnsi="arial" w:cs="arial"/>
          <w:color w:val="000000"/>
          <w:sz w:val="20"/>
          <w:lang w:val="en-US" w:eastAsia="en-US" w:bidi="ar-SA"/>
        </w:rPr>
        <w:t>, the Court summarized the law relating to summary trial applications at paras. 31, 32 and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In deciding whether a matter is appropriate for determination under Rule 18A, the court should consider the amount involved, the complexity of the matter, the cost of a conventional trial in relation to the amount involved and the course of the proceedings, and whether the application is an effective use of the court's time and will result in the efficient resolution of the proceedings: </w:t>
      </w:r>
      <w:r>
        <w:rPr>
          <w:rFonts w:ascii="arial" w:eastAsia="arial" w:hAnsi="arial" w:cs="arial"/>
          <w:b/>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In addition, the court must exercise considerable caution in determining whether Rule 18A should be invoked to try an issue rather than the whole case, to avoid "litigating in slices": </w:t>
      </w:r>
      <w:r>
        <w:rPr>
          <w:rFonts w:ascii="arial" w:eastAsia="arial" w:hAnsi="arial" w:cs="arial"/>
          <w:b/>
          <w:i/>
          <w:color w:val="000000"/>
          <w:sz w:val="20"/>
          <w:lang w:val="en-US" w:eastAsia="en-US" w:bidi="ar-SA"/>
        </w:rPr>
        <w:t>Bacchus Agents (1981) Ltd. v. Phillipe Dandurand Wines Ltd.</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2002 BCCA 138</w:t>
        </w:r>
      </w:hyperlink>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164 B.C.A.C. 300</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Mr. Justice Groberman in </w:t>
      </w:r>
      <w:r>
        <w:rPr>
          <w:rFonts w:ascii="arial" w:eastAsia="arial" w:hAnsi="arial" w:cs="arial"/>
          <w:b/>
          <w:i/>
          <w:color w:val="000000"/>
          <w:sz w:val="20"/>
          <w:lang w:val="en-US" w:eastAsia="en-US" w:bidi="ar-SA"/>
        </w:rPr>
        <w:t>Coast Foundation v. Currie Architect Inc.</w:t>
      </w:r>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2003 BCSC 1781</w:t>
        </w:r>
      </w:hyperlink>
      <w:r>
        <w:rPr>
          <w:rFonts w:ascii="arial" w:eastAsia="arial" w:hAnsi="arial" w:cs="arial"/>
          <w:color w:val="000000"/>
          <w:sz w:val="20"/>
          <w:lang w:val="en-US" w:eastAsia="en-US" w:bidi="ar-SA"/>
        </w:rPr>
        <w:t xml:space="preserve"> at paras. 13, 15, and 18, summarized the governing principles on granting judgment on particular issues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[13] The question of when the court ought to give judgment on an issue, as opposed to on the claim generally, is more complex. The court is justifiably reluctant to decide cases in a piecemeal fashion. In addition to all of the concerns that arise when the entire claim is before the court, there is a multitude of others. The result is that the court must exercise considerable caution before coming to the conclusion that it should grant judgment on an issue in a summary trial.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court must also be wary of making determinations on particular issues on a Rule 18A application when those issues are inexorably intertwined with other issues that are to be left for determination at trial: </w:t>
      </w:r>
      <w:r>
        <w:rPr>
          <w:rFonts w:ascii="arial" w:eastAsia="arial" w:hAnsi="arial" w:cs="arial"/>
          <w:b/>
          <w:i/>
          <w:color w:val="000000"/>
          <w:sz w:val="20"/>
          <w:lang w:val="en-US" w:eastAsia="en-US" w:bidi="ar-SA"/>
        </w:rPr>
        <w:t>Prevost v. Vetter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2002 BCCA 202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210 D.L.R. (4th) 649</w:t>
      </w:r>
      <w:r>
        <w:rPr>
          <w:rFonts w:ascii="arial" w:eastAsia="arial" w:hAnsi="arial" w:cs="arial"/>
          <w:color w:val="000000"/>
          <w:sz w:val="20"/>
          <w:lang w:val="en-US" w:eastAsia="en-US" w:bidi="ar-SA"/>
        </w:rPr>
        <w:t xml:space="preserve">; inter-relatedness of issues is not always obvious, and caution is necessary whenever a party seeks judgment on an issue as opposed to judgment generally under Rule 18A: </w:t>
      </w:r>
      <w:r>
        <w:rPr>
          <w:rFonts w:ascii="arial" w:eastAsia="arial" w:hAnsi="arial" w:cs="arial"/>
          <w:b/>
          <w:i/>
          <w:color w:val="000000"/>
          <w:sz w:val="20"/>
          <w:lang w:val="en-US" w:eastAsia="en-US" w:bidi="ar-SA"/>
        </w:rPr>
        <w:t>B.M.P. Global Distribution Inc. v. Bank of Nova Scotia</w:t>
      </w:r>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2003 BCCA 534</w:t>
        </w:r>
      </w:hyperlink>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[2003] B.C.J. No. 2383</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[18] Second, the court must consider the efficiency of a partial determination from the standpoint of the litigation itself. Piecemeal decision-making is rarely an efficient manner in which to resolve a dispute. It raises the possibility of multiple appeals on individual issues, and this will generally impede rather than hasten the orderly determination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my view because I do not have the ITO I cannot, on the whole of the evidence, find the necessary facts to determine whether or not the limitation period was postponed, or even whether it began to run upon the receipt of the ITO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Also, given the fact that there are significant disclosure requests still outstanding by the plaintiffs it would be unjust to decide the limitation issue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Finally, the matters currently before the British Columbia Court of Appeal are inexorably intertwined with this cause of action. Also this matter is complex.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do not have the necessary facts to decide the limitation issue on this application nor would it be just to decide that issue on this application for all of the above noted reasons. The summary trial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will have their costs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R.S. TINDALE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8"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49"/>
          <w:headerReference w:type="default" r:id="rId550"/>
          <w:footerReference w:type="even" r:id="rId551"/>
          <w:footerReference w:type="default" r:id="rId552"/>
          <w:headerReference w:type="first" r:id="rId553"/>
          <w:footerReference w:type="first" r:id="rId55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55" w:history="1">
        <w:r>
          <w:rPr>
            <w:rFonts w:ascii="arial" w:eastAsia="arial" w:hAnsi="arial" w:cs="arial"/>
            <w:b/>
            <w:bCs/>
            <w:i/>
            <w:color w:val="0077CC"/>
            <w:kern w:val="32"/>
            <w:sz w:val="28"/>
            <w:szCs w:val="32"/>
            <w:u w:val="single"/>
            <w:shd w:val="clear" w:color="auto" w:fill="FFFFFF"/>
            <w:lang w:val="en-US" w:eastAsia="en-US" w:bidi="ar-SA"/>
          </w:rPr>
          <w:t>Forliti (Guardian ad litem of) v. Woolley, [2003] B.C.J. No. 168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Garson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10 and 13,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27,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C995496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 B.C.L.R. (4th) 342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29 C.P.C. (5th) 189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119 A.C.W.S. (3d) 558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Blue Mattino Forliti, an infant plaintiff by his Guardian ad litem, Dawn Irene Forliti, plaintiff, and Dr. Harold Ewart Woolley, Dr. Malcolm Kim Sing, Burnaby Hospital Society, Nurse P. Downey, Nurse May Miguel, Nurse S. Low, Nurse M. Duncombe, Nurse Miachand, Nurse Ekuelker, Radiologist Doe, Technologist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9"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4" w:name="Keywords_28"/>
      <w:bookmarkEnd w:id="194"/>
      <w:r>
        <w:rPr>
          <w:rFonts w:ascii="arial" w:eastAsia="arial" w:hAnsi="arial" w:cs="arial"/>
          <w:b/>
          <w:color w:val="000000"/>
          <w:sz w:val="20"/>
          <w:lang w:val="en-US" w:eastAsia="en-US" w:bidi="ar-SA"/>
        </w:rPr>
        <w:t>Practice — Juries and jury trials — Right to a jury — Setting aside a jury notice.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5" w:name="Case Summary_26"/>
            <w:bookmarkEnd w:id="19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regarding the defendants' application for an order dispensing with a jury. The case involved an action for damages for medical malpractice. The plaintiffs claimed that during the course of an induced labour and breech birth, the infant plaintiff suffered severe brain damage. The trial was set for October 6, 2003 and the plaintiffs delivered a Notice Requiring Trial by Jury. The defendants brought an application to dispense with the jury because the issues were intricate and complex. They submitted that a determination of whether the action was suitable for a jury could not be made before expert reports were exchanged, which was 60 days before trial. Plaintiffs' counsel submitted that they were prejudiced by the defendants' failure to set a hearing date for the application.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6" w:name="Holdings of Court_25"/>
            <w:bookmarkEnd w:id="196"/>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were ordered to set down their application to strike the jury 30 to 60 days before the commencement of trial. The issues in this case were complex. The parties should have an opportunity to develop the evidence before determining the mode of trial. Whether the case was suitable for a jury could most fairly be made after expert reports were tendered. The need to ensure a fair had to over-ride the inconvenience or prejudice to the plaintiffs of not knowing whether the case was to be tried before a jury or a judge alone.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7" w:name="Legislation Cited_23"/>
      <w:bookmarkEnd w:id="19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0"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British Columbia Supreme Court Rules,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Rules 35(4)(d), 39(25), 39(26), 39(26.1), 39(27), 51A(18).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8" w:name="Counsel_28"/>
      <w:bookmarkEnd w:id="19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1"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G.V. Lauk, Q.C., for the plaintiff. C.E. Hinkson, Q.C., and K.F. Douglas, for the defendants, Dr. Harold Ewart Woolley and Dr. Malcolm Kim Sing. E. Stanger, for the defendants, Burnaby Hospital Society, Nurses Downey, Miguel, Low, Duncombe and Ekeuelker.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9" w:name="Judgment_28"/>
      <w:bookmarkEnd w:id="199"/>
      <w:r>
        <w:pict>
          <v:line id="_x0000_s1172" style="position:absolute;z-index:25184153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0" w:name="GARSON J."/>
            <w:bookmarkEnd w:id="200"/>
            <w:r>
              <w:rPr>
                <w:rFonts w:ascii="arial" w:eastAsia="arial" w:hAnsi="arial" w:cs="arial"/>
                <w:b/>
                <w:color w:val="000000"/>
                <w:sz w:val="30"/>
                <w:lang w:val="en-US" w:eastAsia="en-US" w:bidi="ar-SA"/>
              </w:rPr>
              <w:t>GARSON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Rule 39(27) of the Rules of Court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requires that an application for an order to dispense with a jury be filed within seven days after the filing of a Notice of Trial by Jury. The issue before me concerns the timing of the hearing of the defendants' application to strike the plaintiff's Notice of Trial by Jury. This is an action for damages for medical malpractice and the defendants' application to dispense with the jury is made on the grounds that the issues are of an intricate or complex character. Plaintiff's counsel says he is prejudiced by the defendant's failure to set a hearing date for the application. The defendants resist this application and say that a determination of the issue as to whether this action is suitable for a jury cannot be made before the expert reports have been exchanged, which will not be until 60 days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Before concluding the hearing of this application I asked counsel to provide me, as their case management judge, with proposed schedules of dates for completion of the various remaining significant steps in this litigation. I am grateful to counsel for providing these schedules on relatively short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quote the pertinent background information from the plaintiff's memorandum of argument on this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action arises from the birth of the plaintiff, Blue Mattino Forliti on October 18, 1997, at Burnaby General Hospital and is brought by his mother and guardian ad litem, Dawn Irene Forliti.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claims against the attending doctors Harold Ewart Woolley and Malcolm Kim Sing, Burnaby General Hospital and the attending nurses and technicians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during the course of an induced labour and breech birth which resulted in severe brain damage to the infant plaintiff. Informed consent is also at issue. The infant's injuries include inter alia: convulsions, seizures, cerebral palsy, physical and mental impairment.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claims against the defendant doctors, nurses and technologists for failing to use reasonable skill and falling below the standard of care. The plaintiff claims against the defendant hospital for failing to provide proper services and instruction and supervision of its staff and employees and for failing in the proper credentialing of its doctors.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trial has been set for October 6, 2003 for 20 days. The plaintiffs have delivered a Notice Requiring Trial by Jury. Both Defendants [meaning the doctors and the hospital defendants] have given notice regarding applications to strike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Lauk, for the plaintiff, says that he must know now if this case is to be tried by a judge sitting with a jury or by judge alone. He says that he prepares his evidence differently if the case is to be presented to a jury as opposed to a judge alone. He also says that the language of the expert reports will be different, presumably written in a simpler more understandable way, if the case is to be tried by a judge with a jury. Finally, he says he may use demonstrative evidence before a jury, but not before a judge. Mr. Lauk declined to expand upon these differences. He explained that he did not wish to disclose the details of his case preparation. He says that the evidence on an application to strike a jury does not have to be the actual expert reports which will be tendered at trial. He asserts that, in his experience, the evidentiary foundation for such applications is letters from the experts delineating the issues but not necessarily opining on the issues. A judge or master could, Mr. Lauk argues, make the determination as to complexity based upon these letters.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Hinkson, for the defendant doctors, says that judges and juries need the same kind of understandable evidence. He submits that most judges are not experts in the type of science upon which these birth injury cases are argued, and the parties need to prepare their evidence for a judge alone trial in the same understandable fashion as is required before a jury. He complains that Mr. Lauk, despite questions from the court, has not really explained what he would do differently and why he will be prejudiced if the application to dispense with the jury is not heard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Stanger for the hospital and the nurses supports Mr. Hinkson's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None of the parties are apparently ready to exchange expert reports earlier than August 6, 2002 - 60 days before the commencement of trial. In any event, an early exchange of reports would not assist Mr. Lauk because he doesn't, if I understand his submissions correctly, wish to requisition his reports until after he knows if the case is to be judged by a jury or a judge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Rule 39(26)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Notice requiring jury trial</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subrules (25) and (26.1), a party may require that the trial of an action be heard by the court with a jury by</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filing and delivering to all parties of record, within 21 days after delivery of the notice of trial and not later than 30 days before trial, a notice in Form 38, and</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paying to the sheriff, not less than 30 days before trial, a sum sufficient to pay for the jury and the jury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Rule 39(27)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Court may refuse jury trial</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in cases of defamation, false imprisonment and malicious prosecution, a party to whom a notice under subrule (26) has been delivered may apply</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7 days for an order that the trial or part of it be heard by the court without a jury on the ground that</w:t>
      </w:r>
    </w:p>
    <w:p>
      <w:pPr>
        <w:numPr>
          <w:numId w:val="5"/>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require prolonged examination of documents or accounts or a scientific or legal investigation which cannot be made conveniently with a jury, or</w:t>
      </w:r>
    </w:p>
    <w:p>
      <w:pPr>
        <w:numPr>
          <w:numId w:val="6"/>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are of an intricate or complex character, or</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time for an order that the trial be heard by the court without a jury on the ground that it relates to one of the matters referred to in subrule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application before me is to force the defendants to set their previously filed application for hearing. The plaintiff's application is filed pursuant to Rule 51A(18). That rule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Respondent may apply for directions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applicant does not set an application down for hearing within a reasonable time after a respondent has requested the applicant to do so, a respondent may apply by praecipe on 2 days' notice for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It is common practise for a party to apply to strike a jury notice within the seven days prescribed by the Rule and then to defer the hearing of the application until the expert reports or at least some detailed facts are available. In this way the judge or master hearing the jury strike application has the advantage of reviewing the evidence that is said to be too intricate or complex for a jury to properly comprehend. It does seem to me that the decision, as to whether the issues can be presented in a manner that may be understood and fairly resolved by a jury, is more easily made if the actual expert reports are before the judge or master ruling on the jury strike motion. As mentioned, I was told by Mr. Lauk that such motions can be heard on the basis of letters from the experts delineating the issues. I am not suggesting that practise is wrong or unhelpful. Such material may be adequate in some cases (Nichols v. Gray </w:t>
      </w:r>
      <w:hyperlink r:id="rId556" w:history="1">
        <w:r>
          <w:rPr>
            <w:rFonts w:ascii="arial" w:eastAsia="arial" w:hAnsi="arial" w:cs="arial"/>
            <w:i/>
            <w:color w:val="0077CC"/>
            <w:sz w:val="20"/>
            <w:u w:val="single"/>
            <w:shd w:val="clear" w:color="auto" w:fill="FFFFFF"/>
            <w:lang w:val="en-US" w:eastAsia="en-US" w:bidi="ar-SA"/>
          </w:rPr>
          <w:t>9 B.C.L.R. 5</w:t>
        </w:r>
      </w:hyperlink>
      <w:r>
        <w:rPr>
          <w:rFonts w:ascii="arial" w:eastAsia="arial" w:hAnsi="arial" w:cs="arial"/>
          <w:color w:val="000000"/>
          <w:sz w:val="20"/>
          <w:lang w:val="en-US" w:eastAsia="en-US" w:bidi="ar-SA"/>
        </w:rPr>
        <w:t xml:space="preserve"> (B.C.C.A.); Mewhort v. Frimer 19 C.P.C. 59 (B.C.S.C.)). The disadvantage in relying on descriptions of the evidence as opposed to the evidence itself is that the party seeking to keep the jury makes every attempt to simplify the case while the party asserting that the case is complex makes every attempt to cloud and complicate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same issues were addressed by Esson J. (as he then was) in Sadowick v. Doobay, </w:t>
      </w:r>
      <w:hyperlink r:id="rId557" w:history="1">
        <w:r>
          <w:rPr>
            <w:rFonts w:ascii="arial" w:eastAsia="arial" w:hAnsi="arial" w:cs="arial"/>
            <w:i/>
            <w:color w:val="0077CC"/>
            <w:sz w:val="20"/>
            <w:u w:val="single"/>
            <w:shd w:val="clear" w:color="auto" w:fill="FFFFFF"/>
            <w:lang w:val="en-US" w:eastAsia="en-US" w:bidi="ar-SA"/>
          </w:rPr>
          <w:t>[1982] B.C.J. No. 447</w:t>
        </w:r>
      </w:hyperlink>
      <w:r>
        <w:rPr>
          <w:rFonts w:ascii="arial" w:eastAsia="arial" w:hAnsi="arial" w:cs="arial"/>
          <w:color w:val="000000"/>
          <w:sz w:val="20"/>
          <w:lang w:val="en-US" w:eastAsia="en-US" w:bidi="ar-SA"/>
        </w:rPr>
        <w:t xml:space="preserve"> (S.C.) See also Harder v. Nikolov, </w:t>
      </w:r>
      <w:hyperlink r:id="rId558" w:history="1">
        <w:r>
          <w:rPr>
            <w:rFonts w:ascii="arial" w:eastAsia="arial" w:hAnsi="arial" w:cs="arial"/>
            <w:i/>
            <w:color w:val="0077CC"/>
            <w:sz w:val="20"/>
            <w:u w:val="single"/>
            <w:shd w:val="clear" w:color="auto" w:fill="FFFFFF"/>
            <w:lang w:val="en-US" w:eastAsia="en-US" w:bidi="ar-SA"/>
          </w:rPr>
          <w:t>[2001] B.C.J. No. 1528</w:t>
        </w:r>
      </w:hyperlink>
      <w:r>
        <w:rPr>
          <w:rFonts w:ascii="arial" w:eastAsia="arial" w:hAnsi="arial" w:cs="arial"/>
          <w:color w:val="000000"/>
          <w:sz w:val="20"/>
          <w:lang w:val="en-US" w:eastAsia="en-US" w:bidi="ar-SA"/>
        </w:rPr>
        <w:t xml:space="preserve"> (S.C.)) At paras. 14 - 16 of Sadowick, Esson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other hand, it must be recognized that there are many cases in which it is impractical to bring on an application such as this within the time contemplated by R. 39(2). At that stage, the issues as they relate to the conduct of the trial simply are not well enough defined. Counsel for the plaintiff concedes that to be so but says that the matter can and should be dealt with soon after discoveries are held. There are, however, cases where the real issues cannot be defined until the defendant knows what the plaintiff's expert evidence will be and knows what his experts are prepared to say in response. This is such a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requiring the application to be launched within days of the giving of notice of trial, R. 39(20) follows the former M.R. 429 and 430, rules which were enacted at a time when trials were generally less complex and, I think it is fair to say, were not set down at such an early stage of the action as has now become the practice. Read alone, R. 39(2) would seem to contemplate a final decision as to mode of trial being made at the time notice of trial is given. That cannot, however, be the intended policy under the present rules because R. 35(4) provides that, after a pre-trial conference, the court may direct that the trial be heard by the court without a jury. That rule has been employed on the court's own motion as in Robitaille v. Vancouver Hockey Club Limited, </w:t>
      </w:r>
      <w:hyperlink r:id="rId559" w:history="1">
        <w:r>
          <w:rPr>
            <w:rFonts w:ascii="arial" w:eastAsia="arial" w:hAnsi="arial" w:cs="arial"/>
            <w:i/>
            <w:color w:val="0077CC"/>
            <w:sz w:val="20"/>
            <w:u w:val="single"/>
            <w:shd w:val="clear" w:color="auto" w:fill="FFFFFF"/>
            <w:lang w:val="en-US" w:eastAsia="en-US" w:bidi="ar-SA"/>
          </w:rPr>
          <w:t>[1979] 6 W.W.R. 41</w:t>
        </w:r>
      </w:hyperlink>
      <w:r>
        <w:rPr>
          <w:rFonts w:ascii="arial" w:eastAsia="arial" w:hAnsi="arial" w:cs="arial"/>
          <w:color w:val="000000"/>
          <w:sz w:val="20"/>
          <w:lang w:val="en-US" w:eastAsia="en-US" w:bidi="ar-SA"/>
        </w:rPr>
        <w:t xml:space="preserve"> B.C.C.A. Such orders have also been made where the defendant applied at the pre-trial conference. (citation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rules recognize the need, in order to ensure a fair trial, of an opportunity to review the mode of trial at a late stage. If the inconvenience which would be created by a jury trial was merely inconvenience in the sense of additional expense and delay in the conduct of trial, it would be right to refuse the defendant's application because of the tardiness in bringing it on for hearing. But the concern here is about something more serious, i.e., the importance of being able to ensure a fair trial. That must over-ride the inconvenience to the plaintiff of being deprived of a jury trial at a late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the case of McBeth v. Boldt, </w:t>
      </w:r>
      <w:hyperlink r:id="rId560" w:history="1">
        <w:r>
          <w:rPr>
            <w:rFonts w:ascii="arial" w:eastAsia="arial" w:hAnsi="arial" w:cs="arial"/>
            <w:i/>
            <w:color w:val="0077CC"/>
            <w:sz w:val="20"/>
            <w:u w:val="single"/>
            <w:shd w:val="clear" w:color="auto" w:fill="FFFFFF"/>
            <w:lang w:val="en-US" w:eastAsia="en-US" w:bidi="ar-SA"/>
          </w:rPr>
          <w:t>[1995] B.C.J. No. 2054</w:t>
        </w:r>
      </w:hyperlink>
      <w:r>
        <w:rPr>
          <w:rFonts w:ascii="arial" w:eastAsia="arial" w:hAnsi="arial" w:cs="arial"/>
          <w:color w:val="000000"/>
          <w:sz w:val="20"/>
          <w:lang w:val="en-US" w:eastAsia="en-US" w:bidi="ar-SA"/>
        </w:rPr>
        <w:t xml:space="preserve"> (S.C.C.), Collver J. said , on a similar application, at para. 7, "In my view, the proper time to determine whether this action can properly proceed before a jury is after the experts' reports have been exchanged."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Hoare v. Firestone Canada Inc. </w:t>
      </w:r>
      <w:hyperlink r:id="rId561" w:history="1">
        <w:r>
          <w:rPr>
            <w:rFonts w:ascii="arial" w:eastAsia="arial" w:hAnsi="arial" w:cs="arial"/>
            <w:i/>
            <w:color w:val="0077CC"/>
            <w:sz w:val="20"/>
            <w:u w:val="single"/>
            <w:shd w:val="clear" w:color="auto" w:fill="FFFFFF"/>
            <w:lang w:val="en-US" w:eastAsia="en-US" w:bidi="ar-SA"/>
          </w:rPr>
          <w:t>(1989), 42 B.C.L.R. (2d) 237</w:t>
        </w:r>
      </w:hyperlink>
      <w:r>
        <w:rPr>
          <w:rFonts w:ascii="arial" w:eastAsia="arial" w:hAnsi="arial" w:cs="arial"/>
          <w:color w:val="000000"/>
          <w:sz w:val="20"/>
          <w:lang w:val="en-US" w:eastAsia="en-US" w:bidi="ar-SA"/>
        </w:rPr>
        <w:t xml:space="preserve"> (C.A.), Taylor J.A. said at p. 244 that motions to strike a jury may be adjourned until the issues were clarified or could be dealt with at a pre-trial conference.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Renaerts v. Korn, </w:t>
      </w:r>
      <w:hyperlink r:id="rId562" w:history="1">
        <w:r>
          <w:rPr>
            <w:rFonts w:ascii="arial" w:eastAsia="arial" w:hAnsi="arial" w:cs="arial"/>
            <w:i/>
            <w:color w:val="0077CC"/>
            <w:sz w:val="20"/>
            <w:u w:val="single"/>
            <w:shd w:val="clear" w:color="auto" w:fill="FFFFFF"/>
            <w:lang w:val="en-US" w:eastAsia="en-US" w:bidi="ar-SA"/>
          </w:rPr>
          <w:t>[1998] B.C.J. No. 1350</w:t>
        </w:r>
      </w:hyperlink>
      <w:r>
        <w:rPr>
          <w:rFonts w:ascii="arial" w:eastAsia="arial" w:hAnsi="arial" w:cs="arial"/>
          <w:color w:val="000000"/>
          <w:sz w:val="20"/>
          <w:lang w:val="en-US" w:eastAsia="en-US" w:bidi="ar-SA"/>
        </w:rPr>
        <w:t xml:space="preserve"> (C.A.), Hinds J.A. refused leave to appeal the order of the chambers judge dismissing an application of the defendants in a medical malpractice action to strike a jury notice. Mr. Lauk relies on comments of Hinds J.A. in obiter in which he commented on the delay on the part of defence counsel to bring on the application to dispense with the jury. He said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second matter to which I wish to refer is the lengthy delay on the part of counsel for all of the defendants to bring on the application to dispense with the jury. The delay extended from June of 1996 to April of 1998, a period of almost two years. Counsel for the defendants said, if[sic] effect, that they needed to get the experts' reports before they could make the application to dispense with the jury. They asserted that they had served the defendants' experts' reports on counsel for the plaintiffs within the time requirements set forth in the Rules of Court. I, of course, accept their statements as to when their reports were filed. But nevertheless, if the desire to dispense with the jury was important to the defendants, in my respectful view they should have applied in a timely fashion to have the jury notice struck. They should not have waited until almost the eve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weight of the authorities on this point supports the view that an application to strike a jury should be heard on the basis of the expert evidence that will be tendered at the trial. In Jennings, </w:t>
      </w:r>
      <w:hyperlink r:id="rId563" w:history="1">
        <w:r>
          <w:rPr>
            <w:rFonts w:ascii="arial" w:eastAsia="arial" w:hAnsi="arial" w:cs="arial"/>
            <w:i/>
            <w:color w:val="0077CC"/>
            <w:sz w:val="20"/>
            <w:u w:val="single"/>
            <w:shd w:val="clear" w:color="auto" w:fill="FFFFFF"/>
            <w:lang w:val="en-US" w:eastAsia="en-US" w:bidi="ar-SA"/>
          </w:rPr>
          <w:t>[1992] B.C.J. No. 1822</w:t>
        </w:r>
      </w:hyperlink>
      <w:r>
        <w:rPr>
          <w:rFonts w:ascii="arial" w:eastAsia="arial" w:hAnsi="arial" w:cs="arial"/>
          <w:color w:val="000000"/>
          <w:sz w:val="20"/>
          <w:lang w:val="en-US" w:eastAsia="en-US" w:bidi="ar-SA"/>
        </w:rPr>
        <w:t>, the court was critical of defence counsel for not earlier obtaining their expert reports so that an application to strike the jury notice could be made in a timely way. But here both plaintiff and defendants tell me that their expert reports are not ready. The defendants say that they cannot order their reports until the examinations for discovery are complete. Also the plaintiff has indicated that the pleadings are to be amended and the mother added as a party. There is a motion pending to deal with questions that the plaintiff refused to answer on her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Considering the allegations contained in the pleadings in this case, which include a number of birth related injuries, challenges to the method of delivery, and challenges to the adequacy of foetal monitoring during labour I am persuaded that it would be preferable for the application to dispense with the jury to be argued on the basis of the expert reports that will be tendered at trial or at least some of them. Mr. Lauk said that he could not disclose the details of the differences in the evidence that he would rely on depending on whether the case is to be heard by a judge alone or jury. Without such an explanation I am unable to determine whether the plaintiff may be prejudiced in any way that cannot be compensated in costs if the application to dispense with the jury is heard after the expert reports are exchanged.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Taking into account the circumstances of this case, and the lack of any demonstrated prejudice to the plaintiff that cannot be remedied by costs, I exercise my discretion against the plaintiff. I am persuaded that the determination of whether this case is suitable for a jury is most fairly made based upon the expert reports that will be tendered at trial. At this stage I cannot fault defence counsel for not having expert reports ready nine months before trial. From a review of the statement of claim I conclude that the issues in this case could be complex. It is important for the fairness of the trial process, and a careful consideration as to whether the case is too complex for a jury, that the parties have an opportunity to develop the evidence before determining the mode of trial. The concern to ensure a fair trial must over-ride the potential inconvenience to the plaintiff of not knowing if the case is to be tried before a jury or a judge alone (Sadowick).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Pursuant to the plaintiff's application under Rule 51A(18), and pursuant to Rule 35(4)(d) I order that the defendant set down its application to strike the jury for a date that is between 30 and 60 days before the commencement of the trial. That hearing date should now be arranged by all counsel. I am not seized of that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parties have liberty to apply at a case management conference for earlier dates to exchange expert reports on liability issues. Then in turn the plaintiff will be at liberty to reapply for an earlier date for the motion to strike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GARSON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3"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64"/>
          <w:headerReference w:type="default" r:id="rId565"/>
          <w:footerReference w:type="even" r:id="rId566"/>
          <w:footerReference w:type="default" r:id="rId567"/>
          <w:headerReference w:type="first" r:id="rId568"/>
          <w:footerReference w:type="first" r:id="rId56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70" w:history="1">
        <w:r>
          <w:rPr>
            <w:rFonts w:ascii="arial" w:eastAsia="arial" w:hAnsi="arial" w:cs="arial"/>
            <w:b/>
            <w:bCs/>
            <w:i/>
            <w:color w:val="0077CC"/>
            <w:kern w:val="32"/>
            <w:sz w:val="28"/>
            <w:szCs w:val="32"/>
            <w:u w:val="single"/>
            <w:shd w:val="clear" w:color="auto" w:fill="FFFFFF"/>
            <w:lang w:val="en-US" w:eastAsia="en-US" w:bidi="ar-SA"/>
          </w:rPr>
          <w:t>Gearbulk Pool Ltd. v. Seaboard Shipping Co. (c.o.b. Seaboard International Shipping Co.), [2006] B.C.J. No. 301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Cohen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10, 20, 26, 2006 (written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submissions).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Supplementary judgment: February 10,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S023051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301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230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146 A.C.W.S. (3d) 599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Gearbulk Pool Limited and Ocean President Maritime S.A., plaintiffs, and Seaboard Shipping Company Limited doing business as Seaboard International Shipping Company Limited and the said Seaboard Shipping Company Limited and Seaboard International Shipping Company Limited,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(39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Original reasons for judgment were delivered November 22, 2005. See </w:t>
      </w:r>
      <w:hyperlink r:id="rId571" w:history="1">
        <w:r>
          <w:rPr>
            <w:rFonts w:ascii="arial" w:eastAsia="arial" w:hAnsi="arial" w:cs="arial"/>
            <w:i/>
            <w:color w:val="0077CC"/>
            <w:sz w:val="18"/>
            <w:u w:val="single"/>
            <w:shd w:val="clear" w:color="auto" w:fill="FFFFFF"/>
            <w:lang w:val="en-US" w:eastAsia="en-US" w:bidi="ar-SA"/>
          </w:rPr>
          <w:t>[2005] B.C.J. No. 2518</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4"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1" w:name="Keywords_29"/>
      <w:bookmarkEnd w:id="201"/>
      <w:r>
        <w:rPr>
          <w:rFonts w:ascii="arial" w:eastAsia="arial" w:hAnsi="arial" w:cs="arial"/>
          <w:b/>
          <w:color w:val="000000"/>
          <w:sz w:val="20"/>
          <w:lang w:val="en-US" w:eastAsia="en-US" w:bidi="ar-SA"/>
        </w:rPr>
        <w:t>Civil procedure — Costs — Offers to settle — Time of offer — The court awarded the defendants costs on scale 4 and double costs from Feb. 4, 2005 onward after the offer to settle was rejected.</w:t>
      </w:r>
    </w:p>
    <w:p>
      <w:pPr>
        <w:jc w:val="both"/>
        <w:rPr>
          <w:rFonts w:ascii="arial" w:eastAsia="arial" w:hAnsi="arial" w:cs="arial"/>
          <w:sz w:val="20"/>
          <w:lang w:val="en-US" w:eastAsia="en-US" w:bidi="ar-SA"/>
        </w:rPr>
      </w:pPr>
      <w:bookmarkStart w:id="202" w:name="Legislation Cited_24"/>
      <w:bookmarkEnd w:id="20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5"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Appendix B s.2, Rule 57(15)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3" w:name="Counsel_29"/>
      <w:bookmarkEnd w:id="20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6" style="position:absolute;z-index:251791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P.G. Bernard, Q.C. A. Keagan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D.F. McEwan, Q.C. J.D. Waller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4" w:name="Judgment_29"/>
      <w:bookmarkEnd w:id="204"/>
      <w:r>
        <w:pict>
          <v:line id="_x0000_s1177" style="position:absolute;z-index:25184256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5" w:name="COHEN J."/>
            <w:bookmarkEnd w:id="205"/>
            <w:r>
              <w:rPr>
                <w:rFonts w:ascii="arial" w:eastAsia="arial" w:hAnsi="arial" w:cs="arial"/>
                <w:b/>
                <w:color w:val="000000"/>
                <w:sz w:val="30"/>
                <w:lang w:val="en-US" w:eastAsia="en-US" w:bidi="ar-SA"/>
              </w:rPr>
              <w:t>COHEN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decision addresses costs of an action for indemnity in which I dismissed the plaintiffs' claim: Gearbulk Pool Ltd. v. Seaboard Shipping Co., </w:t>
      </w:r>
      <w:hyperlink r:id="rId571" w:history="1">
        <w:r>
          <w:rPr>
            <w:rFonts w:ascii="arial" w:eastAsia="arial" w:hAnsi="arial" w:cs="arial"/>
            <w:i/>
            <w:color w:val="0077CC"/>
            <w:sz w:val="20"/>
            <w:u w:val="single"/>
            <w:shd w:val="clear" w:color="auto" w:fill="FFFFFF"/>
            <w:lang w:val="en-US" w:eastAsia="en-US" w:bidi="ar-SA"/>
          </w:rPr>
          <w:t>[2005] B.C.J. No. 2518</w:t>
        </w:r>
      </w:hyperlink>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2005 BCSC 1620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end of the trial counsel postponed their submissions on costs. I have now received their written submissions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submit that costs should be assessed on Scale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submit that costs should be assessed on Scale 3, and that despite the defendants' success on the primary issue, costs should be awarded to them with respect to certain other issues raised by the defence upon which the defendants were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parties agree that the defendants delivered an offer to settle to the plaintiffs on February 4, 2005, and that the offer was not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SCALE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statutory tests for determining the appropriate scale of ordinary costs are set out in the Rules of Court, Appendix B, ss. 2(2) and 2(3). Section 2(3)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fixing the appropriate scale under which costs will be assessed, the court may take into account the following:</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difficult issue of law, fact or construction is involved;</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an issue is of importance to a class or body of persons, or is of general interest;</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result of the proceeding effectively determines the rights and obligations as between the parties beyond the relief that was actually granted or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Bradshaw Construction Ltd. v. Bank of Nova Scotia </w:t>
      </w:r>
      <w:hyperlink r:id="rId572" w:history="1">
        <w:r>
          <w:rPr>
            <w:rFonts w:ascii="arial" w:eastAsia="arial" w:hAnsi="arial" w:cs="arial"/>
            <w:i/>
            <w:color w:val="0077CC"/>
            <w:sz w:val="20"/>
            <w:u w:val="single"/>
            <w:shd w:val="clear" w:color="auto" w:fill="FFFFFF"/>
            <w:lang w:val="en-US" w:eastAsia="en-US" w:bidi="ar-SA"/>
          </w:rPr>
          <w:t>(1991), 54 B.C.L.R. (2d) 309</w:t>
        </w:r>
      </w:hyperlink>
      <w:r>
        <w:rPr>
          <w:rFonts w:ascii="arial" w:eastAsia="arial" w:hAnsi="arial" w:cs="arial"/>
          <w:color w:val="000000"/>
          <w:sz w:val="20"/>
          <w:lang w:val="en-US" w:eastAsia="en-US" w:bidi="ar-SA"/>
        </w:rPr>
        <w:t xml:space="preserve"> at para. 20, </w:t>
      </w:r>
      <w:hyperlink r:id="rId572" w:history="1">
        <w:r>
          <w:rPr>
            <w:rFonts w:ascii="arial" w:eastAsia="arial" w:hAnsi="arial" w:cs="arial"/>
            <w:i/>
            <w:color w:val="0077CC"/>
            <w:sz w:val="20"/>
            <w:u w:val="single"/>
            <w:shd w:val="clear" w:color="auto" w:fill="FFFFFF"/>
            <w:lang w:val="en-US" w:eastAsia="en-US" w:bidi="ar-SA"/>
          </w:rPr>
          <w:t>48 C.P.C. (2d) 74</w:t>
        </w:r>
      </w:hyperlink>
      <w:r>
        <w:rPr>
          <w:rFonts w:ascii="arial" w:eastAsia="arial" w:hAnsi="arial" w:cs="arial"/>
          <w:color w:val="000000"/>
          <w:sz w:val="20"/>
          <w:lang w:val="en-US" w:eastAsia="en-US" w:bidi="ar-SA"/>
        </w:rPr>
        <w:t xml:space="preserve"> (S.C.), aff'd </w:t>
      </w:r>
      <w:hyperlink r:id="rId573" w:history="1">
        <w:r>
          <w:rPr>
            <w:rFonts w:ascii="arial" w:eastAsia="arial" w:hAnsi="arial" w:cs="arial"/>
            <w:i/>
            <w:color w:val="0077CC"/>
            <w:sz w:val="20"/>
            <w:u w:val="single"/>
            <w:shd w:val="clear" w:color="auto" w:fill="FFFFFF"/>
            <w:lang w:val="en-US" w:eastAsia="en-US" w:bidi="ar-SA"/>
          </w:rPr>
          <w:t>(1992), 73 B.C.L.R. (2d) 212</w:t>
        </w:r>
      </w:hyperlink>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[1993] 1 W.W.R. 596</w:t>
        </w:r>
      </w:hyperlink>
      <w:r>
        <w:rPr>
          <w:rFonts w:ascii="arial" w:eastAsia="arial" w:hAnsi="arial" w:cs="arial"/>
          <w:color w:val="000000"/>
          <w:sz w:val="20"/>
          <w:lang w:val="en-US" w:eastAsia="en-US" w:bidi="ar-SA"/>
        </w:rPr>
        <w:t xml:space="preserve"> (C.A.), rev'd on other grounds </w:t>
      </w:r>
      <w:hyperlink r:id="rId574" w:history="1">
        <w:r>
          <w:rPr>
            <w:rFonts w:ascii="arial" w:eastAsia="arial" w:hAnsi="arial" w:cs="arial"/>
            <w:i/>
            <w:color w:val="0077CC"/>
            <w:sz w:val="20"/>
            <w:u w:val="single"/>
            <w:shd w:val="clear" w:color="auto" w:fill="FFFFFF"/>
            <w:lang w:val="en-US" w:eastAsia="en-US" w:bidi="ar-SA"/>
          </w:rPr>
          <w:t>(1992), 19 B.C.A.C. 186</w:t>
        </w:r>
      </w:hyperlink>
      <w:r>
        <w:rPr>
          <w:rFonts w:ascii="arial" w:eastAsia="arial" w:hAnsi="arial" w:cs="arial"/>
          <w:color w:val="000000"/>
          <w:sz w:val="20"/>
          <w:lang w:val="en-US" w:eastAsia="en-US" w:bidi="ar-SA"/>
        </w:rPr>
        <w:t>, 34 W.A.C. 186 (C.A.), Bouck J. states that in respect of "importance", the test is the importance, "to the public at large or at least to other litigation of a similar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this case the factors to be considered in determining the appropriate scale of costs are: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of the action took 18 days;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primary issue tried was the indemnity claim of the plaintiffs against the defendants;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following issues were raised by the defence:</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plaintiffs were estopped from claiming indemnification;</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 Seaboard Shipping Company Ltd. ("Seaboard") would have been found vicariously liable for the breach of duty by its employees if the plaintiffs had succeeded on their indemnity claim against the defendant Seaboard International Shipping Company Limited ("SISCO"); and</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plaintiffs' legal obligation with respect to proving its claim for indemnity;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case was hard fought;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lengthy examinations-for-discovery by both the plaintiffs and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defendants submit that their effort to bring the accurate facts before the Court was more than is required in an ordinary action, as they had to: subpoena the supercargo, Mr. Otsuji; conduct an extensive review of the documentation; obtain production of Mr. Otsuji's personal file; and, conduct a lengthy cross-examination of Mr. Otsuji to establish that, in fact, he did not accurately record the quantities of lumber on and under deck on the mates receipts or on the master bill of lading.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also say that the length of the parties' written outlines of argument and that fact that it took two days to argue the case clearly establish much more effort than would be required in an ordinary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respect of the importance of the case, the plaintiffs tender the affidavit of Mr. Bjorndal sworn December 28, 2005, in which he deposes that prior to this action being commenced, no similar action had ever been brought by a carrier against SISCO as a freight forwarder for indemnity in respect of a cargo damage claim based on a Contract of Affreightment ("COA"). He also deposes that since this action was brought, another forest product carrier has commenced third party proceedings against SISCO in three actions in this Court for contribution and indemnity in respect of damage caused by soda ash to a cargo of lumber and that in each of those third party proceedings the claimant is relying on similar allegations to those raised in the instant action. Mr. Bjorndal believes that the decision in this action will be determinative of the third party proceedings and any similar future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do not agree that this case will determine the final outcome of the third party proceedings. The plaintiffs also say that the question of indemnity of a shipowner by a charterer or other party who issues a bill of lading for the master or shipowner has been the source of a great number of decisions and that there is little difference between an obligation that arises in a COA as opposed to a charter party or any other similar document of carriage and that there is nothing new about the obligation or the inclusion of contractual indemnity clauses in such documentation.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also submit that the case was made more complex and the trial extended by the defence issues relating to estoppel, vicarious liability and proof of indemnity; they say that although the case was hard fought, much of the dispute between the parties related to issues on which the plaintiffs were successful and that in the end one can compare the within action to the two day Rule 18A applications in the underlying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Finally, the plaintiffs claim that the length of the parties' written arguments and the time taken to argue the case was determined by the manner in which the defendants chose to defend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With respect, I do not agree with the plaintiffs that this case was a relatively straightforward claim in contract and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primary issue of SISCO's obligation in law to indemnify the plaintiffs was complicated, and, in my view, is the issue that took up the majority of time during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Regarding the plaintiffs' position on the application of this case to the ultimate determination of third party proceedings in other litigation, they have not explained the basis of their belief that the instant case can be distinguished from the facts in the third party proceedings such that the instant case will not determine the outcome of those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Moreover, I agree with the defendants that the fact that the underlying actions were dealt with in two days by way of Rule 18A does not have a bearing on the length of time taken to decide the issues in the trial. Obviously the instant case could not be decided in a summary manner due to the issues of credibility and reliability of the evidence of certain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When I consider the relevant factors, particularly the length of the trial, the complexity of the primary issue, the number of issues to be decided and the level of difficulty in the final arguments on all of the issues, and the potential precedential value of this case to the third party proceedings, I am persuaded that this is a case of more than ordinary difficulty or importance and that costs should be awarded to the defendants on Scale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 OF PART OF A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plaintiffs' argument that under Rule 57(15) the Court should exercise its discretion to award them costs with respect to certain discrete issues, they recite three factors to be applied as relevant considerations when there has been mixed success in a lawsuit:</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issue for which costs are being considered is sufficiently distinguishable from the remainder of the case: Sutherland v. Canada (Attorney General) (2005), 15 C.P.C. (6th) 368 at para. 14, </w:t>
      </w:r>
      <w:hyperlink r:id="rId575" w:history="1">
        <w:r>
          <w:rPr>
            <w:rFonts w:ascii="arial" w:eastAsia="arial" w:hAnsi="arial" w:cs="arial"/>
            <w:i/>
            <w:color w:val="0077CC"/>
            <w:sz w:val="20"/>
            <w:u w:val="single"/>
            <w:shd w:val="clear" w:color="auto" w:fill="FFFFFF"/>
            <w:lang w:val="en-US" w:eastAsia="en-US" w:bidi="ar-SA"/>
          </w:rPr>
          <w:t>2005 BCSC 479</w:t>
        </w:r>
      </w:hyperlink>
      <w:r>
        <w:rPr>
          <w:rFonts w:ascii="arial" w:eastAsia="arial" w:hAnsi="arial" w:cs="arial"/>
          <w:color w:val="000000"/>
          <w:sz w:val="20"/>
          <w:lang w:val="en-US" w:eastAsia="en-US" w:bidi="ar-SA"/>
        </w:rPr>
        <w:t xml:space="preserve">, citing Jacobsen v. Bergman, </w:t>
      </w:r>
      <w:hyperlink r:id="rId576" w:history="1">
        <w:r>
          <w:rPr>
            <w:rFonts w:ascii="arial" w:eastAsia="arial" w:hAnsi="arial" w:cs="arial"/>
            <w:i/>
            <w:color w:val="0077CC"/>
            <w:sz w:val="20"/>
            <w:u w:val="single"/>
            <w:shd w:val="clear" w:color="auto" w:fill="FFFFFF"/>
            <w:lang w:val="en-US" w:eastAsia="en-US" w:bidi="ar-SA"/>
          </w:rPr>
          <w:t>[1999] B.C.J. No. 2910</w:t>
        </w:r>
      </w:hyperlink>
      <w:r>
        <w:rPr>
          <w:rFonts w:ascii="arial" w:eastAsia="arial" w:hAnsi="arial" w:cs="arial"/>
          <w:color w:val="000000"/>
          <w:sz w:val="20"/>
          <w:lang w:val="en-US" w:eastAsia="en-US" w:bidi="ar-SA"/>
        </w:rPr>
        <w:t xml:space="preserve"> (S.C.); and, BDG Pacific Resources Inc. v. Teck Corp., (1995) 40 C.P.C. (3d) 326 at paras. 8 to 9 (B.C.S.C.);</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use of court time and the expenditure of resources: Sutherland, supra, at para. 16 and Dinyer-Fraser v. Laurentian Bank, </w:t>
      </w:r>
      <w:hyperlink r:id="rId577" w:history="1">
        <w:r>
          <w:rPr>
            <w:rFonts w:ascii="arial" w:eastAsia="arial" w:hAnsi="arial" w:cs="arial"/>
            <w:i/>
            <w:color w:val="0077CC"/>
            <w:sz w:val="20"/>
            <w:u w:val="single"/>
            <w:shd w:val="clear" w:color="auto" w:fill="FFFFFF"/>
            <w:lang w:val="en-US" w:eastAsia="en-US" w:bidi="ar-SA"/>
          </w:rPr>
          <w:t>[2005] B.C.J. No. 2189</w:t>
        </w:r>
      </w:hyperlink>
      <w:r>
        <w:rPr>
          <w:rFonts w:ascii="arial" w:eastAsia="arial" w:hAnsi="arial" w:cs="arial"/>
          <w:color w:val="000000"/>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2005 BCSC 1432</w:t>
        </w:r>
      </w:hyperlink>
      <w:r>
        <w:rPr>
          <w:rFonts w:ascii="arial" w:eastAsia="arial" w:hAnsi="arial" w:cs="arial"/>
          <w:color w:val="000000"/>
          <w:sz w:val="20"/>
          <w:lang w:val="en-US" w:eastAsia="en-US" w:bidi="ar-SA"/>
        </w:rPr>
        <w:t xml:space="preserve"> at para. 15; and,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Basic fairness: Sutherland, supra,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plaintiffs submit that the estoppel issue was treated by the defendants as a very significant aspect of their defence. They say that the evidence of Mr. Hognestad, a significant amount of the evidence of Mr. Bjorndal and some of the evidence of Mr. Brown and Mr. Rowland related to this issue. The plaintiffs say that this issue is separate and clearly defined from the rest of the issues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also submit that the vicarious liability issue occupied a prominent part of the trial and that the evidence of Mr. Bjorndal was significant on this issue. In addition, a day of trial time was taken up for the purpose of the defendants' no evidence motion on this issue. The plaintiffs say that the defence position on this issue was weak and, in any event, occupied far more trial time than it should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Finally, the issue relating to the plaintiffs' obligation in proving a claim for indemnity was one on which the plaintiffs succeeded. They say that this issue, being one of law, was separate and discrete and was at no time conceded by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the factor of the use of court time and expenditure of resources, the plaintiffs submit that a very significant amount of time was spent on matters on which the defence was unsuccessful. It is reasonable, in the plaintiffs' view, to suggest that the trial on the indemnity issue only could have been accomplished in approximately one-half the time that was actually used and that the costs payable to the defendants should be reduced by fifty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submit that a more just result would be affected by allowing costs to the plaintiffs with respect to the three issues on which the defence was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defendants concede that the plaintiffs' authorities dealing with the discretion of the Court, Gotaverken Energy Systems Ltd. v. Caribou Pulp &amp; Paper Co. </w:t>
      </w:r>
      <w:hyperlink r:id="rId578" w:history="1">
        <w:r>
          <w:rPr>
            <w:rFonts w:ascii="arial" w:eastAsia="arial" w:hAnsi="arial" w:cs="arial"/>
            <w:i/>
            <w:color w:val="0077CC"/>
            <w:sz w:val="20"/>
            <w:u w:val="single"/>
            <w:shd w:val="clear" w:color="auto" w:fill="FFFFFF"/>
            <w:lang w:val="en-US" w:eastAsia="en-US" w:bidi="ar-SA"/>
          </w:rPr>
          <w:t>(1995), 9 B.C.L.R. (3d) 340</w:t>
        </w:r>
      </w:hyperlink>
      <w:r>
        <w:rPr>
          <w:rFonts w:ascii="arial" w:eastAsia="arial" w:hAnsi="arial" w:cs="arial"/>
          <w:color w:val="000000"/>
          <w:sz w:val="20"/>
          <w:lang w:val="en-US" w:eastAsia="en-US" w:bidi="ar-SA"/>
        </w:rPr>
        <w:t xml:space="preserve">, 45 C.P.C. (3d) 78 (S.C.) and British Columbia v. Worthington (Can) Inc., </w:t>
      </w:r>
      <w:hyperlink r:id="rId579" w:history="1">
        <w:r>
          <w:rPr>
            <w:rFonts w:ascii="arial" w:eastAsia="arial" w:hAnsi="arial" w:cs="arial"/>
            <w:i/>
            <w:color w:val="0077CC"/>
            <w:sz w:val="20"/>
            <w:u w:val="single"/>
            <w:shd w:val="clear" w:color="auto" w:fill="FFFFFF"/>
            <w:lang w:val="en-US" w:eastAsia="en-US" w:bidi="ar-SA"/>
          </w:rPr>
          <w:t>(1988), 29 B.C.L.R. (2d) 145</w:t>
        </w:r>
      </w:hyperlink>
      <w:r>
        <w:rPr>
          <w:rFonts w:ascii="arial" w:eastAsia="arial" w:hAnsi="arial" w:cs="arial"/>
          <w:color w:val="000000"/>
          <w:sz w:val="20"/>
          <w:lang w:val="en-US" w:eastAsia="en-US" w:bidi="ar-SA"/>
        </w:rPr>
        <w:t xml:space="preserve">, </w:t>
      </w:r>
      <w:hyperlink r:id="rId579" w:history="1">
        <w:r>
          <w:rPr>
            <w:rFonts w:ascii="arial" w:eastAsia="arial" w:hAnsi="arial" w:cs="arial"/>
            <w:i/>
            <w:color w:val="0077CC"/>
            <w:sz w:val="20"/>
            <w:u w:val="single"/>
            <w:shd w:val="clear" w:color="auto" w:fill="FFFFFF"/>
            <w:lang w:val="en-US" w:eastAsia="en-US" w:bidi="ar-SA"/>
          </w:rPr>
          <w:t>32 C.P.C. (2d) 166</w:t>
        </w:r>
      </w:hyperlink>
      <w:r>
        <w:rPr>
          <w:rFonts w:ascii="arial" w:eastAsia="arial" w:hAnsi="arial" w:cs="arial"/>
          <w:color w:val="000000"/>
          <w:sz w:val="20"/>
          <w:lang w:val="en-US" w:eastAsia="en-US" w:bidi="ar-SA"/>
        </w:rPr>
        <w:t xml:space="preserve"> (C.A.), leave to appeal to S.C.C. refused, </w:t>
      </w:r>
      <w:hyperlink r:id="rId580" w:history="1">
        <w:r>
          <w:rPr>
            <w:rFonts w:ascii="arial" w:eastAsia="arial" w:hAnsi="arial" w:cs="arial"/>
            <w:i/>
            <w:color w:val="0077CC"/>
            <w:sz w:val="20"/>
            <w:u w:val="single"/>
            <w:shd w:val="clear" w:color="auto" w:fill="FFFFFF"/>
            <w:lang w:val="en-US" w:eastAsia="en-US" w:bidi="ar-SA"/>
          </w:rPr>
          <w:t>[1988] S.C.C.A. No. 368</w:t>
        </w:r>
      </w:hyperlink>
      <w:r>
        <w:rPr>
          <w:rFonts w:ascii="arial" w:eastAsia="arial" w:hAnsi="arial" w:cs="arial"/>
          <w:color w:val="000000"/>
          <w:sz w:val="20"/>
          <w:lang w:val="en-US" w:eastAsia="en-US" w:bidi="ar-SA"/>
        </w:rPr>
        <w:t xml:space="preserve"> , are important precedents for consideration in respect of the application of Rule 57(15).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However, they note that Worthington, supra, involved a 41 day trial, 14 days of which was taken up by issues introduced by the defendants. In that case Esson J.A. notes at p. 167, "[I]t would be error in principle to interpret R. 57(8) [now R. 57(15)] as requiring the court to award to the plaintiff the costs of any issue on which the defendant failed." At p. 168, his Lordship classifies the defences of the case as being of the "kitchen sink variety", and says that the additional issues "would necessarily increase to a very substantial degree, the costs and expense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Gotaverken, supra, a 34 day trial, Vickers J. held that considering the amount in issue and the amount conceded to be owed by the defendant, the defendant was entitled to 80% of its costs because it was 80% successful. At p. 343 of the decision, his Lordship acknowledges that applications to apportion costs should not become regular features of litigation and that: "Rule 57(15) was not designed to allow for a minute dissection of the success or failure of litigants on the completion of a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Sutherland, supra, a 39 day trial, 25 days of which was spent in deciding an issue upon which the plaintiff was successful, Holmes J. held that the case qualified "as one of those rare cases where an apportionment of costs pursuant to Rule 57(15) is manifestly fair and just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McLachlin &amp; Taylor, in British Columbia Practice, 2d ed., looseleaf (Vancouver: Butterworths, 1991) vol. 2 at s. 57(15) state: "the principle that emerges from the case law is that R 57(15) is designed to redress the basic unfairness that would result if a successful party were permitted to recover costs of unnecessary issues that it (the ultimately successful party) deliberately raised at trial; that it was not successful on; and that increased the costs of the trial to a substantial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BDG Pacific Resources, supra, Spencer J., at para. 5, states, in respect of the dicta from Worthington, supra: "The discretion apparently is to be exercised on a broad basis, dealing with the major divisions of a case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Webber v. Canadian Aviation Insurance Managers (2003), 29 C.P.C. (5th) 226 at para. 22, </w:t>
      </w:r>
      <w:hyperlink r:id="rId581" w:history="1">
        <w:r>
          <w:rPr>
            <w:rFonts w:ascii="arial" w:eastAsia="arial" w:hAnsi="arial" w:cs="arial"/>
            <w:i/>
            <w:color w:val="0077CC"/>
            <w:sz w:val="20"/>
            <w:u w:val="single"/>
            <w:shd w:val="clear" w:color="auto" w:fill="FFFFFF"/>
            <w:lang w:val="en-US" w:eastAsia="en-US" w:bidi="ar-SA"/>
          </w:rPr>
          <w:t>2003 BCSC 274</w:t>
        </w:r>
      </w:hyperlink>
      <w:r>
        <w:rPr>
          <w:rFonts w:ascii="arial" w:eastAsia="arial" w:hAnsi="arial" w:cs="arial"/>
          <w:color w:val="000000"/>
          <w:sz w:val="20"/>
          <w:lang w:val="en-US" w:eastAsia="en-US" w:bidi="ar-SA"/>
        </w:rPr>
        <w:t>, Sinclair Prowse J. states that orders under Rule 57(15) should be "limited to situations in which there are grounds (such as misconduct) that call, in fairness, for an apportionment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Bailey v. Victory </w:t>
      </w:r>
      <w:hyperlink r:id="rId582" w:history="1">
        <w:r>
          <w:rPr>
            <w:rFonts w:ascii="arial" w:eastAsia="arial" w:hAnsi="arial" w:cs="arial"/>
            <w:i/>
            <w:color w:val="0077CC"/>
            <w:sz w:val="20"/>
            <w:u w:val="single"/>
            <w:shd w:val="clear" w:color="auto" w:fill="FFFFFF"/>
            <w:lang w:val="en-US" w:eastAsia="en-US" w:bidi="ar-SA"/>
          </w:rPr>
          <w:t>(1995), 4 B.C.L.R. (3d) 389</w:t>
        </w:r>
      </w:hyperlink>
      <w:r>
        <w:rPr>
          <w:rFonts w:ascii="arial" w:eastAsia="arial" w:hAnsi="arial" w:cs="arial"/>
          <w:color w:val="000000"/>
          <w:sz w:val="20"/>
          <w:lang w:val="en-US" w:eastAsia="en-US" w:bidi="ar-SA"/>
        </w:rPr>
        <w:t xml:space="preserve"> at pp. 392-393, </w:t>
      </w:r>
      <w:hyperlink r:id="rId582" w:history="1">
        <w:r>
          <w:rPr>
            <w:rFonts w:ascii="arial" w:eastAsia="arial" w:hAnsi="arial" w:cs="arial"/>
            <w:i/>
            <w:color w:val="0077CC"/>
            <w:sz w:val="20"/>
            <w:u w:val="single"/>
            <w:shd w:val="clear" w:color="auto" w:fill="FFFFFF"/>
            <w:lang w:val="en-US" w:eastAsia="en-US" w:bidi="ar-SA"/>
          </w:rPr>
          <w:t>38 C.P.C. (3d) 84</w:t>
        </w:r>
      </w:hyperlink>
      <w:r>
        <w:rPr>
          <w:rFonts w:ascii="arial" w:eastAsia="arial" w:hAnsi="arial" w:cs="arial"/>
          <w:color w:val="000000"/>
          <w:sz w:val="20"/>
          <w:lang w:val="en-US" w:eastAsia="en-US" w:bidi="ar-SA"/>
        </w:rPr>
        <w:t xml:space="preserve"> (C.A.), Cumming J.A.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appropriate cases awards for costs can be made with a view to discouraging frivolous claims or defences and unnecessary or abusive proceedings, to encourage prompt and early settlement, and, in appropriate cases, to penalize improper conduct. But through the Rules and the decided cases runs one simple overriding principle which must not be lost sight of - that is that discretionary exceptions to the general rule must be made judicially.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the issue of whether the plaintiffs were estopped from claiming indemnification, I held at para. 105 of my Reasons for Judgment (the "Reasons") that SISCO had failed to prove that the plaintiffs would have been estopped from claiming indemnity from SISCO. Moreover, I agreed with the plaintiffs' analysis of the authorities that their obligation to prove their claim for indemnity against SISCO was to merely establish that their conduct and the payment made by them to the plaintiffs in the underlying actions was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On the issue of the vicarious liability of Seaboard, I held at para. 114 of the Reasons that if there had been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Ms. Davids or Ms. Gee in their preparation and issuance of the SISCO bills of lading, Seaboard would have been held vicariously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Of course it is not possible to perform a perfect analysis of how the time at trial was utilized on the discrete issues. As already mentioned, the primary issue of SISCO's obligation to indemnify the plaintiffs took up the majority of the time at trial. The issue relating to the plaintiffs' obligation in proving a claim for indemnity was one of pure law. I agree with the defence that the time taken up at trial dealing with this issue cannot be said to have increased the costs to such a "substantial degree" that considering the merits of the argument, it would create unfairness to the plaintiffs to refuse to apportion the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Regarding the defence of estoppel, in addition to the evidence of Mr. Hognestad on this issue, he also testified about his background in the shipping business and his employment with the plaintiff Gearbulk Pool Ltd. ("Gearbulk"), the history and relationship of the parties in dealing with the COA, his involvement with the damage to the cargo prior to his discussions with Mr. Bjorndal, and Gearbulk's general claims handling procedures. In my opinion, the time taken up during the trial by Mr. Hognestad and some of the other witnesses on the estoppel issue cannot be said to have increased the costs to a "substantial degree" justifying an apportionment of costs on the ground of fairness.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Finally, on the issue of the vicarious liability of Seaboard, I agree with the defence that the most significant trial time taken up in connection with this issue was the day spent by the parties arguing the defendants' no evidence motion. I agree with the defence that this is not an issue that would justify an apportionment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 result, I find that the defendants are entitled to their costs at Scale 4 and double costs from February 4, 2005 onward. The plaintiffs' application for a division of costs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COHEN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8"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Gigliotti v. Masev Communications Inc., [2004] B.C.J. No. 94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12 - 14,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22,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S022954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30 C.C.E.L. (3d) 114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128 A.C.W.S. (3d) 515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B.C.T.C. 85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Frank Gigliotti and Pan Pacific Communications Inc., plaintiffs, and Masev Communications Inc.,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9"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6" w:name="Keywords_30"/>
      <w:bookmarkEnd w:id="206"/>
      <w:r>
        <w:rPr>
          <w:rFonts w:ascii="arial" w:eastAsia="arial" w:hAnsi="arial" w:cs="arial"/>
          <w:b/>
          <w:color w:val="000000"/>
          <w:sz w:val="20"/>
          <w:lang w:val="en-US" w:eastAsia="en-US" w:bidi="ar-SA"/>
        </w:rPr>
        <w:t>Master and servant — Dismissal without cause — Notice of dismissal — What constitutes reasonable notice — Damages — Elements — Fraud and misrepresentation (deceit) — Contract of employment — Breach — Aggravated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7" w:name="Case Summary_27"/>
            <w:bookmarkEnd w:id="20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Gigliotti and his consulting firm, Pan Pacific Communications Inc., for summary judgment in their action for damages for wrongful dismissal against Masev Communications. Masev counterclaimed, seeking to rescind the amended management agreement between it and the plaintiffs on the ground of misrepresentation. Gigliotti became a shareholder in Masev, whose business was promoting and staging extreme sports events. Gigliotti told the other shareholders that for tax reasons, his non-competition clause had to be different from theirs, as it had to look as though he had other clients in order to avoid the appearance that he was a Masev employee. Gigliotti claimed that at first he and Pan Pacific devoted all of their time to Masev, but changes to the compensation scheme led him to also work for clients that were in different businesses from Masev's. Two weeks after executing the amended management agreement which allowed competition by consent of the board, Masev summarily dismissed the plaintiffs. An investor was told that the dismissal was because, at age 55, Gigliotti did not project the younger image Masev wanted to promote. However, Masev now claimed that the dismissal was because of Gigliotti's performance, including the fact that he was not spending all of his time on Masev business.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8" w:name="Holdings of Court_26"/>
            <w:bookmarkEnd w:id="208"/>
            <w:r>
              <w:rPr>
                <w:rFonts w:ascii="arial" w:eastAsia="arial" w:hAnsi="arial" w:cs="arial"/>
                <w:color w:val="000000"/>
                <w:sz w:val="20"/>
                <w:lang w:val="en-US" w:eastAsia="en-US" w:bidi="ar-SA"/>
              </w:rPr>
              <w:t>HELD: Action allowed and counterclaim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were entitled to judgment in accordance with the termination clause in the agreement plus $40,000 for arrears of Gigliotti's monthly base fee, and $1,000 in aggravated damages. The agreement envisioned that Gigliotti could service other clients not in conflict with Masev. If Gigliotti failed to inform the other shareholders of his other work, this was consistent with his position that the other clients were non-competing and irrelevant. In any event, there was no evidence that he acted deceptively or fraudulently. Further, the fact that the agreement limited contractual representations to those within the document itself made other alleged representations inadmissible. Masev breached the agreement's notice requirements regarding termination, entitling the plaintiffs to nominal damages for breach of Masev's warranty to act in good faith. While it appeared that Masev might have discriminated against Gigliotti on the basis of his age, in a summary proceeding the court was obliged to accept the defence evidence that the dismissal was because of Gigliotti's performance.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9" w:name="Counsel_30"/>
      <w:bookmarkEnd w:id="20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0"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J.D. Shields and M. Wynn, for the plaintiffs. J.Z. Ahmad,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0" w:name="Judgment_30"/>
      <w:bookmarkEnd w:id="210"/>
      <w:r>
        <w:pict>
          <v:line id="_x0000_s1181" style="position:absolute;z-index:25179238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1" w:name="GRAY J."/>
            <w:bookmarkEnd w:id="211"/>
            <w:r>
              <w:rPr>
                <w:rFonts w:ascii="arial" w:eastAsia="arial" w:hAnsi="arial" w:cs="arial"/>
                <w:b/>
                <w:color w:val="000000"/>
                <w:sz w:val="30"/>
                <w:lang w:val="en-US" w:eastAsia="en-US" w:bidi="ar-SA"/>
              </w:rPr>
              <w:t>GRAY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individual plaintiff, Mr. Frank Gigliotti, is a businessman. He was president and chief executive officer of the defendant, Masev Communications Inc. ("Masev"), until he was summarily dismissed on May 16, 2002. Mr. Gigliotti's services were provided through his consulting firm, the corporate plaintiff, Pan Pacific Communications Inc. ("Pan Pacific"). The plaintiffs claim about $185,000 pursuant to the terms of the Amended Plaintiffs' Management Agreement made among the parties to this lawsuit, plus aggravated and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Masev seeks rescission of the Amended Plaintiffs' Management Agreement. Masev alleges that it was induced by the fraud of the plaintiffs to sign the agreement. Masev has counterclaimed for damages for alleged fraudulent, reckless or negligent misrepresentations, breach of fiduciary duty and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applied for judgment on their claim and dismissal of Masev's counterclaim. The hearing proceeded pursuant to Rule 18A on the basis of affidavits alone. No examinations for discovery or cross-examination of affidavits occurred or were sought prior to the hearing. The position of Masev is that the issues are not appropriate for resolution pursuant to Rule 18A primarily on the basis of conflict in the evidence regarding alleged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alleged fraud inducing Masev to enter into the contract relates to alleged representations about whether Mr. Gigliotti would be involved in any venture other than Masev.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issues are as follows:</w:t>
      </w:r>
      <w:r>
        <w:rPr>
          <w:rFonts w:ascii="arial" w:eastAsia="arial" w:hAnsi="arial" w:cs="arial"/>
          <w:sz w:val="20"/>
          <w:lang w:val="en-US" w:eastAsia="en-US" w:bidi="ar-SA"/>
        </w:rPr>
        <w:cr/>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can be determined under Rule 18A, is Masev entitled to rescission of the Amended Plaintiffs' Management Agreement dated for reference effective April 15, 2002?</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rescission of the Amended Plaintiffs' Management Agreement is not available, could Masev obtain a remedy for alleged misrepresentations?</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Court determined under Rule 18A that the Amended Plaintiffs' Management Agreement is enforceable, what remedy should be given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Gigliotti is a businessman who is about 55 years old. He is a volunteer for the Sports Hall of Fame and is the former president of the B.C. Lions Football Team. He is president and director of the corporate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late 2000, Mr. Gigliotti left his job to convalesce at home for a few months. He was subsequently approached to participate in the venture which became the defendant Masev.</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Startup of Masev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discussion which led to the formation of Masev began in early 2001. The concept was to create an "extreme sports" event company which would acquire the business of three operating companies. The three operating companies were owned by Messrs. Mark Taylor, John Donnelly and Erik Kalacis. They and Messrs Gigliotti, Darcy Taylor and Cec Annett became the six shareholders and directors of Masev. They referred to each other as "partners". I will refer to them as either "partners" or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evidence is in conflict about whether Mr. Gigliotti advised the other Shareholders at the outset that he might be involved in other ventures. The conflicting evidence is as follows:</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Gigliotti deposed that as early as June 2001, he indicated to all of the other "partners" that if he did not receive adequate compensation from Masev he could potentially be forced to take on other clients. He deposed that none of the others objected.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Darcy Taylor deposed that Mr. Gigliotti's remark was made in a casual, off-hand manner, and that he told Mr. Gigliotti that it would be absolutely unacceptable for him to do any work for other clients. Mr. Darcy Taylor deposed that Mr. Gigliotti did not disagree and did not pursue the discussion.</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Mark Taylor deposed that he told Mr. Gigliotti that all of the "partners" would have to discuss the issue of his working for others when and if the situation arose. Mr. Mark Taylor deposed that Mr. Gigliotti "did not agree or attempt to pursue the discussion".</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Donnelly deposed that he did not recall Mr. Gigliotti making the remark.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Gigliotti deposed that all the "partners" were aware that his regular Pan Pacific billing rate was $200 per hour. and Mr. Darcy Taylor knew that he had billed out $10,000 per month for agreeing to dedicate only 25% of his time on the XBUZZ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Masev began operations in August 2001 through the acquisition of the three operating companies. The company was incorporated as a numbered company, and assumed its present name in September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some point in 2001, Mr. Gigliotti consulted Mr. Buckley of the accounting firm Buckley Dodds about the best structuring for his management agreement. Mr. Buckley advised Mr. Gigliotti that he must perform work for other clients in order to avoid the tax implications of being deemed by Customs and Revenue Canada an employee of Masev. Mr. Gigliotti did not advise the "partners" that he had been advised to work for other clients, although he did advise them that that for tax reasons his arrangements with Masev were structured differently from theirs.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Gigliotti and several of the other Shareholders worked for both Masev and other ventures. However, the other Shareholders were not aware of Mr. Gigliotti's activities until after his dismissal. I will describe both Mr. Gigliotti's activities and those of the other Shareholders.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Annett and Ally Containment 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is a conflict in the evidence regarding how the Shareholders dealt with the issue of Mr. Annett working for Ally Containment Co. ("Ally"), a company marketing backpacks.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Annett deposed as follows:</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about October 2001, the other five Shareholders questioned Mr. Annett's degree of commitment to Masev. Mr. Annett wanted to continue working for both Masev and Ally, but the Shareholders told him that working for both was not acceptable and they did not want him to work for Masev on anything other than a full-time basis;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Annett was given the choice of working for Ally through Masev, or working just for Masev or just for Ally, but not of working directly for both companies. In the course of those discussions, Mr. Gigliotti told Mr. Annett he was working 100% for Masev and wanted the same commitment from Mr. Annett;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Annett made that commitment, but an arrangement was reached during the transition period until his contract with Ally expired. Mr. Annett deposed that he continued to work for Ally until the Ally contract expired, and he also worked long hours for Masev, but that while he was working for Ally he received no compensation from Masev. He deposed that the "partners" insisted that he would not receive compensation from Masev since he would not be working 100% for that company. He did not receive compensation from Masev until several months after he stopped working for 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Gigliotti deposed that he did not agree that Mr. Annett could finish out his contract with Ally. He wanted Mr. Annett to either assign his Ally contract to Masev or end his association with Masev. The other "partners" agreed that Mr. Annett could finish out his contract with Ally while continuing to work for Masev. Mr. Gigliotti's evidence is that the majority prevailed on this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Gigliotti's evidence questions how much time Mr. Annett spent working for Masev, and suggests that Mr. Annett was paid only by Ally because he was working full-time for them on a lucrative contract, providing $6,700 (US) monthly. Mr. Gigliotti's evidence suggests that Masev compensated Mr. Annett for his early involvement without pay by giving him founder's shares in Masev. Mr. Gigliotti deposed that the concern about Mr. Annett was that he was not fulfilling his commitments to Masev because of his duties to Ally.</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Going Public and SVC Letter of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Masev Shareholders were interested in taking the company public. Mr. Gigliotti has known Mr. Doug Mason for over a decade and was in a position to introduce Masev to him. Mr. Mason became involved with Masev in the fall of 2001, with respect to Masev's financing and the structuring of a public company into which Masev would be sold, SVC Second Venture Capital Corp. ("SVC").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Masev and SVC signed a letter of intent dated October 31, 2001. This contemplated SVC entering into a "reverse take-over" of Masev, acquiring control of Masev by purchasing Masev shares with SVC shares. It was conditional on several things, including SVC completing a satisfactory due diligence review.</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Preparation of Original Management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fall of 2001, there were communications among the Shareholders and with legal counsel about terms of the written agreements. Ultimately, the six Shareholders and Masev signed a Shareholders' Agreement, and Masev and each Shareholder signed an original management agreement. All agreements were physically executed in January 2002, but stated to be effective as of August 1,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 was a draft Management Agreement which included the following as section 5.1 (my 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No Conflict</w:t>
            </w:r>
            <w:r>
              <w:rPr>
                <w:rFonts w:ascii="arial" w:eastAsia="arial" w:hAnsi="arial" w:cs="arial"/>
                <w:color w:val="000000"/>
                <w:sz w:val="18"/>
                <w:lang w:val="en-US" w:eastAsia="en-US" w:bidi="ar-SA"/>
              </w:rPr>
              <w:t>. During this Agreement the Consultant...</w:t>
            </w:r>
            <w:r>
              <w:rPr>
                <w:rFonts w:ascii="arial" w:eastAsia="arial" w:hAnsi="arial" w:cs="arial"/>
                <w:color w:val="000000"/>
                <w:sz w:val="18"/>
                <w:u w:val="single"/>
                <w:lang w:val="en-US" w:eastAsia="en-US" w:bidi="ar-SA"/>
              </w:rPr>
              <w:t>will not engage in any business which reasonably may detract from, compete with or conflict with the Consultant's duties and obligations to the Company</w:t>
            </w:r>
            <w:r>
              <w:rPr>
                <w:rFonts w:ascii="arial" w:eastAsia="arial" w:hAnsi="arial" w:cs="arial"/>
                <w:color w:val="000000"/>
                <w:sz w:val="18"/>
                <w:lang w:val="en-US" w:eastAsia="en-US" w:bidi="ar-SA"/>
              </w:rPr>
              <w:t xml:space="preserve"> as set forth in this Agreement, </w:t>
            </w:r>
            <w:r>
              <w:rPr>
                <w:rFonts w:ascii="arial" w:eastAsia="arial" w:hAnsi="arial" w:cs="arial"/>
                <w:color w:val="000000"/>
                <w:sz w:val="18"/>
                <w:u w:val="single"/>
                <w:lang w:val="en-US" w:eastAsia="en-US" w:bidi="ar-SA"/>
              </w:rPr>
              <w:t>without disclosure to the Board of Directors of the Company, and will not do so if the Board of Directors objects</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similar version of s. 5.1 appears in all the executed management agreements effective August 1,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Gigliotti was the primary contact on behalf of Masev with Masev's lawyer, Mr. Jensen, of the firm Devlin Jensen, although Mr. Darcy Taylor sometimes dealt with the firm. Mr. Gigliotti sent Mr. Jensen a comment on November 14, 2001, referring to section 5.1 and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term 'reasonably' is critical in this paragraph. I need to be able to serve on other boards or engage in other business activities...25% of my time needs to be allocated to other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This apparently led to a sentence being added to section 5.1 in the plaintiffs' management agreements, but not in the contracts with any of the other Shareholders. That sentence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this shall not prejudice the right or ability of the Consultant to service other clients not in conflict with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was no such sentence in the management agreements ultimately signed with the other "partners".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Jensen sent an e-mail to Mr. Gigliotti dated December 17, 2001, in which he asked: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Should there be a statement that 100% of time is to be employed by Mark, et al. This is not in yours so will they feel that they are being treated differently? My general sense is that it is not necessary to make an issue of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Jensen asked a similar question in an e-mail of December 20, 2001. Mr. Gigliotti replied in an e-mail of December 20, 2001, "[t]he 100% issue doesn't apply to them, it's only a tax issue with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Mark Taylor sent Mr. Gigliotti an e-mail dated January 3, 2002, in which he referred to the draft management agreement in Mr. Mark Taylor's name and asked, "[i]s this the same agreement for all partners?" Mr. Gigliotti replied by an e-mail dated January 7, 2002, which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Yes the partners all have the same agreement. Cec's is a little different because of the U.S. dollars. Mine is structured differently from an accounting standpoint but the contract reads the same and the compensation, other than salary, is the same for everyone.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Gigliotti sent the "partners" an e-mail dated January 14, 2002, with an attached copy of the first Management Agreement executed between Masev and the plaintiffs ("Original Plaintiffs' Management Agreement"). The e-mail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Attached is a copy of my agreement. It has the same components as yours except for Pan Pacific Communications being the contractor instead of me being an employee. I will serve as president of Masev for a fee of $1.00.</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Shareholders'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six principals of Masev, to whom I refer as "partners" and "Shareholders", were all directors of Masev. All except Messrs. Gigliotti and Donnelly are still directors.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"Shareholders' Agreement" executed by the six Shareholders and Masev and dated for reference effective as of August 1, 2001, and signed in January 2002, includes the following terms (with underlining I have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w:t>
      </w:r>
      <w:r>
        <w:rPr>
          <w:rFonts w:ascii="arial" w:eastAsia="arial" w:hAnsi="arial" w:cs="arial"/>
          <w:b/>
          <w:color w:val="000000"/>
          <w:sz w:val="20"/>
          <w:u w:val="single"/>
          <w:lang w:val="en-US" w:eastAsia="en-US" w:bidi="ar-SA"/>
        </w:rPr>
        <w:t>Representations, warranties and covenants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Each Shareholder hereby represents, warrants and covenants that: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or will be when authorized by the Board (and each Shareholder warrants to take all such steps as may be required to cause the same to be issued as hereafter stated), the registered and beneficial owner of that number of the issued and outstanding Shares as is set out opposite its name below (subject to divesting of section 2.1(b)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882"/>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Name</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Number of Shares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Gigliotti</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 Common Shares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Mark</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1,507,925 Common Shares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Donnelly</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1,267,978 Common Shares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Kalacis</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1,507,227 Common Shares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Darcy</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 Common Shares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Annett</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 Common Shares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each of the Shareholders hereto agrees and acknowledges that he has committed to provide best efforts, attention, and exclusive time to the development of the Corporation and that each of the Shareholder's Shares in the Corporation has been issued in consideration and contemplation that each Shareholder will commit such endevour [sic] to the Corporation and</w:t>
      </w:r>
      <w:r>
        <w:rPr>
          <w:rFonts w:ascii="arial" w:eastAsia="arial" w:hAnsi="arial" w:cs="arial"/>
          <w:color w:val="000000"/>
          <w:sz w:val="20"/>
          <w:lang w:val="en-US" w:eastAsia="en-US" w:bidi="ar-SA"/>
        </w:rPr>
        <w:t xml:space="preserve"> accordingly each Shareholder warrants, inter alia:</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w:t>
      </w:r>
      <w:r>
        <w:rPr>
          <w:rFonts w:ascii="arial" w:eastAsia="arial" w:hAnsi="arial" w:cs="arial"/>
          <w:color w:val="000000"/>
          <w:sz w:val="20"/>
          <w:u w:val="single"/>
          <w:lang w:val="en-US" w:eastAsia="en-US" w:bidi="ar-SA"/>
        </w:rPr>
        <w:t>each Shareholder shall enter into a management/employment agreement with the Corporation for a period of five years</w:t>
      </w:r>
      <w:r>
        <w:rPr>
          <w:rFonts w:ascii="arial" w:eastAsia="arial" w:hAnsi="arial" w:cs="arial"/>
          <w:color w:val="000000"/>
          <w:sz w:val="20"/>
          <w:lang w:val="en-US" w:eastAsia="en-US" w:bidi="ar-SA"/>
        </w:rPr>
        <w:t xml:space="preserve"> for remuneration substantially equal in remuneration for at least the first year (presently considered to be in or about $7000 per month) to </w:t>
      </w:r>
      <w:r>
        <w:rPr>
          <w:rFonts w:ascii="arial" w:eastAsia="arial" w:hAnsi="arial" w:cs="arial"/>
          <w:color w:val="000000"/>
          <w:sz w:val="20"/>
          <w:u w:val="single"/>
          <w:lang w:val="en-US" w:eastAsia="en-US" w:bidi="ar-SA"/>
        </w:rPr>
        <w:t>each Shareholder (unless the board determines otherwise and except for Gigliotti and Annett who the parties have agreed shall receive a larger remuneration) and each Shareholder shall exclusively devote his time and attention to the Corporation for the period of time required by the employment agreements</w:t>
      </w:r>
      <w:r>
        <w:rPr>
          <w:rFonts w:ascii="arial" w:eastAsia="arial" w:hAnsi="arial" w:cs="arial"/>
          <w:color w:val="000000"/>
          <w:sz w:val="20"/>
          <w:lang w:val="en-US" w:eastAsia="en-US" w:bidi="ar-SA"/>
        </w:rPr>
        <w:t>;</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event that a Shareholder leaves the Corporation or is dismissed for unremedied default of management agreement (and thereby ceases to perform his management agreement) then the Shareholder shall, in addition to any damages for breach of agreement, gift to each of the other Shareholders, pro rata in accordance with their Shareholdings, 25% of such defaulting Shareholder's Shares for each quarter (or portion thereof) of the year, commencing August 1, 2001, not served with the Corporation;</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no Shareholder shall compete with the business of the Corporation, or assist any other party to do so, for the period which is the lesser of two years or that period provided by their management agreement with the Corporation (and if no provision is made then for not less than two years or such maximum lesser period as a court may otherwise consider reasonable)</w:t>
      </w:r>
      <w:r>
        <w:rPr>
          <w:rFonts w:ascii="arial" w:eastAsia="arial" w:hAnsi="arial" w:cs="arial"/>
          <w:color w:val="000000"/>
          <w:sz w:val="20"/>
          <w:lang w:val="en-US" w:eastAsia="en-US" w:bidi="ar-SA"/>
        </w:rPr>
        <w:t xml:space="preserve"> and it is acknowledged herewith that such restriction constitutes a substantial portion of the consideration for the issuance of the Shares which were issued at nominal issue value of $0.001 per share by resolution of July 3, 2001;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except as may be otherwise provided in this Agreement or by law, </w:t>
      </w:r>
      <w:r>
        <w:rPr>
          <w:rFonts w:ascii="arial" w:eastAsia="arial" w:hAnsi="arial" w:cs="arial"/>
          <w:color w:val="000000"/>
          <w:sz w:val="20"/>
          <w:u w:val="single"/>
          <w:lang w:val="en-US" w:eastAsia="en-US" w:bidi="ar-SA"/>
        </w:rPr>
        <w:t>all decisions of the Board of Directors</w:t>
      </w:r>
      <w:r>
        <w:rPr>
          <w:rFonts w:ascii="arial" w:eastAsia="arial" w:hAnsi="arial" w:cs="arial"/>
          <w:color w:val="000000"/>
          <w:sz w:val="20"/>
          <w:lang w:val="en-US" w:eastAsia="en-US" w:bidi="ar-SA"/>
        </w:rPr>
        <w:t xml:space="preserve"> and of the Shareholders of the Corporation at a meeting of the Board of Directors or the Shareholders, as the case may be, shall be decided by a simple majority of the votes cast.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 Shareholder Notes and Loans Paid First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and all Shareholder loans or other advances or debits by Shareholders or other persons shall be paid first before any distribution of Profits, unless such Shareholder Notes or loans specifically provide that Profit may be distributed prior to repayment in full of the same or if such provide specific terms of repayment. Not to restrict the foregoing, although the Shareholder Notes provide that the same shall not be repaid except at the discretion of the Board, it is intended, unless waived by the holders thereof, that such Shareholder Notes shall be repaid before any distribution of Profit.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12.7 Entire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Agreement constitutes the entire, full and complete agreement and understanding among the Parties hereto as of the date of execution in respect of the subject matters hereof and supersedes all prior agreements, arrangements and understandings, whether oral or written. There are no representations, inducements, promises, statements or intention or agreements, oral or written, among the Parties hereto not embodied herein which are of any force or effect with reference to this Agreement or the subject matters hereof.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12.8 Amendments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Agreement and its effect on all Parties hereto shall not be amended, modified, superseded or canceled [sic] except by a document or other instrument in writing signed by all of the Parties hereto, and any document or other instrument which purports to amend, modify, supersede or cancel this Agreement or any part hereof shall not be binding and shall be of no effect unless and until it has been executed and delivered by all of the Parties hereto. Notwithstanding the foregoing, this provision shall not affect the right of some of the Parties from entering into agreements between themselves which may modify or add or subtract provisions as between such Parties, however, all such which may affect the Corporation shall be noticed to the Corporation.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12.15</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Separate Counsel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Each Party has been advised to and has sought separate legal and accounting advice</w:t>
      </w:r>
      <w:r>
        <w:rPr>
          <w:rFonts w:ascii="arial" w:eastAsia="arial" w:hAnsi="arial" w:cs="arial"/>
          <w:color w:val="000000"/>
          <w:sz w:val="20"/>
          <w:lang w:val="en-US" w:eastAsia="en-US" w:bidi="ar-SA"/>
        </w:rPr>
        <w:t xml:space="preserve"> as to the matters and implications of this Agreement. This Agreement has been drafted by </w:t>
      </w:r>
      <w:r>
        <w:rPr>
          <w:rFonts w:ascii="arial" w:eastAsia="arial" w:hAnsi="arial" w:cs="arial"/>
          <w:color w:val="000000"/>
          <w:sz w:val="20"/>
          <w:u w:val="single"/>
          <w:lang w:val="en-US" w:eastAsia="en-US" w:bidi="ar-SA"/>
        </w:rPr>
        <w:t>Devlin Jensen on behalf of the Corporation</w:t>
      </w:r>
      <w:r>
        <w:rPr>
          <w:rFonts w:ascii="arial" w:eastAsia="arial" w:hAnsi="arial" w:cs="arial"/>
          <w:color w:val="000000"/>
          <w:sz w:val="20"/>
          <w:lang w:val="en-US" w:eastAsia="en-US" w:bidi="ar-SA"/>
        </w:rPr>
        <w:t xml:space="preserve"> which is the only Party to which such firm owes any duty.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(f) </w:t>
      </w:r>
      <w:r>
        <w:rPr>
          <w:rFonts w:ascii="arial" w:eastAsia="arial" w:hAnsi="arial" w:cs="arial"/>
          <w:b/>
          <w:color w:val="000000"/>
          <w:sz w:val="20"/>
          <w:u w:val="single"/>
          <w:lang w:val="en-US" w:eastAsia="en-US" w:bidi="ar-SA"/>
        </w:rPr>
        <w:t>Original Plaintiffs' Management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Original Plaintiffs' Management Agreement among the parties to this lawsuit dated August 1, 2001, was executed by the parties to this lawsuit in January 2002. Mr. Donnelly sign it on behalf of Masev. It refers to Mr. Gigliotti as "Frank", to Masev as the "Company", to Pan Pacific as either "Pan Pacific" or "Consultant", and to any one of them as a "Party". It includes the following terms with my underlining added (and for convenience, including section 5.1 as discussed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General Services. During the Term (as hereinafter defined) of this Agreement the Consultant will provide the Company with such general corporate, administrative, technical and management services as is considered necessary or advisable by the Consultant for the due and proper management of the Company to achieve the goals and needs of the Company as determined by the policies and proceedings of management and the Board of Directors and, as to Frank, is considered advisable and within the normal duties of a President and CEO (collectively, the "Services").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Term. The Term of this Agreement (the "Term") is for a period of approximately five (5) years commencing on August 1, 2001 (the "Effective Date") and terminating July 31, 2006.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Termination. Notwithstanding any other provision of this Agreement, this Agreement may be terminated by a Party upon written notice if: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other Party fails to cure a material breach of any provision of this Agreement within 30 calendar days from its receipt of written notice from said Party (unless such breach cannot be reasonably cured within said 30 calendar days and the other Party is actively pursuing curing of said breach); or</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other Party commits fraud or serious neglect or misconduct or illegal act in the discharge of its respective duties hereunder or under the law; or</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other Party becomes adjudged bankrupt or a petition for reorganization or arrangement under any law relating to bankruptcy, and where any such petition is not dismissed;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but that the Consultant shall have the right to receive the Termination Fee (defined below) regardless of the reason for termination, without prejudice to any rights of counter-claim in the event of damages for fraud or misconduct and without prejudice to the right to recovery in the event of judgement.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Termination Fee. In the event that this Agreement is terminated (by act or constructively), or fails to renew due to failure of agreement after the issuance of a Non-Renewal Notice, or otherwise at the termination of this Agreement, the Consultant and Frank, as appropriate, shall receive a termination fee (the "Termination Fee") equal to the sum of: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buy-out of any outstanding stock options for a price equal to the fair market value of the Company's shares, determined for the 30 days preceding termination and as determined in accordance with accounting principles, multiplied by the number of shares under option and less the exercise price thereof or, at the optionee's election and subject to any required regulatory approval, extension of the option for a period of two (2) years after termination or, at the optionee's election, the immediate vesting and exercise of all granted options and the immediate right to employ 'net exercise' privileges in accordance with the practice of US companies or, if established in accordance with the Company's stock option plan, in accordance with such plan; plus</w:t>
      </w:r>
    </w:p>
    <w:p>
      <w:pPr>
        <w:numPr>
          <w:numId w:val="1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greater of:</w:t>
      </w:r>
    </w:p>
    <w:p>
      <w:pPr>
        <w:numPr>
          <w:numId w:val="1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aggregate remaining Base Fee for the unexpired remainder of the Term; or</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annual Base Fee (Base Fee multiplied by twelve) plus one month of Base Fee for each year, or portion thereof, served after the Effective Date;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but that such aggregate sum of this section 3.4(b) (therefore not including section 3.4(a) amounts) shall not exceed the Base Fee multiplied by 24.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At the Company's election the Termination Fee may be paid in 12 equal monthly installments [sic] commencing with the first payment on the effective date of termination. In the event of any dispute as to quantum of the Termination Fee (or any claimed set-off or counter-claim), payment thereof shall not be delayed or deferred but shall commence immediately monthly, in 12 equal parts, of the aggregate sum of section 3.4(b) above which, if disputed, shall be determined by an accountant selected by the Consultant which shall be irrevocably deemed immediately due and payable monthly. The aggregate Termination Fee (and any counter-claim) shall then be determined by the Parties thereafter and adjustments, payments, or recoveries in accordance with judicial process or settlement.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Base Fee. The Consultant shall be compensated on a monthly basis from the Effective Date of this Agreement by a basic monthly fee of eleven thousand ($11,000) dollars CDN (the "Base Fee").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Base Fee Adjustment. The Base Fee may be renegotiated annually at the request of either Party. In the event that the Parties cannot agree then the Base Fee shall be increased by the greater of 5% or the amount of the cost of living index increase as published by the Canadian Federal government in its final annual publication of such reports. The Base Fee may be temporarily adjusted in the event that sales of the Company in any quarter are less than operating costs of the Company and then at the end of the subsequent quarter should negative cash flow be still occurring the Consultant's Base Fee shall, together with other management personnel subject to the same formula, be reduced pro rata to reduce costs to balance incoming revenue and outgoing expense but only up to a 50% reduction of the Base Fee. The reduction of Base Fee shall be ameliorated upon the Company's revenue increasing sufficiently to pay some or all deferred Base Fee (the Base Fee payment shall increase to its normal rate in direct proportion to positive case flow). Any reduction of Base Fee shall be treated as a shareholder loan, without interest, and shall be paid from profit before dividends.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Conflict. During this Agreement the Consultant (which includes Frank in this Article V as the context requires) will not engage in any business which reasonably may detract from, compete with or conflict with the Consultant's duties and obligations to the Company as set forth in this Agreement, without disclosure to the Board of Directors of the Company, and will not do so if the Board of Directors objects. However, this shall not prejudice the right or ability of the Consultant to service other clients not in conflict with the Company.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Entire Agreement. This Agreement constitutes the entire agreement to date between the Parties hereto and supersedes every previous agreement, expectation, negotiation, representation or understanding, whether oral or written, express or implied, statutory or otherwise, between the Parties with respect to the subject matter of this Agreement.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Warranty of Good Faith. The Parties hereto warrant each to the other to conduct their duties and obligations hereof in good faith and with due diligence and to employ all reasonable endevours [sic] to fully comply with and conduct the terms and conditions of this Agreement.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9.6</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Representation and Costs. It is hereby acknowledged by each of the Parties hereto that, as between the Company and the Consultant herein, Devlin Jensen, Barristers and Solicitors, acts solely for the Company, and that the Consultant and Frank have been advised by Devlin Jensen to obtain independent legal advice with respect to this Agreement.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Masev also entered into individual written management agreements with each of the other Shareholders in January 2002. The five Shareholders apart from Mr. Gigliotti have sworn affidavits suggesting that the management agreements could have been entered into only if all six Shareholders agreed. This is contrary to section 3.1(g) of the Shareholders' Agreement. In contrast, Mr. Gigliotti deposed that decisions by Masev were made by majority vote among the six.</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Alleged Reliance on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affidavits relied on by Masev include references to representations made by Mr. Gigliotti. The plaintiffs object to their admissibility on the basis of the "parol evidence"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Donnelly deposed that he signed the Original Plaintiffs' Management Agreement on behalf of Masev:</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reliance upon the following statements that Mr. Gigliotti made to me:</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was working 100% for Masev;</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his management agreement was the same as the management agreement for every other 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contrast, Mr. Gigliotti deposed that he did not tell Mr. Donnelly that he was working 100% for Masev during or prior to January 2002. He deposed that he stated his commitment to the company was 100%.</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Monthly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Donnelly deposed that each of the partners signed January 2002 management agreements and April 2002 amended management agreements. He deposed that those agreements: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 not contain accurate information with respect to amounts of compensation. Each of the partners agreed to work for less than the amount stated in his respective management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is a similar or identical passage in the affidavits of the other Shareholders apart from Mr. Gigliotti. None of them explain whether this alleged agreement was made before or after execution of the management agreements, and none of them suggest that there was any consideration in exchange for such alleged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Darcy Taylor deposed that Masev agreed to pay Pan Pacific $8,000 per month and that the issue of whether "he" [sic - Pan Pacific] would be paid a larger amount would be revisited at some future time. Pan Pacific sent invoices reflecting $8,000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contrast, Mr. Gigliotti does not agree that the fee was only $8,000 per month. He deposed that the monthly payments were less than as set out in the written agreements because of cash flow problems, and that as a result, the adjustments were only temporary as provided by paragraph 4.2 of the Original Plaintiffs' Management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Masev paid Pan Pacific nothing for part of September 2001, nothing for the month of November 2001, and $8,000 for each of the other months. As of May 15, 2002, the amount paid by Masev was $40,500 less than the required $104,000 (9.5 months at $11,000 per month).</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Involvement of Other Shareholders in Other Ventures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addition to Ally, there were three other situations in which Masev Shareholders other than Mr. Gigliotti were involved in non-Masev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At the time Masev was formed, Messrs. Mark Taylor and Annett were partial owners of Action Sports Publishing Ltd., a company producing newspaper inserts about action sports. Masev agreed that they could continue that involvement on the understanding that, if the business became successful, the company would be assimilated into Masev.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From November 2001 until February 2002, Mr. Kalacis served on the organizing committee for the Winter Olympic Games in Salt Lake City. Masev did not pay any salary to him during that period, although it did pay $3,000 in expenses on his behalf. Mr. Kalacis was presumably paid by the Olympic Committee. He was away from Masev for three or four months. Mr. Gigliotti's position is that Masev's decisions reflected a refusal to pay a salary to a Shareholder who was working full-time for another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Donnelly continued to receive royalties from records he recorded with a band about 20 years ago. He deposed that he discussed this with the "partners" who agreed he would not be required to have the royalties flow through Masev. Mr. Gigliotti's affidavit suggests that he did not know about the band or the royalties.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Gigliotti deposed that he committed 100% of his time to Masev until it became financially impossible to do so because of the reduced wages paid by Masev.</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Gigliotti's Work for Masev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Gigliotti deposed that he worked well in excess of 50 hours per week for Masev during his employment. Mr. Darcy Taylor, in contrast, deposed that he doubted this estimate. Mr. Gigliotti described his accomplishments as including bringing in Subway as a client, raising $838,000 for the company, and being instrumental in obtaining a very positive valuation report of Masev for use in obtaining its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While serving as president and chief executive officer, Mr. Gigliotti received praise from co-workers including the other Shareholders. For example, he received thanks from Mr. Mark Taylor for guidance following a successful deal, and for "doing an unreal job of making the fundraising [sic - an] actual reality". Mr. Kalacis wrote in an e-mail to Mr. Gigliotti, "your coaching and training is valuable to all and always appreciated." Mr. Darcy Taylor also thanked Mr. Gigliotti for "showing us your guidance" and wrote, "I couldn't have done it without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evidence as a whole suggests that, at least with the benefit of hindsight, there was some strain in the parties' working relationships. Mr. Darcy Taylor deposed that by May 2002, he was "concerned" about the "lack of performance" on Mr. Gigliotti's part. However, there is no evidence that this was drawn to Mr. Gigliotti's attention as a concern which could result in termination of the Original Plaintiffs' Management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Darcy Taylor's concern was that Mr. Gigliotti had not solved Masev's organizational problems, and had not developed new business or raised as much investment money as Mr. Darcy Taylor wanted. Mr. Gigliotti's perspective is that the other Shareholders did not cooperate enough for Mr. Gigliotti to implement an organizational structure. For example, they failed to provide timely information on their aspects of the business. Mr. Gigliotti's perspective is that he made a valuable contribution in both attracting new business and investment.</w:t>
      </w:r>
      <w:r>
        <w:rPr>
          <w:rFonts w:ascii="arial" w:eastAsia="arial" w:hAnsi="arial" w:cs="arial"/>
          <w:sz w:val="20"/>
          <w:lang w:val="en-US" w:eastAsia="en-US" w:bidi="ar-SA"/>
        </w:rPr>
        <w:cr/>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Gigliotti's Work Outside Masev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Gigliotti deposed that, while employed by Masev, the plaintiffs did not engage in any other business other than spending no more than 30 hours in free time dealing with Wine Time, Nonage, and the accountants, Buckley Dodds. Mr. Darcy Taylor deposed, based on his review of e-mails and telephone records, that the time estimate is "patently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Based on my review of the emails and telephone records, it is difficult to estimate the time Mr. Gigliotti devoted to these matters, but 30 hours may be accurate. There are many pages of material, but many items appear to be standard forms to which Mr. Gigliotti has made minor alterations. Other items are articles sent to Mr. Gigliotti which he may or may not have read. Since this matter proceeded under rule 18A and Mr. Gigliotti's time estimate may be accurate, I accept his estimate.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Gigliotti deposed that neither Wine Time, Nonage, nor Buckley Dodds competed with Masev or was in conflict with Masev's interests. The other Shareholders did not learn about Mr. Gigliotti's activities until in or after May 2002.</w:t>
      </w:r>
      <w:r>
        <w:rPr>
          <w:rFonts w:ascii="arial" w:eastAsia="arial" w:hAnsi="arial" w:cs="arial"/>
          <w:sz w:val="20"/>
          <w:lang w:val="en-US" w:eastAsia="en-US" w:bidi="ar-SA"/>
        </w:rPr>
        <w:cr/>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Wine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Gigliotti deposed that he participated as follows with Wine Time Incorporated: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provided] consulting services to Wine Time Incorporated in the spring of 2002. Wine Time is a wine based business which has nothing to do with the Defendant's business. I introduced the President of Wine Time to other wine industry professionals, reviewed a business plan for the company, and assisted in production of a corporate video. The corporate Plaintiff was paid $2,500.00 for this work.</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Nonage Medical Centres,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Gigliotti deposed as follows about his activities regarding Nonage: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participated in] some initial discussions with an American company called Nonage Medical Centres, Inc., but nothing became of this prior to May 16, 2002. No compensation was received from Nonage and no business was conducted during the Plaintiffs' engagement by the Defendant. I introduced the principal of Nonage to Doug Mason.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Gigliotti deposed that Nonage was presented to him as a business opportunity, and he introduced it to Mr. Mason, who was looking for new opportunities. Mr. Gigliotti deposed that Mr. Mason insisted that he receive a "finder's fee" for making the connection. Mr. Gigliotti deposed that Mr. Mason subsequently left the project, and Mr. Gigliotti became involved, but it was not a business competing in any way with Masev.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Darcy Taylor deposed that at the time Mr. Gigliotti was soliciting Mr. Mason for Nonage, Masev's agreement with SVC was simply a letter of intent, and so Mr. Mason could have chosen to proceed with Nonage in preference to Masev. On that basis, he says that Mr. Gigliotti was competing with Masev for Mr. Mason's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Gigliotti responded that Mr. Mason had a continuing interest in new business ventures.</w:t>
      </w:r>
      <w:r>
        <w:rPr>
          <w:rFonts w:ascii="arial" w:eastAsia="arial" w:hAnsi="arial" w:cs="arial"/>
          <w:sz w:val="20"/>
          <w:lang w:val="en-US" w:eastAsia="en-US" w:bidi="ar-SA"/>
        </w:rPr>
        <w:cr/>
      </w:r>
    </w:p>
    <w:p>
      <w:pPr>
        <w:numPr>
          <w:numId w:val="2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Buckley Dodds, Accountants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firm of Buckley Dodds provided accounting services to Masev. Sometime during or after October 2001, Mr. Gigliotti spent a few one hour sessions with Messrs. Buckley and Dodds conducting a leadership assessment of each and providing consulting services in respect of increasing their client base. In return for those services, Buckley Dodds agreed to time the billing and collection for the accounting services it provided to Masev to co-ordinate with Masev's cash flow capabilities. Neither of the plaintiffs received any personal benefit.</w:t>
      </w:r>
      <w:r>
        <w:rPr>
          <w:rFonts w:ascii="arial" w:eastAsia="arial" w:hAnsi="arial" w:cs="arial"/>
          <w:sz w:val="20"/>
          <w:lang w:val="en-US" w:eastAsia="en-US" w:bidi="ar-SA"/>
        </w:rPr>
        <w:cr/>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Alleged Representations Prior to Amended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or about April 2002, the Shareholders decided to cancel all the existing management agreements. That was because SVC was not prepared to proceed with the contemplated reverse take-over of Masev unless the existing management agreements were cancelled and new ones signed which substantially reduced the length of employment and contained substantially reduced severance provisions. The terms of the amended agreements as executed are set out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April 23, 2002, Mr. Gigliotti e-mailed all the Shareholders a copy of the draft amended management agreement for each of the six Shareholders, including the plaintiffs. His e-mail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contracts are identical to the Aug 1, 2001 contracts except for the termination and buyout clauses. Please note the changes and have your contract signed ASAP for filing with the SVC information circular.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Kalacis deposed that Mr. Gigliotti told him that his amended management agreement was the same as the amended management agreements for all of the other Shareholders. In contrast, Mr. Gigliotti deposed that what he confirmed was that Mr. Kalacis' amended management agreement was the same as the original, and that the changes to his original agreement were the same as for the other partners.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Annett sent an e-mail dated April 29, 2002, to the Shareholders in which he said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also like to point out that Article V "No Conflict" in my contract varies from Frank's. It appears that Frank is allowed to "service other clients not in conflict" [.] This is the very point that I made with ALLY, yet I was shut down. Please help me to understand was [sic - why] this is different - do those revenues also come into the company like negotiated with ALLY? Do John's band gig revenues come in to the company? Sorry for opening this can of worms again, I just want what is fair for everyone. Thanks.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Gigliotti's responding e-mail is addressed to all the Shareholders and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explained at the time of signing, my contract was structured by Peter Jensen &amp; Con Buckley because [sic - Because] of tax considerations, I have to give the appearance that I have other clients so that I can income split with Dorothy who is also an owner in Pan Pacific Communications. If I don't I can't continue on because I don't keep enough of what I make to stay alive. My situation is different than the Ally deal.</w:t>
      </w:r>
    </w:p>
    <w:p>
      <w:pPr>
        <w:numPr>
          <w:numId w:val="3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Amended Plaintiffs' Management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Masev executed amended management agreements with each of the Shareholders. These provided for shorter employment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parties to this lawsuit executed the Amended Plaintiffs' Management Agreement dated for reference effective April 15, 2002, which is stated to replace the Original Plaintiffs' Management Agreement. It was signed on April 29, 2002, following the e-mail from Mr. Annett. Mr. Kalacis signed on behalf of Masev.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relevant sections of the Amended Plaintiffs' Management Agreement which were changed from the Original Plaintiffs' Management Agreement related to severance. The employment term was reduced from five to two years. The Termination Fee of up to 24 times the monthly Base Fee was replaced with payment for 12 months plus one month per year or partial year of service in ordinary circumstances. On take-over, however, the Termination Fee was to increase to 36 months plus one month per year or partial year of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relevant changes are underlined in the following excerpts: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Term. The Term of this Agreement (the "Term") shall be approximately two (2) years terminating April 30, 2004. For the purpose of this Agreement the Effective Date (the "Effective Date") shall be the date first herein appearing.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Termination Fee. In the event that this Agreement is terminated (by act or constructively), or fails to renew due to failure of agreement after the issuance of a Non-Renewal Notice, or otherwise at the termination of this Agreement, the Consultant and Frank, as appropriate, shall receive a termination fee (the "Termination Fee") equal to the sum of: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1"/>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buy-out of any outstanding stock options for a price equal to the fair market value of the Company's shares, determined for the 30 days preceding termination and as determined in accordance with accounting principles, multiplied by the number of shares under option and less the exercise price thereof or, at the optionee's election and subject to any required regulatory approval, extension of the option for a period of two (2) years after termination or, at the optionee's election, the immediate vesting and exercise of all granted options and the immediate right to employ 'net exercise' privileges in accordance with the practice of US companies or, if established in accordance with the Company's stock option plan, in accordance with such plan; plus</w:t>
      </w:r>
    </w:p>
    <w:p>
      <w:pPr>
        <w:numPr>
          <w:numId w:val="31"/>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greater of:</w:t>
      </w:r>
    </w:p>
    <w:p>
      <w:pPr>
        <w:numPr>
          <w:numId w:val="32"/>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compensation as severance equal to the annual base (Base fee [sic] multiplied by twelve) plus one month of Base fee [sic] for each year, or portion thereof, served aftyer [sic] the Effective Date</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[sic] the event that the company [sic] is subject to a takeover, merger, or other like alternative resulting in a change of control then the compensation as severance shall be equal to three annual Base Fees (Base fee [sic] multiplied by thirty six) plus one month of Base Fee for each year, or portion thereof, served after the Effective Date.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At the Company's election the Termination Fee may be paid in 12 equal monthly installments [sic] commencing with the first payment on the effective date of termination. In the event of any dispute as to quantum of the Termination Fee (or any claimed set-off or counter-claim), payment thereof shall not be delayed or deferred but shall commence immediately monthly, in 12 equal parts, of the aggregate sum of section 3.4(b) above which, if disputed, shall be determined by an accountant selected by the Consultant which shall be irrevocably deemed immediately due and payable monthly. The aggregate Termination Fee (and any counter-claim) shall then be determined by the Parties thereafter and adjustments, payments, or recoveries in accordance with judicial process or settlement.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There were no changes to Articles 3.3, 4.2, 5.1, 9.1, 9.4 or 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All the Shareholders signed amended management agreements. The one for Mr. Mark Taylor includes additional language in section 2.1, including this sentence: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Manager shall provide his full time and attention to his duties and the Services and shall not have any business interests which compete with his duties or detract from providing all necessary and advisable time to properly fulfill his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That sentence does not appear in the agreement with any of the other Shareholders.</w:t>
      </w:r>
      <w:r>
        <w:rPr>
          <w:rFonts w:ascii="arial" w:eastAsia="arial" w:hAnsi="arial" w:cs="arial"/>
          <w:sz w:val="20"/>
          <w:lang w:val="en-US" w:eastAsia="en-US" w:bidi="ar-SA"/>
        </w:rPr>
        <w:cr/>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Alleged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Despite section 3.1(g) of the Shareholders' Agreement, all five Shareholders apart from Mr. Gigliotti deposed that if any Shareholder had objected to Masev signing an agreement with any other Shareholder, no agreement would have been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Kalacis deposed that he signed the Amended Plaintiffs' Management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reliance upon the following statements that Mr. Gigliotti made to me:</w:t>
      </w:r>
    </w:p>
    <w:p>
      <w:pPr>
        <w:numPr>
          <w:numId w:val="3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his amended management agreement was the same as the amended management agreement for every other partner; and</w:t>
      </w:r>
    </w:p>
    <w:p>
      <w:pPr>
        <w:numPr>
          <w:numId w:val="3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statement in Mr. Gigliotti's January 2002 e-mail that his management agreement "had the same components" as the agreements for all other partners.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Annett deposed that he consented to Masev signing the agreements with Mr. Gigliotti "in reliance upon" the following statements to him by Mr. Gigliotti:</w:t>
      </w:r>
      <w:r>
        <w:rPr>
          <w:rFonts w:ascii="arial" w:eastAsia="arial" w:hAnsi="arial" w:cs="arial"/>
          <w:sz w:val="20"/>
          <w:lang w:val="en-US" w:eastAsia="en-US" w:bidi="ar-SA"/>
        </w:rPr>
        <w:cr/>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was working 100% for Masev; and</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statement in Mr. Gigliotti's e-mail that his management agreements "had the same components" as the agreements for all other partners.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contrast, Mr. Gigliotti deposed that he does not recall making a comment about working 100% for Masev in October 2001, but deposed that at that time he was working 100% for Masev and not doing any outside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Mark Taylor deposed that he consented to Masev signing the Amended Plaintiffs' Management Agreement in reliance on the following statements in Mr. Gigliotti's January 7, 2002, e-mail:</w:t>
      </w:r>
      <w:r>
        <w:rPr>
          <w:rFonts w:ascii="arial" w:eastAsia="arial" w:hAnsi="arial" w:cs="arial"/>
          <w:sz w:val="20"/>
          <w:lang w:val="en-US" w:eastAsia="en-US" w:bidi="ar-SA"/>
        </w:rPr>
        <w:cr/>
      </w:r>
    </w:p>
    <w:p>
      <w:pPr>
        <w:numPr>
          <w:numId w:val="3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partners all have the same agreement; and</w:t>
      </w:r>
    </w:p>
    <w:p>
      <w:pPr>
        <w:numPr>
          <w:numId w:val="3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Mine is structured differently...but the contract reads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Darcy Taylor deposed that he consented to Masev signing the Plaintiffs' Management Agreement in reliance on the following statements by Mr. Gigliotti to him:</w:t>
      </w:r>
      <w:r>
        <w:rPr>
          <w:rFonts w:ascii="arial" w:eastAsia="arial" w:hAnsi="arial" w:cs="arial"/>
          <w:sz w:val="20"/>
          <w:lang w:val="en-US" w:eastAsia="en-US" w:bidi="ar-SA"/>
        </w:rPr>
        <w:cr/>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Mr. Gigliotti was working 100% for Masev, and the terms of the Shareholder's agreement at item 2.1(b)(i); and</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his own management agreement was the same as the management agreements for all other partners in all material respects, and [also on] Mr. Gigiotti's e-mail stating that his management agreement had "the same components" as the agreements for all other partners.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Darcy Taylor deposed that he consented to Masev entering into the Amended Plaintiffs' Management Agreement in reliance on his representations as follows:</w:t>
      </w:r>
      <w:r>
        <w:rPr>
          <w:rFonts w:ascii="arial" w:eastAsia="arial" w:hAnsi="arial" w:cs="arial"/>
          <w:sz w:val="20"/>
          <w:lang w:val="en-US" w:eastAsia="en-US" w:bidi="ar-SA"/>
        </w:rPr>
        <w:cr/>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was working 100% for Masev, and his signature to the Shareholders' Agreement including paragraph 2(i);</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his statement that the management agreements were the same as the management agreements for all other partners, and his e-mail stating that his management agreement had "the same components" as the agreements for all other partners.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Darcy Taylor deposed that if he had known that Mr. Gigliotti was pursuing other business interests at the same time that he was working for Masev, or if he had known "that Mr. Gigliotti's agreement contained a clause that Mr. Gigliotti believed permitted him to service other clients," he would never have consented to Masev entering into a management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Donnelly deposed that Mr. Gigliotti had told him that his management agreement was the same as the management agreement for all of the other partners.</w:t>
      </w:r>
      <w:r>
        <w:rPr>
          <w:rFonts w:ascii="arial" w:eastAsia="arial" w:hAnsi="arial" w:cs="arial"/>
          <w:sz w:val="20"/>
          <w:lang w:val="en-US" w:eastAsia="en-US" w:bidi="ar-SA"/>
        </w:rPr>
        <w:cr/>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Dismissal of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On May 16, 2002, Masev summarily dismissed Mr. Gigliotti when the Board voted to terminate the plaintiffs' association with it. It was a unanimous decision with one abstention, presumably by Mr. Gigliotti. Masev did not at that time allege there was cause for dismissal, and did not provide written notice or confirmation of the dismissal.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dismissal occurred just over two weeks after the execution of the Amended Plaintiffs' Management Agreement. Under the Original agreement, the plaintiffs could claim a Termination Fee of $264,000, but under the Amended agreement, the claim is for only $143,000.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Gigliotti deposed that Mr. Mark Taylor told Mr. Gigliotti that the Shareholders felt he had done a great job up until that point but they had decided that they wanted to "move forward in another direction." Mr. Taylor deposed that he does not recall making that statement, but that on May 16, 2002, he was not aware that Mr. Gigliotti had not been performing any work for his own clients during the time that he was employed by Masev.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Darcy Taylor asked Mr. Gigliotti to leave Masev's premises immediately. Mr. Gigliotti removed his personal effects under supervision, and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At the time of his departure, Mr. Gigliotti wanted the laptop computer he had been using. Masev was prepared to let Mr. Gigliotti have it on the basis that the information on it would be loaded into a form accessible by Masev, and that Masev could set-off the value of the laptop against the amounts owing to Mr. Gigliotti for September and November 2001. Mr. Gigliotti agreed. There was no evidence of the value, age, condition, or any other aspect of the laptop computer.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One or more of the Masev Shareholders reviewed the information obtained from the laptop and discovered a number of documents possibly relating to business ventures of Mr. Gigliotti unconnected with Masev.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late May, 2002, Mr. Wishart, an investor in Masev, asked Mr. Donnelly why Mr. Gigliotti had been dismissed. Mr. Donnelly said that Mr. Gigliotti had done a good job but he didn't fit the youthful image that the company was trying to portray.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Donnelly deposed that he made that remark simply to avoid casting a negative light on Mr. Gigliotti. Mr. Donnelly deposed that in his opinion it would not have been appropriate to make disparaging remarks about Mr. Gigliotti to an investor such as Mr. Wishart, and that in any event, he was not aware at the time of his conversation with Mr. Wishart that Mr. Gigliotti was performing outside work for other clients while employed by Masev.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Gigliotti deposed that Messrs. Darcy and Mark Taylor told him that the company needed a different face to go forward.</w:t>
      </w:r>
      <w:r>
        <w:rPr>
          <w:rFonts w:ascii="arial" w:eastAsia="arial" w:hAnsi="arial" w:cs="arial"/>
          <w:sz w:val="20"/>
          <w:lang w:val="en-US" w:eastAsia="en-US" w:bidi="ar-SA"/>
        </w:rPr>
        <w:cr/>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Allegations of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Messrs. Donnelly, Kalacis, Annett, and Mark Taylor deposed that in May and June 2002, they learned for the first time that Mr. Gigliotti had engaged in other business activities and had solicited other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Messrs. Donnelly and Kalacis both deposed that if they had known that Mr. Gigliotti was engaged "in any such business activities", they would never have signed Mr. Gigliotti's management agreement on behalf of Masev. They also deposed that they would never have signed the agreement had they known it contained a clause that suggested that Mr. Gigliotti could service other clients, and would have refused to consent to Masev entering into any such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Similarly, Mr. Annett and Mr. Mark Taylor deposed that if they had known that Mr. Gigliotti was engaged in any such business activities, they would have objected to Masev signing any management agreement or amended management agreement with the plaintiffs. Mr. Mark Taylor also deposed that if he had known that Mr. Gigliotti's agreement contained a clause that suggested he could service other clients, he would have refused to consent to Masev entering into any such agreement with Mr. Gigliotti.</w:t>
      </w:r>
      <w:r>
        <w:rPr>
          <w:rFonts w:ascii="arial" w:eastAsia="arial" w:hAnsi="arial" w:cs="arial"/>
          <w:sz w:val="20"/>
          <w:lang w:val="en-US" w:eastAsia="en-US" w:bidi="ar-SA"/>
        </w:rPr>
        <w:cr/>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Post-Dismissal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Masev has not paid the plaintiffs the Termination Fee referred to in section 3.4 of the Amended Plaintiffs' Management Agreement. The plaintiffs commenced this litigation on May 28,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On September 30, 2002, Masev, together with the five Shareholders other than Mr. Gigliotti, commenced a lawsuit against Mr. Gigliotti in respect of shares in Masev.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SVC issued a Notice of Extraordinary General Meeting and Information Circular dated November 25, 2002. It describes the proposed purchase of Masev shares and the business of Masev. Masev and its Board of Directors certified that the document constitutes full, true and plain disclosure of all material facts relating to Masev's securities.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Information Circular describes Masev as a "North American youth marketing organization". It provides the age of each member of Masev's management team. The ages range from 34 to 54, but the 54 year-old is a director without a management title. The managers range in age from 34 to 44, with the president aged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On December 6, 2002, this Court ordered that the trial of the action commenced by Masev be heard at the same time as this trial. No steps were taken to have that matter heard at the time of the Rule 18A hearing in this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On December 12, 2002, counsel for Masev received a letter of the same date from Ellis Foster Chartered Accountants. This letter is stated to be a determination of the Termination Fee as provided for in section 3.4 of the Amended Plaintiffs' Management Agreement. The accountants calculate the Termination Fee amount due as $143,000. That is $11,000 x 13 months. That is the annual Base Fee for 12 months plus one month in respect of the plaintiffs' 9.5 months of service after August 1,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plaintiffs' notice of motion under Rule 18A was dated January 9, 2003. On January 23, 2003, this court ordered the plaintiffs to provide a further amended supplementary list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plaintiffs' outline for the Rule 18A application was dated June 11, 2003. Masev's outline was dated June 13, 2003. All the affidavits relied on at the August 12-14, 2003 hearing of the plaintiffs' Rule 18A application were dated on or before June 17, 2003. No examinations for discovery or cross-examinations on affidavits proceeded or were applied for prior to the hearing of the Rule 18A application, although cross-examination of Mr. Gigliotti was alternative relief sought by Masev in its outline.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r>
        <w:rPr>
          <w:rFonts w:ascii="arial" w:eastAsia="arial" w:hAnsi="arial" w:cs="arial"/>
          <w:sz w:val="20"/>
          <w:lang w:val="en-US" w:eastAsia="en-US" w:bidi="ar-SA"/>
        </w:rPr>
        <w:cr/>
      </w:r>
    </w:p>
    <w:p>
      <w:pPr>
        <w:numPr>
          <w:numId w:val="4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can be determined under Rule 18A, is Masev entitled to rescission of the Amended Plaintiffs' Management Agreement dated for reference effective April 15,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Masev claims it was induced by fraud to enter into the Amended Plaintiffs' Management Agreement. Masev alleges that Mr. Gigliotti fraudulently represented that he was working 100% for Masev, and that the Amended Plaintiffs' Management Agreement was identical in all material respects to that of the other Shareholders. In the alternative that it cannot establish fraudulent misrepresentation, Masev claims rescission on the basis of innocent or negligent misrepresentation.</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Fraud vitiates every contract and every clause in it. As a result, the "entire agreement" clause in section 9.1 of the management agreements cannot be relied on to defeat a claim for fraudulent misrepresentation. (See Pineridge Capital Corp. v. Algoma Industries Inc., </w:t>
      </w:r>
      <w:hyperlink r:id="rId590" w:history="1">
        <w:r>
          <w:rPr>
            <w:rFonts w:ascii="arial" w:eastAsia="arial" w:hAnsi="arial" w:cs="arial"/>
            <w:i/>
            <w:color w:val="0077CC"/>
            <w:sz w:val="20"/>
            <w:u w:val="single"/>
            <w:shd w:val="clear" w:color="auto" w:fill="FFFFFF"/>
            <w:lang w:val="en-US" w:eastAsia="en-US" w:bidi="ar-SA"/>
          </w:rPr>
          <w:t>[1991] B.C.J. No. 3278</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evidence of the five other Shareholders differs slightly from the evidence of Mr. Gigliotti in respect of what was said about Mr. Gigliotti's commitment. I am not able to resolve the conflicts on the basis of the affidavits filed. Accordingly, for the purposes of the analysis in this case, I will assume that in cases of conflict the evidence of the five Shareholders other than Mr. Gigliotti is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Where there is no conflict in the evidence, I will rely on the filed evidence. Both parties had ample time to conduct any necessary examination for discovery or seek cross-examination on affidavits prior to the hearing of the Rule 18A application. The bringing of Rule 18A applications does not stay proceedings, and a party opposing a Rule 18A application cannot delay in seeking pretrial procedures and thereby frustrate the Rule 18A process. (See Anglo Canadian Shipping Company v. Pulp, Paper and Woodworkers of Canada Local 8 </w:t>
      </w:r>
      <w:hyperlink r:id="rId591" w:history="1">
        <w:r>
          <w:rPr>
            <w:rFonts w:ascii="arial" w:eastAsia="arial" w:hAnsi="arial" w:cs="arial"/>
            <w:i/>
            <w:color w:val="0077CC"/>
            <w:sz w:val="20"/>
            <w:u w:val="single"/>
            <w:shd w:val="clear" w:color="auto" w:fill="FFFFFF"/>
            <w:lang w:val="en-US" w:eastAsia="en-US" w:bidi="ar-SA"/>
          </w:rPr>
          <w:t>(1988), 27 B.C.L.R. (2d) 378</w:t>
        </w:r>
      </w:hyperlink>
      <w:r>
        <w:rPr>
          <w:rFonts w:ascii="arial" w:eastAsia="arial" w:hAnsi="arial" w:cs="arial"/>
          <w:color w:val="000000"/>
          <w:sz w:val="20"/>
          <w:lang w:val="en-US" w:eastAsia="en-US" w:bidi="ar-SA"/>
        </w:rPr>
        <w:t xml:space="preserve"> (B.C.C.A.) per Lambert J.A. at 381.)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In Islilp v. Coldmatic Refrigeration of Canada Ltd. </w:t>
      </w:r>
      <w:hyperlink r:id="rId592" w:history="1">
        <w:r>
          <w:rPr>
            <w:rFonts w:ascii="arial" w:eastAsia="arial" w:hAnsi="arial" w:cs="arial"/>
            <w:i/>
            <w:color w:val="0077CC"/>
            <w:sz w:val="20"/>
            <w:u w:val="single"/>
            <w:shd w:val="clear" w:color="auto" w:fill="FFFFFF"/>
            <w:lang w:val="en-US" w:eastAsia="en-US" w:bidi="ar-SA"/>
          </w:rPr>
          <w:t>(2002) 100 B.C.L.R. (3d) 234</w:t>
        </w:r>
      </w:hyperlink>
      <w:r>
        <w:rPr>
          <w:rFonts w:ascii="arial" w:eastAsia="arial" w:hAnsi="arial" w:cs="arial"/>
          <w:color w:val="000000"/>
          <w:sz w:val="20"/>
          <w:lang w:val="en-US" w:eastAsia="en-US" w:bidi="ar-SA"/>
        </w:rPr>
        <w:t xml:space="preserve">, </w:t>
      </w:r>
      <w:hyperlink r:id="rId592" w:history="1">
        <w:r>
          <w:rPr>
            <w:rFonts w:ascii="arial" w:eastAsia="arial" w:hAnsi="arial" w:cs="arial"/>
            <w:i/>
            <w:color w:val="0077CC"/>
            <w:sz w:val="20"/>
            <w:u w:val="single"/>
            <w:shd w:val="clear" w:color="auto" w:fill="FFFFFF"/>
            <w:lang w:val="en-US" w:eastAsia="en-US" w:bidi="ar-SA"/>
          </w:rPr>
          <w:t>2002 BCCA 255</w:t>
        </w:r>
      </w:hyperlink>
      <w:r>
        <w:rPr>
          <w:rFonts w:ascii="arial" w:eastAsia="arial" w:hAnsi="arial" w:cs="arial"/>
          <w:color w:val="000000"/>
          <w:sz w:val="20"/>
          <w:lang w:val="en-US" w:eastAsia="en-US" w:bidi="ar-SA"/>
        </w:rPr>
        <w:t xml:space="preserve"> at 3, Smith J.A. reiterated the elements of fraudulent misrepresentation from Fridman, The Law of Contract, 3d ed., p. 295, as follows:</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wrongdoer must make a representation of fact to the victim;</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must be false in fact;</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making the representation must have known the representation was false at the time it was made; and</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victim must have been induced to enter into the contract in reliance upon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Smith J.A. added the additional requirement regarding the intention behind the representation: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that summary I would add that the misrepresentor must have intended that the victim act on the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Masev has failed to establish that the alleged fraudulent misrepresentations were representations of fact which were false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Gigliotti deposed that he did not recall making a comment about working 100% for Masev in October 2001 but deposed that at that time he was working 100% for Masev and not doing any outside work. There is no evidence that at the time of the comments relied on by Masev, Mr. Gigliotti was working for others. Masev has failed to establish that that statement is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Gigliotti wrote in an e-mail that his management agreement had "the same components" as the agreements for all the other "partners". Whether this is true depends on the significance of the additional sentence which appears in both of the plaintiffs' management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management agreements with each of the Shareholders include clause 5.1, providing that the Shareholder "will not engage in any business which reasonably may detract from, compete with or conflict with the consultant's duties and obligations to the company as set forth in this Agreement, without disclosure to the Board of Directors of the company, and will not do so if the Board of Directors objects".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This term suggests that each Shareholder is entitled to engage in non-conflicting businesses, and in addition, may engage in even conflicting and competing businesses if the Board of Directors agrees. The only question is whether there will be an impact on the individual's work for Masev. It is significant that the clause does not say that the consultant "will not engage in any business whatsoever".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additional sentence which is in the two plaintiffs' management agreements is "however, this shall not prejudice the right or ability of the consultant to service other clients not in conflict with the company". This sentence emphasizes that the consultant is entitled to service other clients. However, such activity is already permitted by the previous sentences of clause 5.1. Accordingly, the additional sentence in Mr. Gigliotti's contract is immaterial; and there was nothing false about Mr. Gigliotti stating that the agreements had the same components.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Masev has also failed to establish that the plaintiffs intended Masev to act on the alleged fraudulent misrepresentations. This is demonstrated by the fact that Mr. Gigliotti was candid with Masev's lawyer about his need to be available to service other clients, that he circulated the draft agreement among the Shareholders, and that it was signed by others on behalf of Masev who could have chosen to read the document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Masev argued that Mr. Gigliotti's failure to tell the other Shareholders about Wine Time and Nonage demonstrated an intention to deceive them. However, it is equally consistent with Mr. Gigliotti's position that his investigation of non-competing ventures in his spare time was irrelevant and not something he would mention to the other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Masev argued that Mr. Gigliotti's introduction of Nonage to Mr. Mason was in conflict with Mr. Gigliotti's duties to Masev, in the sense that both Masev and Nonage were in competition for the investment attention of Mr. Mason. In contrast, Mr. Gigliotti's evidence was that Mr. Mason was interested in all manner of investments, and that introducing another prospect would only enhance the relationship with Mr. Mason. Mr. Gigliotti's introduction of Mr. Mason to Nonage was not in conflict with his duties to Masev, on the basis of Mr. Mason's continued interest in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However, even if Mr. Gigliotti's introduction of Mr. Mason to Nonage was in breach of his duties, that does not establish that Mr. Gigliotti made a fraudulent misrepresentation months earlier. At best, it could establish a breach of clause 5.1, which would entitle Masev to give Mr. Gigliotti a 30 day notice to cure under section 3.3(a). The evidence does not support a finding that Mr. Gigliotti knew he was making false representations at the time they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will next consider whether Masev was induced to enter into the contract in reliance on the alleged fraudulent misrepresentations. All the Shareholders other than Mr. Gigliotti have deposed that they signed the Plaintiffs' Management Agreements or failed to object to them "in reliance" on Mr. Gigliotti's representations. However, the question of whether a party "relied" in a legal sense on a representation is a legal conclusion, rather than a statement of observable fact. The evidence of the Shareholders that they "relied" made with the benefit of hindsight and to support a claim for rescission, is not conclusive on the question of whether there has been reliance in the legal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Here, the actions of the parties demonstrate that there was no reliance by Masev in a legal sense on these assertions. I refer to the following:</w:t>
      </w:r>
      <w:r>
        <w:rPr>
          <w:rFonts w:ascii="arial" w:eastAsia="arial" w:hAnsi="arial" w:cs="arial"/>
          <w:sz w:val="20"/>
          <w:lang w:val="en-US" w:eastAsia="en-US" w:bidi="ar-SA"/>
        </w:rPr>
        <w:cr/>
      </w:r>
    </w:p>
    <w:p>
      <w:pPr>
        <w:numPr>
          <w:numId w:val="4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Annett's April 29, 2002, e-mail to the Shareholders states that Mr. Gigliotti is allowed to "service other clients not in conflict" and in that way his contract differs from Mr. Annett's. Mr. Gigliotti provided a response to that which appeared to end the matter. Not only is there no evidence of further objections about differences between the contracts but, in fact, Mr. Gigliotti's evidence is that the Amended Plaintiffs' Management Agreement was executed following that e-mail.</w:t>
      </w:r>
    </w:p>
    <w:p>
      <w:pPr>
        <w:numPr>
          <w:numId w:val="4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final form of contract was circulated to all the Shareholders, and the agreement itself includes a clause that it is the entire agreement and supersedes every previous agreement or representation. The individual Shareholders chose not to review the contracts. If it had been sufficiently material that each of the Shareholders be required to provide 100% of their working time to Masev that the absence of that term would be a "deal-breaker", all of the Shareholders ought to have made a cursory check for that term. All of them are experienced businessmen and could have easily checked material terms such as the length of the employment, the salary, the extent of the duties and the degree of each parties' commitment. The fact that they did not check that, contradicts the after-the-fact assertion that the time commitment was material.</w:t>
      </w:r>
    </w:p>
    <w:p>
      <w:pPr>
        <w:numPr>
          <w:numId w:val="4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logical reason for Masev to object to an employee doing non-competing, non-conflicting business in their spare time. The affidavits filed on Masev's behalf do not explain why it would matter to Masev if all duties and obligations to Masev are being met. The evidence as a whole suggests that the Shareholders other than Mr. Gigliotti are dismayed by their perception that they personally were treated differently from Mr. Gigliotti in the management agreements, rather than that the executed agreements with the plaintiffs were detrimental to Masev.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have noted that at first view, there seems to be a conflict between section 5.1 in the management agreements, which permits participation in non-competing business which do not conflict with Masev duties, and section 2.1(b)(i) of the Shareholders' Agreement, which contemplates that each shareholder shall "exclusively devote his time and attention to [Masev] for the period of time required by the employment agreements". Section 9.1 of the management agreements provides that it supersedes every prior agreement with respect to the subject matter of the agreement. As a result, the terms of the management agreement would prevail.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summary, Masev cannot establish, even if the conflicting evidence is resolved in favour of Masev, that the plaintiffs made a fraudulent misrepresentation.</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Innocent/Negligent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Masev also claims rescission on the basis that the plaintiffs made an innocent or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elements required to establish innocent or negligent misrepresentation were set out in Kripps v. Touche Ross &amp; Co. </w:t>
      </w:r>
      <w:hyperlink r:id="rId593" w:history="1">
        <w:r>
          <w:rPr>
            <w:rFonts w:ascii="arial" w:eastAsia="arial" w:hAnsi="arial" w:cs="arial"/>
            <w:i/>
            <w:color w:val="0077CC"/>
            <w:sz w:val="20"/>
            <w:u w:val="single"/>
            <w:shd w:val="clear" w:color="auto" w:fill="FFFFFF"/>
            <w:lang w:val="en-US" w:eastAsia="en-US" w:bidi="ar-SA"/>
          </w:rPr>
          <w:t>(1997), 33 B.C.L.R. (3d) 254</w:t>
        </w:r>
      </w:hyperlink>
      <w:r>
        <w:rPr>
          <w:rFonts w:ascii="arial" w:eastAsia="arial" w:hAnsi="arial" w:cs="arial"/>
          <w:color w:val="000000"/>
          <w:sz w:val="20"/>
          <w:lang w:val="en-US" w:eastAsia="en-US" w:bidi="ar-SA"/>
        </w:rPr>
        <w:t xml:space="preserve"> (B.C.C.A.) at para. 35:</w:t>
      </w:r>
      <w:r>
        <w:rPr>
          <w:rFonts w:ascii="arial" w:eastAsia="arial" w:hAnsi="arial" w:cs="arial"/>
          <w:sz w:val="20"/>
          <w:lang w:val="en-US" w:eastAsia="en-US" w:bidi="ar-SA"/>
        </w:rPr>
        <w:cr/>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duty of care based on a 'special relationship' between the parties;</w:t>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misrepresentation;</w:t>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representor in making the misrepresentation;</w:t>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reasonable reliance by the representation caused by the representee; and</w:t>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damages to the representee caused by the reliance: see Queen v. Cognos Inc., </w:t>
      </w:r>
      <w:hyperlink r:id="rId594"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at 110.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 evidence regarding pre-contractual representations submitted by Masev is inadmissible on claims other than fraud in light of the "no-representation" clause 9.1. This is sometimes referred to as the "parol evidence rule". (See Arens v. M.S.A. Ford Sales Ltd. </w:t>
      </w:r>
      <w:hyperlink r:id="rId595" w:history="1">
        <w:r>
          <w:rPr>
            <w:rFonts w:ascii="arial" w:eastAsia="arial" w:hAnsi="arial" w:cs="arial"/>
            <w:i/>
            <w:color w:val="0077CC"/>
            <w:sz w:val="20"/>
            <w:u w:val="single"/>
            <w:shd w:val="clear" w:color="auto" w:fill="FFFFFF"/>
            <w:lang w:val="en-US" w:eastAsia="en-US" w:bidi="ar-SA"/>
          </w:rPr>
          <w:t>(2002), 5 B.C.L.R. (4th) 272</w:t>
        </w:r>
      </w:hyperlink>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2002 BCCA 509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addition, for the reasons discussed above with respect to the allegation of fraudulent misrepresentation, Masev's claim fails to establish reasonable reliance by Masev on the alleged misrepresentation, that there was a misrepresentation, and that Masev suffered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As a result, Masev cannot establish entitlement to rescission. Its counterclaim for rescission is dismissed and the plaintiffs are entitled to rely on the Amended Plaintiffs' Management Agreement.</w:t>
      </w:r>
      <w:r>
        <w:rPr>
          <w:rFonts w:ascii="arial" w:eastAsia="arial" w:hAnsi="arial" w:cs="arial"/>
          <w:sz w:val="20"/>
          <w:lang w:val="en-US" w:eastAsia="en-US" w:bidi="ar-SA"/>
        </w:rPr>
        <w:cr/>
      </w:r>
    </w:p>
    <w:p>
      <w:pPr>
        <w:numPr>
          <w:numId w:val="4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rescission of the Amended Plaintiffs' Management Agreement is not available, could Masev obtain a remedy for alleged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As discussed above, Masev has failed to satisfy the requirements to establish actionable misrepresentation. Accordingly, its counterclaim for alleged damages must be dismissed.</w:t>
      </w:r>
      <w:r>
        <w:rPr>
          <w:rFonts w:ascii="arial" w:eastAsia="arial" w:hAnsi="arial" w:cs="arial"/>
          <w:sz w:val="20"/>
          <w:lang w:val="en-US" w:eastAsia="en-US" w:bidi="ar-SA"/>
        </w:rPr>
        <w:cr/>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Court determines under Rule 18A that the Amended Plaintiffs' Management Agreement is enforceable, what remedy should be given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plaintiffs claim the Termination Fee, arrears of the monthly Base Fee, aggravated damages and punitive damages. I address each category separately.</w:t>
      </w:r>
      <w:r>
        <w:rPr>
          <w:rFonts w:ascii="arial" w:eastAsia="arial" w:hAnsi="arial" w:cs="arial"/>
          <w:sz w:val="20"/>
          <w:lang w:val="en-US" w:eastAsia="en-US" w:bidi="ar-SA"/>
        </w:rPr>
        <w:cr/>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Termination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Amended Plaintiffs' Management Agreement is enforceable on its terms. Calculation of the Termination Fee requires determination of the monthly Base Fee. Section 4.1 provides that the monthly fee is $11,000.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Masev has alleged that all the Shareholders agreed to accept a lesser sum than as set out in their respective management agreements. This is contrary to the "entire agreement" clause in section 9.1 of both plaintiffs' management agreements, and is therefore inadmissible.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addition, section 4.2 of both agreements specifically contemplates that the plaintiffs would receive lesser sums on a monthly basis when Masev had cash flow problems, but that the reduction would be treated as a shareholder loan, without interest, and be paid from profit before dividends.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Masev has not established a basis to depart from section 4.2. Pursuant to section 3 of the Amended Plaintiffs' Management Agreement and the December 12, 2002 letter from Ellis Foster Chartered Accountants, Pan Pacific is entitled to the Termination Fee of $143,000. The contract itself permits Masev to elect to pay the fee over 12 equal monthly payments. The sum should have been fully paid one year after the dismissal in May 2003, and payment is overdue.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Accordingly, Pan Pacific is entitled to judgment for a Termination Fee of $143,000, plus interest from the date that each monthly instalment was due.</w:t>
      </w:r>
      <w:r>
        <w:rPr>
          <w:rFonts w:ascii="arial" w:eastAsia="arial" w:hAnsi="arial" w:cs="arial"/>
          <w:sz w:val="20"/>
          <w:lang w:val="en-US" w:eastAsia="en-US" w:bidi="ar-SA"/>
        </w:rPr>
        <w:cr/>
      </w:r>
    </w:p>
    <w:p>
      <w:pPr>
        <w:numPr>
          <w:numId w:val="5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Arrears of Monthly Base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plaintiffs' position is that the salary arrears are $40,500, calculated on the basis that $11,000 was due monthly. Masev argued firstly that the parties had agreed that the plaintiffs would receive only $8,000 a month and, secondly, that any sum owing would be set-off against the value of the used laptop which Masev allowed Mr. Gigliotti to take after his dismissal.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As set out above, Masev was required to pay Pan Pacific the monthly "Base Fee" of $11,000. The reduction in the amount paid created a shareholder loan pursuant to section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contract does not say when the shareholder loan becomes due, and therefore it should be within a reasonable period. There was no evidence about Masev's present financial circumstances. On the basis of the evidence, it is reasonable for the loan to be payable May 16, 2003, one year after dismissal. Pan Pacific is entitled to pre-judgment interest from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respect of the used laptop computer, neither party tendered any evidence of the value of the laptop. In these circumstances, I will impose a relatively nominal sum for the value of the laptop. I have selected the figure of $500, in the absence of any evidence regarding the laptop's value, condition, age or original price. Masev is entitled to set that off against the outstanding principal of the shareholder loan. As a result, Pan Pacific is entitled to judgment for $40,000, plus interest from May 16, 2003.</w:t>
      </w:r>
      <w:r>
        <w:rPr>
          <w:rFonts w:ascii="arial" w:eastAsia="arial" w:hAnsi="arial" w:cs="arial"/>
          <w:sz w:val="20"/>
          <w:lang w:val="en-US" w:eastAsia="en-US" w:bidi="ar-SA"/>
        </w:rPr>
        <w:cr/>
      </w:r>
    </w:p>
    <w:p>
      <w:pPr>
        <w:numPr>
          <w:numId w:val="5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The plaintiffs allege that Masev acted in bad faith in the manner and timing of termination of the Amended Plaintiffs' Management Agreement. The plaintiffs argue that, by analogy to the decision of the Supreme Court of Canada in Wallace v. United Grain Growers, </w:t>
      </w:r>
      <w:hyperlink r:id="rId121" w:history="1">
        <w:r>
          <w:rPr>
            <w:rFonts w:ascii="arial" w:eastAsia="arial" w:hAnsi="arial" w:cs="arial"/>
            <w:i/>
            <w:color w:val="0077CC"/>
            <w:sz w:val="20"/>
            <w:u w:val="single"/>
            <w:shd w:val="clear" w:color="auto" w:fill="FFFFFF"/>
            <w:lang w:val="en-US" w:eastAsia="en-US" w:bidi="ar-SA"/>
          </w:rPr>
          <w:t>[1997] 3 S.C.R. 701</w:t>
        </w:r>
      </w:hyperlink>
      <w:r>
        <w:rPr>
          <w:rFonts w:ascii="arial" w:eastAsia="arial" w:hAnsi="arial" w:cs="arial"/>
          <w:color w:val="000000"/>
          <w:sz w:val="20"/>
          <w:lang w:val="en-US" w:eastAsia="en-US" w:bidi="ar-SA"/>
        </w:rPr>
        <w:t xml:space="preserve"> (S.C.), the court should make an award for increased damages in light of the manner of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Wallace, the Supreme Court of Canada considered an employment agreement in which there was no express duty to act in good faith. In the case at bar, article 9.4 of the Amended Plaintiffs' Management Agreement is a warranty to act in good faith. The discussion in Wallace is therefore of assistance only by analogy.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Masev failed to act in compliance with the Amended Plaintiffs' Management Agreement. Masev did not give written notice as required by section 3.3 of the Agreement, and did not pay the Termination Fee when required by the Agreement. The Termination Fee was payable on termination even in the situation of serious neglect in discharge of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Damages for breach of a contractual term like a warranty to act in good faith are compensatory, and require proof of loss. In some cases, a party suffers mental illness or loses money as a result of a breach of such a term. There is no evidence that Mr. Gigliotti suffered any losses of that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plaintiffs are entitled to nominal damages for Masev's breach of its warranty to act in good faith. Masev must pay the plaintiffs $1,000 jointly for such damages, plus interest from the date of the dismissal.</w:t>
      </w:r>
      <w:r>
        <w:rPr>
          <w:rFonts w:ascii="arial" w:eastAsia="arial" w:hAnsi="arial" w:cs="arial"/>
          <w:sz w:val="20"/>
          <w:lang w:val="en-US" w:eastAsia="en-US" w:bidi="ar-SA"/>
        </w:rPr>
        <w:cr/>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plaintiffs claim punitive damages of $50,000 on two grounds. First, they claim that the dismissal was motivated by age discrimination, and that punitive damages should be awarded as a result. Second, they argue that Masev's failure to make the payments forthwith as required by the contract and failure to give the notice to cure as provided in section 3(a) demonstrate that Masev's conduct was high-handed and malicious and deserving of judicial rebuke by the imposition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Punitive damages are an exception to the general rule that damages are meant to compensate the plaintiffs. In cases of breach of contract, punitive damages are available only if the defendant's conduct amounted to an independent actionable wrong, and was sufficiently "harsh, vindictive, reprehensible and malicious" that a punitive award is warranted. (See Wallace).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Masev's conduct in terminating the agreement in defiance of its warranty of good faith is not an independently actionable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Masev's conduct in dismissing Mr. Gigliotti to put a new face on the company may amount to age discrimination. There is no tort of discrimination. Complaints of discrimination must be pursued under the Human Rights Code, </w:t>
      </w:r>
      <w:r>
        <w:rPr>
          <w:rFonts w:ascii="arial" w:eastAsia="arial" w:hAnsi="arial" w:cs="arial"/>
          <w:i/>
          <w:color w:val="000000"/>
          <w:sz w:val="20"/>
          <w:lang w:val="en-US" w:eastAsia="en-US" w:bidi="ar-SA"/>
        </w:rPr>
        <w:t>R.S.B.C. 1996, c. 210</w:t>
      </w:r>
      <w:r>
        <w:rPr>
          <w:rFonts w:ascii="arial" w:eastAsia="arial" w:hAnsi="arial" w:cs="arial"/>
          <w:color w:val="000000"/>
          <w:sz w:val="20"/>
          <w:lang w:val="en-US" w:eastAsia="en-US" w:bidi="ar-SA"/>
        </w:rPr>
        <w:t>. The question then arises of whether discrimination complaints are "independent actionable wrongs"?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In Collinson v. William E. Coutts Co. (c.o.b. Hallmark Cards, Canada), </w:t>
      </w:r>
      <w:hyperlink r:id="rId596" w:history="1">
        <w:r>
          <w:rPr>
            <w:rFonts w:ascii="arial" w:eastAsia="arial" w:hAnsi="arial" w:cs="arial"/>
            <w:i/>
            <w:color w:val="0077CC"/>
            <w:sz w:val="20"/>
            <w:u w:val="single"/>
            <w:shd w:val="clear" w:color="auto" w:fill="FFFFFF"/>
            <w:lang w:val="en-US" w:eastAsia="en-US" w:bidi="ar-SA"/>
          </w:rPr>
          <w:t>[1995] B.C.J. No. 2766</w:t>
        </w:r>
      </w:hyperlink>
      <w:r>
        <w:rPr>
          <w:rFonts w:ascii="arial" w:eastAsia="arial" w:hAnsi="arial" w:cs="arial"/>
          <w:color w:val="000000"/>
          <w:sz w:val="20"/>
          <w:lang w:val="en-US" w:eastAsia="en-US" w:bidi="ar-SA"/>
        </w:rPr>
        <w:t>, Mr. Justice Holmes considered whether punitive damages could be awarded for age discrimination. Mr. Justice Holmes concluded that it was not clear, plain and obvious that age discrimination could never give rise to an award of punitive damages in a wrongful dismissal action. As a result, he declined to strike out the portions of the plaintiff's claim making those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my view, breaching the Human Rights Code would constitute an "independently actionable wrong", even though it is not "actionable" in the sense of giving rise to a claim in a lawsuit. It is "actionable" through a complaint pursuant to the Human Rights Code. In my view, although such complaints are resolved in a different forum, they are still "actionable" for the purposes of a punitive damages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question then arises whether Masev's termination of the management agreement was age discrimination.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Masev did not give Mr. Gigliotti a reason for his dismissal at the time. Later, he was told that the company needed a different face to go forward. Mr. Donnelly told Mr. Wishart that Mr. Gigliotti did not fit the youthful image the company was trying to portray. Mr. Donnelly deposed that he made that remark simply to avoid casting a negative light on Mr. Gigliotti, but he did not depose that what he told Mr. Wishart was a lie.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description in the Information Circular of Masev's business as a "youth marketing organization" and the fact that the president is 34 years of age, and that all the managers described are 44 years-old or younger, are consistent with age discrimination being a reason for the termination of the plaintiffs'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However, Mr. Darcy Taylor's evidence was that concerns over Mr. Gigliotti's performance led to the termination. In the circumstances of this Rule 18A proceeding, I must accept that evidence and therefore do not find any basis for an award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summary, I order as follows:</w:t>
      </w:r>
      <w:r>
        <w:rPr>
          <w:rFonts w:ascii="arial" w:eastAsia="arial" w:hAnsi="arial" w:cs="arial"/>
          <w:sz w:val="20"/>
          <w:lang w:val="en-US" w:eastAsia="en-US" w:bidi="ar-SA"/>
        </w:rPr>
        <w:cr/>
      </w:r>
    </w:p>
    <w:p>
      <w:pPr>
        <w:numPr>
          <w:numId w:val="5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counterclaim is dismissed;</w:t>
      </w:r>
    </w:p>
    <w:p>
      <w:pPr>
        <w:numPr>
          <w:numId w:val="5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are entitled to judgment against Masev in the following amounts:</w:t>
      </w:r>
    </w:p>
    <w:p>
      <w:pPr>
        <w:numPr>
          <w:numId w:val="5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Pan Pacific is entitled to judgment for $143,000, together with pre-judgment interest from the date that each monthly payment was due commencing June 16, 2002;</w:t>
      </w:r>
    </w:p>
    <w:p>
      <w:pPr>
        <w:numPr>
          <w:numId w:val="5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Pan Pacific is entitled to judgment for $40,000, plus pre-judgment interest from May 16, 2003;</w:t>
      </w:r>
    </w:p>
    <w:p>
      <w:pPr>
        <w:numPr>
          <w:numId w:val="5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are jointly entitled to judgment for $1,000, plus pre-judgment interest from May 16,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plaintiffs sought special costs on the basis of unproven allegations of fraud. The defence opposed that on the basis that there is some merit to the allegation of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Special costs are ordered where there is reprehensible conduct, including conduct which is deserving of reproof or rebuke. See Garcia v. Crestbrook Forest Industries Ltd. </w:t>
      </w:r>
      <w:hyperlink r:id="rId491" w:history="1">
        <w:r>
          <w:rPr>
            <w:rFonts w:ascii="arial" w:eastAsia="arial" w:hAnsi="arial" w:cs="arial"/>
            <w:i/>
            <w:color w:val="0077CC"/>
            <w:sz w:val="20"/>
            <w:u w:val="single"/>
            <w:shd w:val="clear" w:color="auto" w:fill="FFFFFF"/>
            <w:lang w:val="en-US" w:eastAsia="en-US" w:bidi="ar-SA"/>
          </w:rPr>
          <w:t>(1994), 119 D.L.R. (4th) 740</w:t>
        </w:r>
      </w:hyperlink>
      <w:r>
        <w:rPr>
          <w:rFonts w:ascii="arial" w:eastAsia="arial" w:hAnsi="arial" w:cs="arial"/>
          <w:color w:val="000000"/>
          <w:sz w:val="20"/>
          <w:lang w:val="en-US" w:eastAsia="en-US" w:bidi="ar-SA"/>
        </w:rPr>
        <w:t xml:space="preserve"> at 746-7 (B.C.C.A.). An unproven allegation of fraud may, but not must, result in an award for special costs. One of the circumstances to take into account, whether the party had an improper motive, is not necessary for a finding of reprehensible conduct. See Doyle Const. Co. v. Carling O'Keefe Breweries of Can. Ltd., </w:t>
      </w:r>
      <w:hyperlink r:id="rId597" w:history="1">
        <w:r>
          <w:rPr>
            <w:rFonts w:ascii="arial" w:eastAsia="arial" w:hAnsi="arial" w:cs="arial"/>
            <w:i/>
            <w:color w:val="0077CC"/>
            <w:sz w:val="20"/>
            <w:u w:val="single"/>
            <w:shd w:val="clear" w:color="auto" w:fill="FFFFFF"/>
            <w:lang w:val="en-US" w:eastAsia="en-US" w:bidi="ar-SA"/>
          </w:rPr>
          <w:t>(1988), 27 B.C.L.R. (2d) 81</w:t>
        </w:r>
      </w:hyperlink>
      <w:r>
        <w:rPr>
          <w:rFonts w:ascii="arial" w:eastAsia="arial" w:hAnsi="arial" w:cs="arial"/>
          <w:color w:val="000000"/>
          <w:sz w:val="20"/>
          <w:lang w:val="en-US" w:eastAsia="en-US" w:bidi="ar-SA"/>
        </w:rPr>
        <w:t xml:space="preserve"> (C.A.); Paz v. Hardouin </w:t>
      </w:r>
      <w:hyperlink r:id="rId598" w:history="1">
        <w:r>
          <w:rPr>
            <w:rFonts w:ascii="arial" w:eastAsia="arial" w:hAnsi="arial" w:cs="arial"/>
            <w:i/>
            <w:color w:val="0077CC"/>
            <w:sz w:val="20"/>
            <w:u w:val="single"/>
            <w:shd w:val="clear" w:color="auto" w:fill="FFFFFF"/>
            <w:lang w:val="en-US" w:eastAsia="en-US" w:bidi="ar-SA"/>
          </w:rPr>
          <w:t>(1996), 25 B.C.L.R. (3d) 201</w:t>
        </w:r>
      </w:hyperlink>
      <w:r>
        <w:rPr>
          <w:rFonts w:ascii="arial" w:eastAsia="arial" w:hAnsi="arial" w:cs="arial"/>
          <w:color w:val="000000"/>
          <w:sz w:val="20"/>
          <w:lang w:val="en-US" w:eastAsia="en-US" w:bidi="ar-SA"/>
        </w:rPr>
        <w:t xml:space="preserve"> (C.A.); and Steward v. Donnelly, </w:t>
      </w:r>
      <w:hyperlink r:id="rId599" w:history="1">
        <w:r>
          <w:rPr>
            <w:rFonts w:ascii="arial" w:eastAsia="arial" w:hAnsi="arial" w:cs="arial"/>
            <w:i/>
            <w:color w:val="0077CC"/>
            <w:sz w:val="20"/>
            <w:u w:val="single"/>
            <w:shd w:val="clear" w:color="auto" w:fill="FFFFFF"/>
            <w:lang w:val="en-US" w:eastAsia="en-US" w:bidi="ar-SA"/>
          </w:rPr>
          <w:t>[2003] B.C.J. No. 1614</w:t>
        </w:r>
      </w:hyperlink>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2003 BCSC 1075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This matter proceeded under Rule 18A and as a result, I have accepted the evidence filed on Masev's behalf in the event of any conflict. I must therefore find that Masev believed the evidence it relied on. As a result, there was no improper motive for Masev making the allegations. While Masev's evidence falls short of establishing fraudulent misrepresentation, its conduct is not so reprehensible as to attract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In all the circumstances, I am satisfied that this is not a case to order special costs. This has been a case of more than ordinary difficulty, and as a result, the plaintiffs are entitled to their costs at Scale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2" style="position:absolute;z-index:2518435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00"/>
          <w:headerReference w:type="default" r:id="rId601"/>
          <w:footerReference w:type="even" r:id="rId602"/>
          <w:footerReference w:type="default" r:id="rId603"/>
          <w:headerReference w:type="first" r:id="rId604"/>
          <w:footerReference w:type="first" r:id="rId60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06" w:history="1">
        <w:r>
          <w:rPr>
            <w:rFonts w:ascii="arial" w:eastAsia="arial" w:hAnsi="arial" w:cs="arial"/>
            <w:b/>
            <w:bCs/>
            <w:i/>
            <w:color w:val="0077CC"/>
            <w:kern w:val="32"/>
            <w:sz w:val="28"/>
            <w:szCs w:val="32"/>
            <w:u w:val="single"/>
            <w:shd w:val="clear" w:color="auto" w:fill="FFFFFF"/>
            <w:lang w:val="en-US" w:eastAsia="en-US" w:bidi="ar-SA"/>
          </w:rPr>
          <w:t>Gill v. Yahoo! Canada Co., [2018] B.C.J. No. 331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 Morellato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20,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28,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S168873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290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 C.P.C. (8th) 368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289 A.C.W.S. (3d) 254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CarswellBC 432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Jagdeep Gill, Plaintiff, and Yahoo! Canada Co. and Yahoo!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3"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2" w:name="Keywords_31"/>
      <w:bookmarkEnd w:id="212"/>
      <w:r>
        <w:rPr>
          <w:rFonts w:ascii="arial" w:eastAsia="arial" w:hAnsi="arial" w:cs="arial"/>
          <w:b/>
          <w:color w:val="000000"/>
          <w:sz w:val="20"/>
          <w:lang w:val="en-US" w:eastAsia="en-US" w:bidi="ar-SA"/>
        </w:rPr>
        <w:t>Civil litigation — Civil procedure — Parties — Class or representative actions — Procedure — Application by defendants for order that their application for a stay of proceedings be heard prior to plaintiff's application to certify the proceedings as class action dismissed — Applications to be heard together — Defendants sought a stay on basis that plaintiff agreed to forum selection clause in favour of Ontario — Strength of selection clause's enforceability did not militate for or against hearing stay application first — Hearing stay application first would not necessarily promote interests of judicial efficiency.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3" w:name="Case Summary_28"/>
            <w:bookmarkEnd w:id="21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for an order that their application for a stay of proceedings be heard prior to the plaintiff's application to certify the proceedings as a class action. The defendants sought a stay on the basis that the plaintiff agreed to a forum selection clause in favour of Ontario. The plaintiff sought relief on behalf of himself and other Yahoo account holders in BC whose personal or financial information was accessed, compromised or stolen from Yahoo, following a data breach. The factual allegations essentially alleged that Yahoo failed to properly fortify their systems through adequate cyber security measures so as to safeguard against adverse intruders and that Yahoo failed to sufficiently encrypt users' account information in the event that it was obtained by third parties.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4" w:name="Holdings of Court_27"/>
            <w:bookmarkEnd w:id="214"/>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stay application and the certification application would be heard together. The court was not persuaded that hearing the forum selection application first would promote the interests of judicial efficiency or economy as claimed by Yahoo. Any statutory cause of action based on legislation specific to BC could be advanced in the Ontario class proceeding. Steps taken in this proceeding by Yahoo to join issue with the causes of action alleged by the plaintiff, including the identification of any available defences through the exchange of pleadings, should continue to be of utility in Ontario if it was ultimately determined that Ontario was a more appropriate forum than BC for the resolution of this action. Whether successful or not, hearing the stay application first could very well lead to appeals and delays that would affect the timely adjudication of this action. The strength of the forum selection clause's enforceability did not militate for or against hearing the stay application first.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5" w:name="Legislation Cited_25"/>
      <w:bookmarkEnd w:id="2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4"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Action Proceedings Act, </w:t>
      </w:r>
      <w:hyperlink r:id="rId607" w:history="1">
        <w:r>
          <w:rPr>
            <w:rFonts w:ascii="arial" w:eastAsia="arial" w:hAnsi="arial" w:cs="arial"/>
            <w:i/>
            <w:color w:val="0077CC"/>
            <w:sz w:val="20"/>
            <w:u w:val="single"/>
            <w:shd w:val="clear" w:color="auto" w:fill="FFFFFF"/>
            <w:lang w:val="en-US" w:eastAsia="en-US" w:bidi="ar-SA"/>
          </w:rPr>
          <w:t>R.S.B.C. 1996, c. 50, s. 12</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Privacy Act, </w:t>
      </w:r>
      <w:r>
        <w:rPr>
          <w:rFonts w:ascii="arial" w:eastAsia="arial" w:hAnsi="arial" w:cs="arial"/>
          <w:i/>
          <w:color w:val="000000"/>
          <w:sz w:val="20"/>
          <w:lang w:val="en-US" w:eastAsia="en-US" w:bidi="ar-SA"/>
        </w:rPr>
        <w:t>R.S.B.C 1996, c. 373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6" w:name="Counsel_31"/>
      <w:bookmarkEnd w:id="21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5" style="position:absolute;z-index:251793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K.S. Garcha.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C.P. Dennis,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7" w:name="Judgment_31"/>
      <w:bookmarkEnd w:id="217"/>
      <w:r>
        <w:pict>
          <v:line id="_x0000_s1186" style="position:absolute;z-index:2518446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8" w:name="M. MORELLATO J."/>
            <w:bookmarkEnd w:id="218"/>
            <w:r>
              <w:rPr>
                <w:rFonts w:ascii="arial" w:eastAsia="arial" w:hAnsi="arial" w:cs="arial"/>
                <w:b/>
                <w:color w:val="000000"/>
                <w:sz w:val="30"/>
                <w:lang w:val="en-US" w:eastAsia="en-US" w:bidi="ar-SA"/>
              </w:rPr>
              <w:t>M. MORELLATO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Yahoo! Canada Co. and Yahoo! Inc. (collectively "Yahoo") seek a "case management direction" that their filed application for a stay of proceedings be heard prior to the plaintiff's application to certify the proceedings as a class action pursuant to the </w:t>
      </w:r>
      <w:r>
        <w:rPr>
          <w:rFonts w:ascii="arial" w:eastAsia="arial" w:hAnsi="arial" w:cs="arial"/>
          <w:i/>
          <w:color w:val="000000"/>
          <w:sz w:val="20"/>
          <w:lang w:val="en-US" w:eastAsia="en-US" w:bidi="ar-SA"/>
        </w:rPr>
        <w:t>Class Action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Specifically, Yahoo seeks a stay on the basis that the plaintiff, Mr. Jagdeep Gill, agreed to a forum selection clause in favour of Ontario. Mr. Gill seeks a direction that the certification application and the stay application be heard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Gill's action ("Action") was filed on September 26, 2016. He seeks relief on his own behalf and on behalf of all British Columbia resident persons who were or are account holders of Yahoo, and whose personal and/or financial information was accessed, compromised and/or stolen from Yahoo, following a data breach as described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first judicial management conference was held on June 7, 2017, at which the parties agreed that no steps would be taken in the Action until the Supreme Court of Canada rendered its decision in </w:t>
      </w:r>
      <w:r>
        <w:rPr>
          <w:rFonts w:ascii="arial" w:eastAsia="arial" w:hAnsi="arial" w:cs="arial"/>
          <w:i/>
          <w:color w:val="000000"/>
          <w:sz w:val="20"/>
          <w:lang w:val="en-US" w:eastAsia="en-US" w:bidi="ar-SA"/>
        </w:rPr>
        <w:t>Douez v. Facebook</w:t>
      </w:r>
      <w:r>
        <w:rPr>
          <w:rFonts w:ascii="arial" w:eastAsia="arial" w:hAnsi="arial" w:cs="arial"/>
          <w:color w:val="000000"/>
          <w:sz w:val="20"/>
          <w:lang w:val="en-US" w:eastAsia="en-US" w:bidi="ar-SA"/>
        </w:rPr>
        <w:t xml:space="preserve">. The decision in </w:t>
      </w:r>
      <w:r>
        <w:rPr>
          <w:rFonts w:ascii="arial" w:eastAsia="arial" w:hAnsi="arial" w:cs="arial"/>
          <w:i/>
          <w:color w:val="000000"/>
          <w:sz w:val="20"/>
          <w:lang w:val="en-US" w:eastAsia="en-US" w:bidi="ar-SA"/>
        </w:rPr>
        <w:t>Douez v. Facebook, Inc.</w:t>
      </w:r>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2017 SCC 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Douez SCC</w:t>
      </w:r>
      <w:r>
        <w:rPr>
          <w:rFonts w:ascii="arial" w:eastAsia="arial" w:hAnsi="arial" w:cs="arial"/>
          <w:color w:val="000000"/>
          <w:sz w:val="20"/>
          <w:lang w:val="en-US" w:eastAsia="en-US" w:bidi="ar-SA"/>
        </w:rPr>
        <w:t>], was released on June 23, 2017. A second judicial management conference was held on September 29, 2017. With the agreement of the parties, the Court directed that the sequencing application be heard on November 20, 2017. Yahoo has not filed a defence and the certification application has not been set down for hearing. Subject to the outcome of this application on sequencing, March 26 and 27, 2018 are reserved for the stay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only issue presently before me is whether I ought to exercise my discretion to have the stay application heard before or at the same time as the certification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 </w:t>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proposed class proceeding involves the alleged failure of Yahoo to adequately safeguard, protect, store or maintain the personal and/or financial account information of Mr. Gill and the proposed class members. On September 22, 2016, Yahoo issued a press release announcing that a recent investigation confirmed that personal account information was stolen from the company's network in late 2014 by what it believes is a "state-sponsored actor". The stolen information included users' names, email addresses, telephone numbers, dates of birth, hashed passwords and, in some cases, encrypted or unencrypted security questions and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December 14, 2016, Yahoo sent another email informing its users that in August 2013 an "unauthorized third party" stole user account information affecting more than one billion user accounts. Counsel for Mr. Gill asserts that, in October 2017, Yahoo announced that the 2013 data breach (previously thought to impact more than one billion user accounts) actually affected approximately three billion user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causes of action brought by Mr. Gill rest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bailment, breach of the common law and the statutory right of privacy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373</w:t>
      </w:r>
      <w:r>
        <w:rPr>
          <w:rFonts w:ascii="arial" w:eastAsia="arial" w:hAnsi="arial" w:cs="arial"/>
          <w:color w:val="000000"/>
          <w:sz w:val="20"/>
          <w:lang w:val="en-US" w:eastAsia="en-US" w:bidi="ar-SA"/>
        </w:rPr>
        <w:t xml:space="preserve">), breach of fiduciary duty, breach of contract, negligent misrepresentation, breach of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and breach of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410</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The factual allegations essentially allege that Yahoo failed to properly fortify their systems through adequate cyber security measures so as to safeguard against adverse intruders and, further, that Yahoo failed to sufficiently encrypt users' account information in the event that it was obtained by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Canadian users of its Yahoo and internet services are subject to a choice of law and forum selection clause which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Choice of Law and Forum. The TOS [Terms of Service] and the relationship between you and Yahoo shall be governed by the laws of the province of Ontario and Canada without regard to its conflict of law provisions. You and Yahoo agree to submit to the personal and exclusive jurisdiction of the courts located within the province of Ontario,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Further, users are required to agree to additional terms of service that relate to the use of certain email and messaging products and services, and which also contain a forum selection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Proposed class proceedings have been commenced against Yahoo in Ontario, Quebec and Saskatchewan arising from the alleged data breaches of 2013 and 2014. The Ontario proposed class proceeding in the matter of </w:t>
      </w:r>
      <w:r>
        <w:rPr>
          <w:rFonts w:ascii="arial" w:eastAsia="arial" w:hAnsi="arial" w:cs="arial"/>
          <w:i/>
          <w:color w:val="000000"/>
          <w:sz w:val="20"/>
          <w:lang w:val="en-US" w:eastAsia="en-US" w:bidi="ar-SA"/>
        </w:rPr>
        <w:t>Natalia Karasik v. Yahoo! Inc. and Yahoo! Canada Co.</w:t>
      </w:r>
      <w:r>
        <w:rPr>
          <w:rFonts w:ascii="arial" w:eastAsia="arial" w:hAnsi="arial" w:cs="arial"/>
          <w:color w:val="000000"/>
          <w:sz w:val="20"/>
          <w:lang w:val="en-US" w:eastAsia="en-US" w:bidi="ar-SA"/>
        </w:rPr>
        <w:t xml:space="preserve">, Ontario Superior Court of Justice, Court File No. CV-16-566248-00CP was commenced on December 16, 2016. The Quebec proposed class proceeding in the matter of </w:t>
      </w:r>
      <w:r>
        <w:rPr>
          <w:rFonts w:ascii="arial" w:eastAsia="arial" w:hAnsi="arial" w:cs="arial"/>
          <w:i/>
          <w:color w:val="000000"/>
          <w:sz w:val="20"/>
          <w:lang w:val="en-US" w:eastAsia="en-US" w:bidi="ar-SA"/>
        </w:rPr>
        <w:t>Michel Demers v. Yahoo! Inc. and Yahoo! Canada Co.</w:t>
      </w:r>
      <w:r>
        <w:rPr>
          <w:rFonts w:ascii="arial" w:eastAsia="arial" w:hAnsi="arial" w:cs="arial"/>
          <w:color w:val="000000"/>
          <w:sz w:val="20"/>
          <w:lang w:val="en-US" w:eastAsia="en-US" w:bidi="ar-SA"/>
        </w:rPr>
        <w:t>, Superior Court Province of Quebec, District of Montreal No. 500-06-000841-177 was commenced on January 26,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parallel proposed class proceedings in Ontario and Quebec have yet to be certified. If certified, the Ontario proceeding would include all persons in the proposed class proceeding in the instant case; the proposed class in Ontario includes all persons in Canada "whose Yahoo account information was stolen in the 2013 Breach, the 2014 Breach, and/or through the use of forged cookies in 2015 and/or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Yahoo brought a motion to stay the Quebec proceedings based on,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a forum selection clause in favour of Ontario. That motion was denied because Article 3149 of the Quebec Civil Code and s. 22.1 of the </w:t>
      </w:r>
      <w:r>
        <w:rPr>
          <w:rFonts w:ascii="arial" w:eastAsia="arial" w:hAnsi="arial" w:cs="arial"/>
          <w:i/>
          <w:color w:val="000000"/>
          <w:sz w:val="20"/>
          <w:lang w:val="en-US" w:eastAsia="en-US" w:bidi="ar-SA"/>
        </w:rPr>
        <w:t>Consumer Protection Act</w:t>
      </w:r>
      <w:r>
        <w:rPr>
          <w:rFonts w:ascii="arial" w:eastAsia="arial" w:hAnsi="arial" w:cs="arial"/>
          <w:color w:val="000000"/>
          <w:sz w:val="20"/>
          <w:lang w:val="en-US" w:eastAsia="en-US" w:bidi="ar-SA"/>
        </w:rPr>
        <w:t xml:space="preserve">, </w:t>
      </w:r>
      <w:hyperlink r:id="rId609" w:history="1">
        <w:r>
          <w:rPr>
            <w:rFonts w:ascii="arial" w:eastAsia="arial" w:hAnsi="arial" w:cs="arial"/>
            <w:i/>
            <w:color w:val="0077CC"/>
            <w:sz w:val="20"/>
            <w:u w:val="single"/>
            <w:shd w:val="clear" w:color="auto" w:fill="FFFFFF"/>
            <w:lang w:val="en-US" w:eastAsia="en-US" w:bidi="ar-SA"/>
          </w:rPr>
          <w:t>CQLR c. P-40.1</w:t>
        </w:r>
      </w:hyperlink>
      <w:r>
        <w:rPr>
          <w:rFonts w:ascii="arial" w:eastAsia="arial" w:hAnsi="arial" w:cs="arial"/>
          <w:color w:val="000000"/>
          <w:sz w:val="20"/>
          <w:lang w:val="en-US" w:eastAsia="en-US" w:bidi="ar-SA"/>
        </w:rPr>
        <w:t>, provide that forum selection clauses in consumer contacts are not enforceable. British Columbia does not have legislation that renders forum selection clauses unenforceable in consumer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III. </w:t>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As a general rule, the certification motion is the first procedural motion that is heard in class action proceedings. In </w:t>
      </w:r>
      <w:r>
        <w:rPr>
          <w:rFonts w:ascii="arial" w:eastAsia="arial" w:hAnsi="arial" w:cs="arial"/>
          <w:i/>
          <w:color w:val="000000"/>
          <w:sz w:val="20"/>
          <w:lang w:val="en-US" w:eastAsia="en-US" w:bidi="ar-SA"/>
        </w:rPr>
        <w:t>Kwicksutaineuk/Ah-Kwa-Mish First Nation v. British Columbia (Agriculture and Lands)</w:t>
      </w:r>
      <w:r>
        <w:rPr>
          <w:rFonts w:ascii="arial" w:eastAsia="arial" w:hAnsi="arial" w:cs="arial"/>
          <w:color w:val="000000"/>
          <w:sz w:val="20"/>
          <w:lang w:val="en-US" w:eastAsia="en-US" w:bidi="ar-SA"/>
        </w:rPr>
        <w:t xml:space="preserve">, </w:t>
      </w:r>
      <w:hyperlink r:id="rId610" w:history="1">
        <w:r>
          <w:rPr>
            <w:rFonts w:ascii="arial" w:eastAsia="arial" w:hAnsi="arial" w:cs="arial"/>
            <w:i/>
            <w:color w:val="0077CC"/>
            <w:sz w:val="20"/>
            <w:u w:val="single"/>
            <w:shd w:val="clear" w:color="auto" w:fill="FFFFFF"/>
            <w:lang w:val="en-US" w:eastAsia="en-US" w:bidi="ar-SA"/>
          </w:rPr>
          <w:t>2009 BCSC 1593</w:t>
        </w:r>
      </w:hyperlink>
      <w:r>
        <w:rPr>
          <w:rFonts w:ascii="arial" w:eastAsia="arial" w:hAnsi="arial" w:cs="arial"/>
          <w:color w:val="000000"/>
          <w:sz w:val="20"/>
          <w:lang w:val="en-US" w:eastAsia="en-US" w:bidi="ar-SA"/>
        </w:rPr>
        <w:t xml:space="preserve"> at para. 59, the Court reasoned as follows in this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As a general rule, the certification motion ought to be the first procedural matter to be heard and determined in an intended class proceeding... This rule is premised in part on the basis that the brief 90 day period for bringing a certification application in class proceedings legislation is indicative of a legislative intent that certification precede other preliminary motions. This legislative intent underpins section 2(3)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This general rule flows in part from the relatively tight timeframe for bringing a certification application following the commencement of such an action: see </w:t>
      </w:r>
      <w:r>
        <w:rPr>
          <w:rFonts w:ascii="arial" w:eastAsia="arial" w:hAnsi="arial" w:cs="arial"/>
          <w:i/>
          <w:color w:val="000000"/>
          <w:sz w:val="20"/>
          <w:lang w:val="en-US" w:eastAsia="en-US" w:bidi="ar-SA"/>
        </w:rPr>
        <w:t>Attis v. Canada (Minister of Health)</w:t>
      </w:r>
      <w:r>
        <w:rPr>
          <w:rFonts w:ascii="arial" w:eastAsia="arial" w:hAnsi="arial" w:cs="arial"/>
          <w:color w:val="000000"/>
          <w:sz w:val="20"/>
          <w:lang w:val="en-US" w:eastAsia="en-US" w:bidi="ar-SA"/>
        </w:rPr>
        <w:t xml:space="preserve"> </w:t>
      </w:r>
      <w:hyperlink r:id="rId611" w:history="1">
        <w:r>
          <w:rPr>
            <w:rFonts w:ascii="arial" w:eastAsia="arial" w:hAnsi="arial" w:cs="arial"/>
            <w:i/>
            <w:color w:val="0077CC"/>
            <w:sz w:val="20"/>
            <w:u w:val="single"/>
            <w:shd w:val="clear" w:color="auto" w:fill="FFFFFF"/>
            <w:lang w:val="en-US" w:eastAsia="en-US" w:bidi="ar-SA"/>
          </w:rPr>
          <w:t>(2005), 75 O.R. (3d) 302</w:t>
        </w:r>
      </w:hyperlink>
      <w:r>
        <w:rPr>
          <w:rFonts w:ascii="arial" w:eastAsia="arial" w:hAnsi="arial" w:cs="arial"/>
          <w:color w:val="000000"/>
          <w:sz w:val="20"/>
          <w:lang w:val="en-US" w:eastAsia="en-US" w:bidi="ar-SA"/>
        </w:rPr>
        <w:t xml:space="preserve"> (Ont. S.C.J.). There is, however, no absolute rule. The question of whether a stay, or other application, ought to be heard prior to a certification application is a discretionary one to be determined on a case by case basis in light of the particular circumstances before the court: </w:t>
      </w:r>
      <w:r>
        <w:rPr>
          <w:rFonts w:ascii="arial" w:eastAsia="arial" w:hAnsi="arial" w:cs="arial"/>
          <w:i/>
          <w:color w:val="000000"/>
          <w:sz w:val="20"/>
          <w:lang w:val="en-US" w:eastAsia="en-US" w:bidi="ar-SA"/>
        </w:rPr>
        <w:t>Consumers' Association et al. v. Coca-Cola Bottling Company et al.</w:t>
      </w:r>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2005 BCSC 1042</w:t>
        </w:r>
      </w:hyperlink>
      <w:r>
        <w:rPr>
          <w:rFonts w:ascii="arial" w:eastAsia="arial" w:hAnsi="arial" w:cs="arial"/>
          <w:i/>
          <w:color w:val="000000"/>
          <w:sz w:val="20"/>
          <w:lang w:val="en-US" w:eastAsia="en-US" w:bidi="ar-SA"/>
        </w:rPr>
        <w:t>; Pro-Sys Consultants Ltd. v. Microsoft Corporation</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2008 BCSC 1263</w:t>
        </w:r>
      </w:hyperlink>
      <w:r>
        <w:rPr>
          <w:rFonts w:ascii="arial" w:eastAsia="arial" w:hAnsi="arial" w:cs="arial"/>
          <w:color w:val="000000"/>
          <w:sz w:val="20"/>
          <w:lang w:val="en-US" w:eastAsia="en-US" w:bidi="ar-SA"/>
        </w:rPr>
        <w:t xml:space="preserve"> at para. 15; and </w:t>
      </w:r>
      <w:r>
        <w:rPr>
          <w:rFonts w:ascii="arial" w:eastAsia="arial" w:hAnsi="arial" w:cs="arial"/>
          <w:i/>
          <w:color w:val="000000"/>
          <w:sz w:val="20"/>
          <w:lang w:val="en-US" w:eastAsia="en-US" w:bidi="ar-SA"/>
        </w:rPr>
        <w:t>Moyes v. Fortune Financial Corp</w:t>
      </w:r>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(2001), 109 A.C.W.S. (3d) 556</w:t>
        </w:r>
      </w:hyperlink>
      <w:r>
        <w:rPr>
          <w:rFonts w:ascii="arial" w:eastAsia="arial" w:hAnsi="arial" w:cs="arial"/>
          <w:color w:val="000000"/>
          <w:sz w:val="20"/>
          <w:lang w:val="en-US" w:eastAsia="en-US" w:bidi="ar-SA"/>
        </w:rPr>
        <w:t xml:space="preserve"> (Ont.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discretionary nature of sequencing determinations is reflected in the language of s. 12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at any time make any order it considers appropriate respecting the conduct of a class proceeding to ensure its fair and expeditious determination and, for that purpose, may impose on one or more of the parties the terms it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Nonetheless, it is clear that the discretion of the court in such cases ought to be exercised in a manner that facilitates and achieves judicial efficiency and the timely resolution of legal disputes. Indeed, the policy underlying the general rule that the certification application should be the first application in a class proceeding is consistent with the Supreme Court of Canada's caution against "litigation by installments," in </w:t>
      </w:r>
      <w:r>
        <w:rPr>
          <w:rFonts w:ascii="arial" w:eastAsia="arial" w:hAnsi="arial" w:cs="arial"/>
          <w:i/>
          <w:color w:val="000000"/>
          <w:sz w:val="20"/>
          <w:lang w:val="en-US" w:eastAsia="en-US" w:bidi="ar-SA"/>
        </w:rPr>
        <w:t>Garland v. Consumers' Gas Co.</w:t>
      </w:r>
      <w:r>
        <w:rPr>
          <w:rFonts w:ascii="arial" w:eastAsia="arial" w:hAnsi="arial" w:cs="arial"/>
          <w:color w:val="000000"/>
          <w:sz w:val="20"/>
          <w:lang w:val="en-US" w:eastAsia="en-US" w:bidi="ar-SA"/>
        </w:rPr>
        <w:t xml:space="preserve">, </w:t>
      </w:r>
      <w:hyperlink r:id="rId615" w:history="1">
        <w:r>
          <w:rPr>
            <w:rFonts w:ascii="arial" w:eastAsia="arial" w:hAnsi="arial" w:cs="arial"/>
            <w:i/>
            <w:color w:val="0077CC"/>
            <w:sz w:val="20"/>
            <w:u w:val="single"/>
            <w:shd w:val="clear" w:color="auto" w:fill="FFFFFF"/>
            <w:lang w:val="en-US" w:eastAsia="en-US" w:bidi="ar-SA"/>
          </w:rPr>
          <w:t>2004 SCC 25</w:t>
        </w:r>
      </w:hyperlink>
      <w:r>
        <w:rPr>
          <w:rFonts w:ascii="arial" w:eastAsia="arial" w:hAnsi="arial" w:cs="arial"/>
          <w:color w:val="000000"/>
          <w:sz w:val="20"/>
          <w:lang w:val="en-US" w:eastAsia="en-US" w:bidi="ar-SA"/>
        </w:rPr>
        <w:t xml:space="preserve"> at para. 90. Madame Justice Griffin's reasons in </w:t>
      </w:r>
      <w:r>
        <w:rPr>
          <w:rFonts w:ascii="arial" w:eastAsia="arial" w:hAnsi="arial" w:cs="arial"/>
          <w:i/>
          <w:color w:val="000000"/>
          <w:sz w:val="20"/>
          <w:lang w:val="en-US" w:eastAsia="en-US" w:bidi="ar-SA"/>
        </w:rPr>
        <w:t>Douez v. Facebook Inc.</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2012 BCSC 2097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Douez BCSC</w:t>
      </w:r>
      <w:r>
        <w:rPr>
          <w:rFonts w:ascii="arial" w:eastAsia="arial" w:hAnsi="arial" w:cs="arial"/>
          <w:color w:val="000000"/>
          <w:sz w:val="20"/>
          <w:lang w:val="en-US" w:eastAsia="en-US" w:bidi="ar-SA"/>
        </w:rPr>
        <w:t>], at paras. 12-13, are particularly salient in this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The </w:t>
      </w:r>
      <w:r>
        <w:rPr>
          <w:rFonts w:ascii="arial" w:eastAsia="arial" w:hAnsi="arial" w:cs="arial"/>
          <w:i/>
          <w:color w:val="000000"/>
          <w:sz w:val="20"/>
          <w:lang w:val="en-US" w:eastAsia="en-US" w:bidi="ar-SA"/>
        </w:rPr>
        <w:t>Garland</w:t>
      </w:r>
      <w:r>
        <w:rPr>
          <w:rFonts w:ascii="arial" w:eastAsia="arial" w:hAnsi="arial" w:cs="arial"/>
          <w:color w:val="000000"/>
          <w:sz w:val="20"/>
          <w:lang w:val="en-US" w:eastAsia="en-US" w:bidi="ar-SA"/>
        </w:rPr>
        <w:t xml:space="preserve"> case was an example of what can happen when separate procedural motions are heard. That case involved two trips to the Supreme Court of Canada and 10 years before it concluded.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As pointed out by the plaintiff, similar problems have been encountered in other cases where pre-certification motions have resulted in multiple appeals and years of litigation before any certification hearing, such as in </w:t>
      </w:r>
      <w:r>
        <w:rPr>
          <w:rFonts w:ascii="arial" w:eastAsia="arial" w:hAnsi="arial" w:cs="arial"/>
          <w:i/>
          <w:color w:val="000000"/>
          <w:sz w:val="20"/>
          <w:lang w:val="en-US" w:eastAsia="en-US" w:bidi="ar-SA"/>
        </w:rPr>
        <w:t>Seidel v. Telus Communications Inc.</w:t>
      </w:r>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2008 BCSC 933</w:t>
        </w:r>
      </w:hyperlink>
      <w:r>
        <w:rPr>
          <w:rFonts w:ascii="arial" w:eastAsia="arial" w:hAnsi="arial" w:cs="arial"/>
          <w:color w:val="000000"/>
          <w:sz w:val="20"/>
          <w:lang w:val="en-US" w:eastAsia="en-US" w:bidi="ar-SA"/>
        </w:rPr>
        <w:t xml:space="preserve">, reversed </w:t>
      </w:r>
      <w:hyperlink r:id="rId618" w:history="1">
        <w:r>
          <w:rPr>
            <w:rFonts w:ascii="arial" w:eastAsia="arial" w:hAnsi="arial" w:cs="arial"/>
            <w:i/>
            <w:color w:val="0077CC"/>
            <w:sz w:val="20"/>
            <w:u w:val="single"/>
            <w:shd w:val="clear" w:color="auto" w:fill="FFFFFF"/>
            <w:lang w:val="en-US" w:eastAsia="en-US" w:bidi="ar-SA"/>
          </w:rPr>
          <w:t>2009 BCCA 104</w:t>
        </w:r>
      </w:hyperlink>
      <w:r>
        <w:rPr>
          <w:rFonts w:ascii="arial" w:eastAsia="arial" w:hAnsi="arial" w:cs="arial"/>
          <w:color w:val="000000"/>
          <w:sz w:val="20"/>
          <w:lang w:val="en-US" w:eastAsia="en-US" w:bidi="ar-SA"/>
        </w:rPr>
        <w:t xml:space="preserve">, reversed </w:t>
      </w:r>
      <w:hyperlink r:id="rId619" w:history="1">
        <w:r>
          <w:rPr>
            <w:rFonts w:ascii="arial" w:eastAsia="arial" w:hAnsi="arial" w:cs="arial"/>
            <w:i/>
            <w:color w:val="0077CC"/>
            <w:sz w:val="20"/>
            <w:u w:val="single"/>
            <w:shd w:val="clear" w:color="auto" w:fill="FFFFFF"/>
            <w:lang w:val="en-US" w:eastAsia="en-US" w:bidi="ar-SA"/>
          </w:rPr>
          <w:t>2011 SCC 15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this light, the reasons of Mr. Justice Davies in </w:t>
      </w:r>
      <w:r>
        <w:rPr>
          <w:rFonts w:ascii="arial" w:eastAsia="arial" w:hAnsi="arial" w:cs="arial"/>
          <w:i/>
          <w:color w:val="000000"/>
          <w:sz w:val="20"/>
          <w:lang w:val="en-US" w:eastAsia="en-US" w:bidi="ar-SA"/>
        </w:rPr>
        <w:t>Lieberman et al. v. Business Development Bank of Canada</w:t>
      </w:r>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2005 BCSC 389</w:t>
        </w:r>
      </w:hyperlink>
      <w:r>
        <w:rPr>
          <w:rFonts w:ascii="arial" w:eastAsia="arial" w:hAnsi="arial" w:cs="arial"/>
          <w:color w:val="000000"/>
          <w:sz w:val="20"/>
          <w:lang w:val="en-US" w:eastAsia="en-US" w:bidi="ar-SA"/>
        </w:rPr>
        <w:t>, is of considerable assistance. He summarizes the factors that inform the exercise of the court's discretion in cases such as these: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My review of all of the authorities upon which counsel have relied leads me to conclude that the timing of the hearing of jurisdictional issues in proceedings for which certification is sought under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is a matter requiring the exercise of discretion determined by the circumstances of each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A non-exhaustive list of the factors that will likely have to be considered in exercising that discretion will include: the cost to the parties of participation in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pre-certification procedures; the strength of a defendant's jurisdictional arguments and the extent to which a preliminary application may dispose of the whole of the proceeding; the potential for delay arising from interlocutory appeals; the complexity of the evidentiary and legal issues that may arise in both the jurisdictional and certification applications; and, the interplay between the issues on both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More recently, in </w:t>
      </w:r>
      <w:r>
        <w:rPr>
          <w:rFonts w:ascii="arial" w:eastAsia="arial" w:hAnsi="arial" w:cs="arial"/>
          <w:i/>
          <w:color w:val="000000"/>
          <w:sz w:val="20"/>
          <w:lang w:val="en-US" w:eastAsia="en-US" w:bidi="ar-SA"/>
        </w:rPr>
        <w:t>Li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British Columbia</w:t>
      </w:r>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2017 BCSC 1616</w:t>
        </w:r>
      </w:hyperlink>
      <w:r>
        <w:rPr>
          <w:rFonts w:ascii="arial" w:eastAsia="arial" w:hAnsi="arial" w:cs="arial"/>
          <w:color w:val="000000"/>
          <w:sz w:val="20"/>
          <w:lang w:val="en-US" w:eastAsia="en-US" w:bidi="ar-SA"/>
        </w:rPr>
        <w:t>, Mr. Justice Bowden summarizes and frames the factors to be considered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The relevant factors that a court may consider when determining whether to proceed with a motion or an application such as this, before a certification hearing, as described in </w:t>
      </w:r>
      <w:r>
        <w:rPr>
          <w:rFonts w:ascii="arial" w:eastAsia="arial" w:hAnsi="arial" w:cs="arial"/>
          <w:i/>
          <w:color w:val="000000"/>
          <w:sz w:val="20"/>
          <w:lang w:val="en-US" w:eastAsia="en-US" w:bidi="ar-SA"/>
        </w:rPr>
        <w:t>Cannon</w:t>
      </w:r>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[2010] O.J. No. 314</w:t>
        </w:r>
      </w:hyperlink>
      <w:r>
        <w:rPr>
          <w:rFonts w:ascii="arial" w:eastAsia="arial" w:hAnsi="arial" w:cs="arial"/>
          <w:color w:val="000000"/>
          <w:sz w:val="20"/>
          <w:lang w:val="en-US" w:eastAsia="en-US" w:bidi="ar-SA"/>
        </w:rPr>
        <w:t>, are as follows: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Will the application dispose of the entire proceeding or substantially narrow the issues to be determined?</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likelihood of delays and increased costs associated with the application?</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Will the outcome of the motion promote settlement?</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Will the outcome of the motion give rise to interlocutory appeals and delays that will affect certification?</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interests of economy and judicial efficiency; and</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Generally, will scheduling the application in advance of certification promote the fair and efficient determination of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Those factors have been applied by Bauman C.J., in </w:t>
      </w:r>
      <w:r>
        <w:rPr>
          <w:rFonts w:ascii="arial" w:eastAsia="arial" w:hAnsi="arial" w:cs="arial"/>
          <w:i/>
          <w:color w:val="000000"/>
          <w:sz w:val="20"/>
          <w:lang w:val="en-US" w:eastAsia="en-US" w:bidi="ar-SA"/>
        </w:rPr>
        <w:t>Watson</w:t>
      </w:r>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[2012] B.C.J. No. 191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asserting that this Court ought to exercise its discretion to hear the stay application first, Yahoo argues, in part, as follows:</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stay application will, if successful, dispose of the entire proceeding;</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evidentiary and legal issues on the stay application are straightforward and do not overlap materially with the certification motion;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are ready to proceed with the stay application;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hearing the jurisdiction motion first will promote the interests of economy and judicial efficiency;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case for the Court to stay the proceedings is meritorious.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Yahoo also relies on the decision of our Court of Appeal in </w:t>
      </w:r>
      <w:r>
        <w:rPr>
          <w:rFonts w:ascii="arial" w:eastAsia="arial" w:hAnsi="arial" w:cs="arial"/>
          <w:i/>
          <w:color w:val="000000"/>
          <w:sz w:val="20"/>
          <w:lang w:val="en-US" w:eastAsia="en-US" w:bidi="ar-SA"/>
        </w:rPr>
        <w:t>Ezer v. Yorkton Securities Inc.</w:t>
      </w:r>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2005 BCCA 22</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Ezer</w:t>
      </w:r>
      <w:r>
        <w:rPr>
          <w:rFonts w:ascii="arial" w:eastAsia="arial" w:hAnsi="arial" w:cs="arial"/>
          <w:color w:val="000000"/>
          <w:sz w:val="20"/>
          <w:lang w:val="en-US" w:eastAsia="en-US" w:bidi="ar-SA"/>
        </w:rPr>
        <w:t xml:space="preserve">, the Court dismissed an appeal by the plaintiff in which it was argued that an application based on a forum selection clause should not have been heard prior to certification. The Court reasoned that if the forum selection clause was enforceable the plaintiff could not bring an action in British Columbia and there would be no action to certify. The Court distinguished the decision in </w:t>
      </w:r>
      <w:r>
        <w:rPr>
          <w:rFonts w:ascii="arial" w:eastAsia="arial" w:hAnsi="arial" w:cs="arial"/>
          <w:i/>
          <w:color w:val="000000"/>
          <w:sz w:val="20"/>
          <w:lang w:val="en-US" w:eastAsia="en-US" w:bidi="ar-SA"/>
        </w:rPr>
        <w:t>MacKinnon v. Instaloans Financial Solution Centres (Kelowna) Ltd.</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2004 BCCA 473</w:t>
        </w:r>
      </w:hyperlink>
      <w:r>
        <w:rPr>
          <w:rFonts w:ascii="arial" w:eastAsia="arial" w:hAnsi="arial" w:cs="arial"/>
          <w:color w:val="000000"/>
          <w:sz w:val="20"/>
          <w:lang w:val="en-US" w:eastAsia="en-US" w:bidi="ar-SA"/>
        </w:rPr>
        <w:t xml:space="preserve">, where the issue was whether an arbitration clause in the contract was "inoperative" in the face of a class proceeding and concluded that there was a conflict between s. 15 of the </w:t>
      </w:r>
      <w:r>
        <w:rPr>
          <w:rFonts w:ascii="arial" w:eastAsia="arial" w:hAnsi="arial" w:cs="arial"/>
          <w:i/>
          <w:color w:val="000000"/>
          <w:sz w:val="20"/>
          <w:lang w:val="en-US" w:eastAsia="en-US" w:bidi="ar-SA"/>
        </w:rPr>
        <w:t>Commercial Arbitration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55</w:t>
      </w:r>
      <w:r>
        <w:rPr>
          <w:rFonts w:ascii="arial" w:eastAsia="arial" w:hAnsi="arial" w:cs="arial"/>
          <w:color w:val="000000"/>
          <w:sz w:val="20"/>
          <w:lang w:val="en-US" w:eastAsia="en-US" w:bidi="ar-SA"/>
        </w:rPr>
        <w:t xml:space="preserve">, and s. 4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The Court observed that the conflict in </w:t>
      </w:r>
      <w:r>
        <w:rPr>
          <w:rFonts w:ascii="arial" w:eastAsia="arial" w:hAnsi="arial" w:cs="arial"/>
          <w:i/>
          <w:color w:val="000000"/>
          <w:sz w:val="20"/>
          <w:lang w:val="en-US" w:eastAsia="en-US" w:bidi="ar-SA"/>
        </w:rPr>
        <w:t>MacKinnon</w:t>
      </w:r>
      <w:r>
        <w:rPr>
          <w:rFonts w:ascii="arial" w:eastAsia="arial" w:hAnsi="arial" w:cs="arial"/>
          <w:color w:val="000000"/>
          <w:sz w:val="20"/>
          <w:lang w:val="en-US" w:eastAsia="en-US" w:bidi="ar-SA"/>
        </w:rPr>
        <w:t xml:space="preserve"> could only be resolved by determining whether the class proceeding met the requirements for certification, including determining that a class proceeding "would be the fair and preferable procedure for the fair and efficient resolution of the common issues": </w:t>
      </w:r>
      <w:r>
        <w:rPr>
          <w:rFonts w:ascii="arial" w:eastAsia="arial" w:hAnsi="arial" w:cs="arial"/>
          <w:i/>
          <w:color w:val="000000"/>
          <w:sz w:val="20"/>
          <w:lang w:val="en-US" w:eastAsia="en-US" w:bidi="ar-SA"/>
        </w:rPr>
        <w:t>Ezer</w:t>
      </w:r>
      <w:r>
        <w:rPr>
          <w:rFonts w:ascii="arial" w:eastAsia="arial" w:hAnsi="arial" w:cs="arial"/>
          <w:color w:val="000000"/>
          <w:sz w:val="20"/>
          <w:lang w:val="en-US" w:eastAsia="en-US" w:bidi="ar-SA"/>
        </w:rPr>
        <w:t xml:space="preserve"> at para. 18. Having distinguished </w:t>
      </w:r>
      <w:r>
        <w:rPr>
          <w:rFonts w:ascii="arial" w:eastAsia="arial" w:hAnsi="arial" w:cs="arial"/>
          <w:i/>
          <w:color w:val="000000"/>
          <w:sz w:val="20"/>
          <w:lang w:val="en-US" w:eastAsia="en-US" w:bidi="ar-SA"/>
        </w:rPr>
        <w:t>MacKinnon</w:t>
      </w:r>
      <w:r>
        <w:rPr>
          <w:rFonts w:ascii="arial" w:eastAsia="arial" w:hAnsi="arial" w:cs="arial"/>
          <w:color w:val="000000"/>
          <w:sz w:val="20"/>
          <w:lang w:val="en-US" w:eastAsia="en-US" w:bidi="ar-SA"/>
        </w:rPr>
        <w:t xml:space="preserve"> on this basis, the Court in </w:t>
      </w:r>
      <w:r>
        <w:rPr>
          <w:rFonts w:ascii="arial" w:eastAsia="arial" w:hAnsi="arial" w:cs="arial"/>
          <w:i/>
          <w:color w:val="000000"/>
          <w:sz w:val="20"/>
          <w:lang w:val="en-US" w:eastAsia="en-US" w:bidi="ar-SA"/>
        </w:rPr>
        <w:t>Ezer</w:t>
      </w:r>
      <w:r>
        <w:rPr>
          <w:rFonts w:ascii="arial" w:eastAsia="arial" w:hAnsi="arial" w:cs="arial"/>
          <w:color w:val="000000"/>
          <w:sz w:val="20"/>
          <w:lang w:val="en-US" w:eastAsia="en-US" w:bidi="ar-SA"/>
        </w:rPr>
        <w:t xml:space="preserve"> concluded that in the circumstances before it, the issue of forum selection ought to be considered before the certification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There is no such statutory conflict in this case. The question is whether the jurisdiction in which the action may be brought is determined by the contract between the parties. If the exclusive jurisdiction clause is enforceable, Mr. Ezer cannot bring any action against Yorkton in B.C., including a class proceeding, and there is no action to be certified. The issues of whether a class proceeding is the fair and preferable procedure or there are common issues do not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Counsel for Yahoo also points out that the same approach to sequencing was taken by Cullen J. in </w:t>
      </w:r>
      <w:r>
        <w:rPr>
          <w:rFonts w:ascii="arial" w:eastAsia="arial" w:hAnsi="arial" w:cs="arial"/>
          <w:i/>
          <w:color w:val="000000"/>
          <w:sz w:val="20"/>
          <w:lang w:val="en-US" w:eastAsia="en-US" w:bidi="ar-SA"/>
        </w:rPr>
        <w:t>Marren v. Echo Bay Mines Ltd.</w:t>
      </w:r>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2002 BCSC 1168</w:t>
        </w:r>
      </w:hyperlink>
      <w:r>
        <w:rPr>
          <w:rFonts w:ascii="arial" w:eastAsia="arial" w:hAnsi="arial" w:cs="arial"/>
          <w:color w:val="000000"/>
          <w:sz w:val="20"/>
          <w:lang w:val="en-US" w:eastAsia="en-US" w:bidi="ar-SA"/>
        </w:rPr>
        <w:t xml:space="preserve">, rev'd </w:t>
      </w:r>
      <w:hyperlink r:id="rId627" w:history="1">
        <w:r>
          <w:rPr>
            <w:rFonts w:ascii="arial" w:eastAsia="arial" w:hAnsi="arial" w:cs="arial"/>
            <w:i/>
            <w:color w:val="0077CC"/>
            <w:sz w:val="20"/>
            <w:u w:val="single"/>
            <w:shd w:val="clear" w:color="auto" w:fill="FFFFFF"/>
            <w:lang w:val="en-US" w:eastAsia="en-US" w:bidi="ar-SA"/>
          </w:rPr>
          <w:t>2003 BCCA 298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the course of its submissions, Yahoo addresses the decision in </w:t>
      </w:r>
      <w:r>
        <w:rPr>
          <w:rFonts w:ascii="arial" w:eastAsia="arial" w:hAnsi="arial" w:cs="arial"/>
          <w:i/>
          <w:color w:val="000000"/>
          <w:sz w:val="20"/>
          <w:lang w:val="en-US" w:eastAsia="en-US" w:bidi="ar-SA"/>
        </w:rPr>
        <w:t>Douez BCSC</w:t>
      </w:r>
      <w:r>
        <w:rPr>
          <w:rFonts w:ascii="arial" w:eastAsia="arial" w:hAnsi="arial" w:cs="arial"/>
          <w:color w:val="000000"/>
          <w:sz w:val="20"/>
          <w:lang w:val="en-US" w:eastAsia="en-US" w:bidi="ar-SA"/>
        </w:rPr>
        <w:t xml:space="preserve"> where Griffin J. (as she then was) declined to hear a jurisdiction application first, based on a forum selection clause, prior to the certification hearing. Yahoo submits that Griffin J. did so in part because she concluded that there was an overlap between the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test codified in s. 11 of the </w:t>
      </w:r>
      <w:r>
        <w:rPr>
          <w:rFonts w:ascii="arial" w:eastAsia="arial" w:hAnsi="arial" w:cs="arial"/>
          <w:i/>
          <w:color w:val="000000"/>
          <w:sz w:val="20"/>
          <w:lang w:val="en-US" w:eastAsia="en-US" w:bidi="ar-SA"/>
        </w:rPr>
        <w:t>Court Jurisdiction and Proceedings Transfer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and the preferable-procedure test under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Douez</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BCSC</w:t>
      </w:r>
      <w:r>
        <w:rPr>
          <w:rFonts w:ascii="arial" w:eastAsia="arial" w:hAnsi="arial" w:cs="arial"/>
          <w:color w:val="000000"/>
          <w:sz w:val="20"/>
          <w:lang w:val="en-US" w:eastAsia="en-US" w:bidi="ar-SA"/>
        </w:rPr>
        <w:t xml:space="preserve"> at para. 43), which the Supreme Court of Canada subsequently overturned. Counsel notes that that Griffin J. distinguished </w:t>
      </w:r>
      <w:r>
        <w:rPr>
          <w:rFonts w:ascii="arial" w:eastAsia="arial" w:hAnsi="arial" w:cs="arial"/>
          <w:i/>
          <w:color w:val="000000"/>
          <w:sz w:val="20"/>
          <w:lang w:val="en-US" w:eastAsia="en-US" w:bidi="ar-SA"/>
        </w:rPr>
        <w:t>Ezer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Marren</w:t>
      </w:r>
      <w:r>
        <w:rPr>
          <w:rFonts w:ascii="arial" w:eastAsia="arial" w:hAnsi="arial" w:cs="arial"/>
          <w:color w:val="000000"/>
          <w:sz w:val="20"/>
          <w:lang w:val="en-US" w:eastAsia="en-US" w:bidi="ar-SA"/>
        </w:rPr>
        <w:t xml:space="preserve"> on the basis that the issue before her would be based on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rather than jurisdiction </w:t>
      </w:r>
      <w:r>
        <w:rPr>
          <w:rFonts w:ascii="arial" w:eastAsia="arial" w:hAnsi="arial" w:cs="arial"/>
          <w:i/>
          <w:color w:val="000000"/>
          <w:sz w:val="20"/>
          <w:lang w:val="en-US" w:eastAsia="en-US" w:bidi="ar-SA"/>
        </w:rPr>
        <w:t>simpliciter: Douez BCSC</w:t>
      </w:r>
      <w:r>
        <w:rPr>
          <w:rFonts w:ascii="arial" w:eastAsia="arial" w:hAnsi="arial" w:cs="arial"/>
          <w:color w:val="000000"/>
          <w:sz w:val="20"/>
          <w:lang w:val="en-US" w:eastAsia="en-US" w:bidi="ar-SA"/>
        </w:rPr>
        <w:t xml:space="preserve"> at para. 47. He further argues that, at the time when Griffin J. heard the sequencing application, the interplay between forum selection clauses and the test for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was uncertain. As such, submits Yahoo, the plaintiff in </w:t>
      </w:r>
      <w:r>
        <w:rPr>
          <w:rFonts w:ascii="arial" w:eastAsia="arial" w:hAnsi="arial" w:cs="arial"/>
          <w:i/>
          <w:color w:val="000000"/>
          <w:sz w:val="20"/>
          <w:lang w:val="en-US" w:eastAsia="en-US" w:bidi="ar-SA"/>
        </w:rPr>
        <w:t>Douez BCSC</w:t>
      </w:r>
      <w:r>
        <w:rPr>
          <w:rFonts w:ascii="arial" w:eastAsia="arial" w:hAnsi="arial" w:cs="arial"/>
          <w:color w:val="000000"/>
          <w:sz w:val="20"/>
          <w:lang w:val="en-US" w:eastAsia="en-US" w:bidi="ar-SA"/>
        </w:rPr>
        <w:t xml:space="preserve"> was able to argue that the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analysis weighed in its favour (see paras. 35-37) and the sequencing factors were accordingly considered by Griffin J. on the basis that there would be competing and complex arguments to be made based on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Douez BCSC</w:t>
      </w:r>
      <w:r>
        <w:rPr>
          <w:rFonts w:ascii="arial" w:eastAsia="arial" w:hAnsi="arial" w:cs="arial"/>
          <w:color w:val="000000"/>
          <w:sz w:val="20"/>
          <w:lang w:val="en-US" w:eastAsia="en-US" w:bidi="ar-SA"/>
        </w:rPr>
        <w:t xml:space="preserve">, at para. 50. Counsel for Yahoo submits, however, that when the application was subsequently determined on the merits, both the Court of Appeal and Supreme Court of Canada found that the consideration of a forum selection clause is analytically distinct from, and precedes, the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determination under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Douez v. Facebook, Inc</w:t>
      </w:r>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2015 BCCA 279</w:t>
        </w:r>
      </w:hyperlink>
      <w:r>
        <w:rPr>
          <w:rFonts w:ascii="arial" w:eastAsia="arial" w:hAnsi="arial" w:cs="arial"/>
          <w:color w:val="000000"/>
          <w:sz w:val="20"/>
          <w:lang w:val="en-US" w:eastAsia="en-US" w:bidi="ar-SA"/>
        </w:rPr>
        <w:t xml:space="preserve">, at para. 31; </w:t>
      </w:r>
      <w:r>
        <w:rPr>
          <w:rFonts w:ascii="arial" w:eastAsia="arial" w:hAnsi="arial" w:cs="arial"/>
          <w:i/>
          <w:color w:val="000000"/>
          <w:sz w:val="20"/>
          <w:lang w:val="en-US" w:eastAsia="en-US" w:bidi="ar-SA"/>
        </w:rPr>
        <w:t>Douez SCC</w:t>
      </w:r>
      <w:r>
        <w:rPr>
          <w:rFonts w:ascii="arial" w:eastAsia="arial" w:hAnsi="arial" w:cs="arial"/>
          <w:color w:val="000000"/>
          <w:sz w:val="20"/>
          <w:lang w:val="en-US" w:eastAsia="en-US" w:bidi="ar-SA"/>
        </w:rPr>
        <w:t xml:space="preserve">, at para. 22. Yahoo underscores that, accordingly, it is now settled law that the factors relevant to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generally do not need to be considered when a jurisdiction application is brought based only on a forum selection clause, as is the case before me now. As a result, there is now no basis to distinguish this case from </w:t>
      </w:r>
      <w:r>
        <w:rPr>
          <w:rFonts w:ascii="arial" w:eastAsia="arial" w:hAnsi="arial" w:cs="arial"/>
          <w:i/>
          <w:color w:val="000000"/>
          <w:sz w:val="20"/>
          <w:lang w:val="en-US" w:eastAsia="en-US" w:bidi="ar-SA"/>
        </w:rPr>
        <w:t>Ezra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Marren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While I agree with Yahoo that the law has indeed been clarified since Griffin J. rendered her decision in </w:t>
      </w:r>
      <w:r>
        <w:rPr>
          <w:rFonts w:ascii="arial" w:eastAsia="arial" w:hAnsi="arial" w:cs="arial"/>
          <w:i/>
          <w:color w:val="000000"/>
          <w:sz w:val="20"/>
          <w:lang w:val="en-US" w:eastAsia="en-US" w:bidi="ar-SA"/>
        </w:rPr>
        <w:t>Douez BCSC</w:t>
      </w:r>
      <w:r>
        <w:rPr>
          <w:rFonts w:ascii="arial" w:eastAsia="arial" w:hAnsi="arial" w:cs="arial"/>
          <w:color w:val="000000"/>
          <w:sz w:val="20"/>
          <w:lang w:val="en-US" w:eastAsia="en-US" w:bidi="ar-SA"/>
        </w:rPr>
        <w:t xml:space="preserve">, and while I also agree that the consideration of forum selection clauses is analytically distinct from the consideration of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under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I am not persuaded that the circumstances in </w:t>
      </w:r>
      <w:r>
        <w:rPr>
          <w:rFonts w:ascii="arial" w:eastAsia="arial" w:hAnsi="arial" w:cs="arial"/>
          <w:i/>
          <w:color w:val="000000"/>
          <w:sz w:val="20"/>
          <w:lang w:val="en-US" w:eastAsia="en-US" w:bidi="ar-SA"/>
        </w:rPr>
        <w:t>Ezra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Marren</w:t>
      </w:r>
      <w:r>
        <w:rPr>
          <w:rFonts w:ascii="arial" w:eastAsia="arial" w:hAnsi="arial" w:cs="arial"/>
          <w:color w:val="000000"/>
          <w:sz w:val="20"/>
          <w:lang w:val="en-US" w:eastAsia="en-US" w:bidi="ar-SA"/>
        </w:rPr>
        <w:t xml:space="preserve"> are indistinguishable from those currently before me or that these two cases necessarily determine the result in this case. Just as </w:t>
      </w:r>
      <w:r>
        <w:rPr>
          <w:rFonts w:ascii="arial" w:eastAsia="arial" w:hAnsi="arial" w:cs="arial"/>
          <w:i/>
          <w:color w:val="000000"/>
          <w:sz w:val="20"/>
          <w:lang w:val="en-US" w:eastAsia="en-US" w:bidi="ar-SA"/>
        </w:rPr>
        <w:t>Ezra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Marren</w:t>
      </w:r>
      <w:r>
        <w:rPr>
          <w:rFonts w:ascii="arial" w:eastAsia="arial" w:hAnsi="arial" w:cs="arial"/>
          <w:color w:val="000000"/>
          <w:sz w:val="20"/>
          <w:lang w:val="en-US" w:eastAsia="en-US" w:bidi="ar-SA"/>
        </w:rPr>
        <w:t xml:space="preserve"> were decided on the specific circumstances before the Court in those cases, so too must I exercise my discretion in light of the particular circumstances before me in the instant case; indeed, each of the cases of </w:t>
      </w:r>
      <w:r>
        <w:rPr>
          <w:rFonts w:ascii="arial" w:eastAsia="arial" w:hAnsi="arial" w:cs="arial"/>
          <w:i/>
          <w:color w:val="000000"/>
          <w:sz w:val="20"/>
          <w:lang w:val="en-US" w:eastAsia="en-US" w:bidi="ar-SA"/>
        </w:rPr>
        <w:t>Ezra, Marren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Douez BCSC</w:t>
      </w:r>
      <w:r>
        <w:rPr>
          <w:rFonts w:ascii="arial" w:eastAsia="arial" w:hAnsi="arial" w:cs="arial"/>
          <w:color w:val="000000"/>
          <w:sz w:val="20"/>
          <w:lang w:val="en-US" w:eastAsia="en-US" w:bidi="ar-SA"/>
        </w:rPr>
        <w:t xml:space="preserve"> may be distinguished from the case presently before me both on the facts and on the legal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Moreover, in exercising my discretion I have specifically considered the factors which have informed sequencing motions in previous cases and have concluded they favour hearing the certification application as well as the application based on the forum selection clause concurrently. I address each of the factors leading to this conclusion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Will the application dispose of the entire proceeding or will it substantially narrow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 am mindful of the possibility that the forum selection clause may dispose of the Action. However, the class action proceeding in Ontario remains viable in its broadest form; Yahoo's submissions, in this application at least, rely on the continued existence of the Ontario proceeding in a form broad enough to address each of the causes of action advanced by Mr. Gill under both the common law and provincial legislation such as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SGA</w:t>
      </w:r>
      <w:r>
        <w:rPr>
          <w:rFonts w:ascii="arial" w:eastAsia="arial" w:hAnsi="arial" w:cs="arial"/>
          <w:color w:val="000000"/>
          <w:sz w:val="20"/>
          <w:lang w:val="en-US" w:eastAsia="en-US" w:bidi="ar-SA"/>
        </w:rPr>
        <w:t>. Counsel for Yahoo asserts that any statutory cause of action based on legislation specific to British Columbia could be advanced in the Ontario class proceeding. Accordingly, this stay application may be distinguished from applications that substantially narrow the issues to be determined as, for example, where the application seeks to strike a cause of action or remove one or more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Counsel for Mr. Gill asserts that Yahoo's argument in relation to this factor is, essentially, that their forum selection argument is so strong that it is efficient to hear it first, as it is likely to succeed. In this regard, they rely on the following reasons of Griffin J. in </w:t>
      </w:r>
      <w:r>
        <w:rPr>
          <w:rFonts w:ascii="arial" w:eastAsia="arial" w:hAnsi="arial" w:cs="arial"/>
          <w:i/>
          <w:color w:val="000000"/>
          <w:sz w:val="20"/>
          <w:lang w:val="en-US" w:eastAsia="en-US" w:bidi="ar-SA"/>
        </w:rPr>
        <w:t>Douez BCSC: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It is clear to me that Facebook's argument really is that the jurisdiction argument [based on the forum selection clause] will be so strong that it is efficient to hear it first because Facebook is going to succeed in that argument. This is rather circular reasoning.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The telling point comes from the answer provided by Facebook's counsel when I asked him what would happen if Facebook lost the jurisdiction application. Was Facebook agreeing that it would not appeal and it would not seek to stay the hearing of the certification application? The answer by Facebook's counsel was a predictable "no".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Likewise, if the plaintiff loses the jurisdiction application, she is likely to appeal.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This means that no matter what the outcome of the jurisdiction application, there will indeed likely be litigation in installments if it is heard first. There will likely be a jurisdiction application, then a stay application, then appeals of each, all before getting to the certification hearing. Indeed, history has shown that some parties will choose to seek leave to appeal on preliminary applications, such as this sequencing application, as in </w:t>
      </w:r>
      <w:r>
        <w:rPr>
          <w:rFonts w:ascii="arial" w:eastAsia="arial" w:hAnsi="arial" w:cs="arial"/>
          <w:i/>
          <w:color w:val="000000"/>
          <w:sz w:val="20"/>
          <w:lang w:val="en-US" w:eastAsia="en-US" w:bidi="ar-SA"/>
        </w:rPr>
        <w:t>Lieberman</w:t>
      </w:r>
      <w:r>
        <w:rPr>
          <w:rFonts w:ascii="arial" w:eastAsia="arial" w:hAnsi="arial" w:cs="arial"/>
          <w:color w:val="000000"/>
          <w:sz w:val="20"/>
          <w:lang w:val="en-US" w:eastAsia="en-US" w:bidi="ar-SA"/>
        </w:rPr>
        <w:t xml:space="preserve"> and as noted in </w:t>
      </w:r>
      <w:r>
        <w:rPr>
          <w:rFonts w:ascii="arial" w:eastAsia="arial" w:hAnsi="arial" w:cs="arial"/>
          <w:i/>
          <w:color w:val="000000"/>
          <w:sz w:val="20"/>
          <w:lang w:val="en-US" w:eastAsia="en-US" w:bidi="ar-SA"/>
        </w:rPr>
        <w:t>Watson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Madam Justice Griffin's reasoning in this regard is instructive in this case. Counsel for Mr. Gill argues that hearing the stay application based on the forum selection clause prior to the certification hearing will indeed result in "litigation by installments." Counsel for Yahoo states, however, that should this court hear its stay application first and should Yahoo lose this application, Yahoo will defer the hearing of the appeal of that decision until it can be heard together with an appeal, if any, on the certification application. (This commitment to defer the hearing of the appeal is subject to the qualification that Yahoo would not be precluded from advancing an appeal of its stay to the extent needed to avoid being placed on the inactive list, or having their appeal be dismissed as abandoned pursuant to s. 25 of the </w:t>
      </w:r>
      <w:r>
        <w:rPr>
          <w:rFonts w:ascii="arial" w:eastAsia="arial" w:hAnsi="arial" w:cs="arial"/>
          <w:i/>
          <w:color w:val="000000"/>
          <w:sz w:val="20"/>
          <w:lang w:val="en-US" w:eastAsia="en-US" w:bidi="ar-SA"/>
        </w:rPr>
        <w:t>Court of Appeal Act</w:t>
      </w:r>
      <w:r>
        <w:rPr>
          <w:rFonts w:ascii="arial" w:eastAsia="arial" w:hAnsi="arial" w:cs="arial"/>
          <w:color w:val="000000"/>
          <w:sz w:val="20"/>
          <w:lang w:val="en-US" w:eastAsia="en-US" w:bidi="ar-SA"/>
        </w:rPr>
        <w:t>, R.S.B.C, c. 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Counsel for Mr. Gill submits in response that this approach fails to take into account that if Mr. Gill loses the forum selection application, he will proceed with his own stay application and appeal. In this scenario, the certification application would in any event be delayed. Considering these various outcomes, I am not persuaded that hearing the forum selection application first will promote the interests of judicial efficiency or economy as claimed by Yahoo.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What is the likelihood of delays and increased costs associated with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Mr. Justice Davies observes in </w:t>
      </w:r>
      <w:r>
        <w:rPr>
          <w:rFonts w:ascii="arial" w:eastAsia="arial" w:hAnsi="arial" w:cs="arial"/>
          <w:i/>
          <w:color w:val="000000"/>
          <w:sz w:val="20"/>
          <w:lang w:val="en-US" w:eastAsia="en-US" w:bidi="ar-SA"/>
        </w:rPr>
        <w:t>Lieberman</w:t>
      </w:r>
      <w:r>
        <w:rPr>
          <w:rFonts w:ascii="arial" w:eastAsia="arial" w:hAnsi="arial" w:cs="arial"/>
          <w:color w:val="000000"/>
          <w:sz w:val="20"/>
          <w:lang w:val="en-US" w:eastAsia="en-US" w:bidi="ar-SA"/>
        </w:rPr>
        <w:t>, at para. 19, that the cost to the parties of participating in a pre-certification application would only be less if the defendant's application is successful. The opposite would be the case if the application is unsuccessful. Further, Davies J. reasons as follows in this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 in my view, the potential for cost savings should not be considered an overriding factor in this case. Further, the defendant's submission is not that the plaintiffs do not have a cause of action. Steps taken in these proceeding by the defendant to join issue with the causes of action alleged by the plaintiffs including the identification of any available defences through the exchange of pleadings should continue to be of utility in Quebec if it is ultimately determined that Quebec is a more appropriate forum than British Columbia for the resolution of these disputes.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same reasoning holds true in the instant case. Steps taken in this proceeding by Yahoo to join issue with the causes of action alleged by Mr. Gill, including the identification of any available defences through the exchange of pleadings, should continue to be of utility in Ontario if it is ultimately determined that Ontario is a more appropriate forum than British Columbia for the resolution of this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Will the outcome of the application promote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Neither party argued that the outcome of the stay would promote settlement. In any event, the subject matter of this Action will be litigated in either Ontario or British Columbia.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Will the outcome of the motion give rise to interlocutory appeals and delays that will affect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have already addressed this factor. Whether successful or not, hearing the stay application first could very well lead to appeals and delays that will affect the timely adjudication of this Action.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 Are the interests of economy and judicial efficiency</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served by proceeding with the stay application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 have dealt with this issue to some degree within the context of considering whether the application might dispose of the entirety of the proceeding, or narrow the issues. However, counsel for Yahoo also raises an additional consideration. He points out that numerous authorities have commented on the burgeoning costs and complexity of class action litigation and, in particular, how it has become common practice for a single incident to spawn class actions in many provinces which involve the same facts and allegations. Counsel rightly raises the propriety of costly and inefficient use of court resources in such cases. Class action proceedings are intended not only to promote and improve access to justice but to also make more efficient use of scarce judicial resources: see </w:t>
      </w:r>
      <w:r>
        <w:rPr>
          <w:rFonts w:ascii="arial" w:eastAsia="arial" w:hAnsi="arial" w:cs="arial"/>
          <w:i/>
          <w:color w:val="000000"/>
          <w:sz w:val="20"/>
          <w:lang w:val="en-US" w:eastAsia="en-US" w:bidi="ar-SA"/>
        </w:rPr>
        <w:t>Seidel v. Telus Communications Inc.</w:t>
      </w:r>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2011 SCC 15</w:t>
        </w:r>
      </w:hyperlink>
      <w:r>
        <w:rPr>
          <w:rFonts w:ascii="arial" w:eastAsia="arial" w:hAnsi="arial" w:cs="arial"/>
          <w:color w:val="000000"/>
          <w:sz w:val="20"/>
          <w:lang w:val="en-US" w:eastAsia="en-US" w:bidi="ar-SA"/>
        </w:rPr>
        <w:t>, at para.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McKay v. Air Canada</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2016 BCSC 1671</w:t>
        </w:r>
      </w:hyperlink>
      <w:r>
        <w:rPr>
          <w:rFonts w:ascii="arial" w:eastAsia="arial" w:hAnsi="arial" w:cs="arial"/>
          <w:color w:val="000000"/>
          <w:sz w:val="20"/>
          <w:lang w:val="en-US" w:eastAsia="en-US" w:bidi="ar-SA"/>
        </w:rPr>
        <w:t>, Chief Justice Hinkson marks the importance of promoting the more efficient use of court resources in class action proceedings by deferring, in appropriate circumstances, to courts in other jurisdictions. He reasons,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I pause to comment on the utility of the existence of the three actions, when in reality, they simply duplicate each other, occupy the time of three courts, and create the expense to the parties of litigating in three different provinces.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There are numerous examples of courts in one or more provinces effectively deferring to class proceedings in other provinces: </w:t>
      </w:r>
      <w:r>
        <w:rPr>
          <w:rFonts w:ascii="arial" w:eastAsia="arial" w:hAnsi="arial" w:cs="arial"/>
          <w:i/>
          <w:color w:val="000000"/>
          <w:sz w:val="20"/>
          <w:lang w:val="en-US" w:eastAsia="en-US" w:bidi="ar-SA"/>
        </w:rPr>
        <w:t>Englund v. Pfizer Canada Inc.</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2007 SKCA 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Meeking v. Cash Store Inc. et al.</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2013 MBCA 81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Drover v. BCE Inc.</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2013 BCSC 1341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Ammazzini v. Anglo American PLC</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2016 SKQB 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Sauer v. Canada (Attorney General)</w:t>
      </w:r>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2010 ONSC 4399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Such deference is, in appropriate circumstances, to be encouraged, as it will arguably simplify the process, reduce the expense of the litigation, avoid the inevitable delays and inefficiencies occasioned by parallel proceedings and permit more efficient use of scarce judicial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Counsel for Yahoo submits that a stay of this Action in this province and a deferral to the Ontario proceeding would, in the words of Hinkson C.J., simplify the process, reduce the expense of litigation, avoid the inevitable delays and inefficiencies occasioned by parallel proceedings, and permit more efficient use of scarce judicial resources. Counsel further submits that this approach will cause no delay to the certification application because no materials for that application have been filed and no pre-application schedule has yet been established. He argues that there will be further costs savings by hearing the pre-certification motion first because, if Yahoo is successful, the pre-certification steps proposed by Mr. Gill, such as pre-certification discovery, will not need to be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While counsel's submissions in this regard are well taken, they are, however, premised on the assumption, as previously addressed, that Yahoo's application will or should succeed. Further, deference to other jurisdictions in class action proceedings must be informed by the particular factual matrix before the court, "in appropriate circumstances", as the reasons of Hinkson C.J. expressly provide. This consideration is to be assessed in weighing the merits of enforcing the forum selection clause at the time Yahoo's application is actually heard, but is not dispositive at this juncture.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 acknowledge counsel's submission that some cases have suggested that the strength of a pre-certification hearing, such as that proposed here, may be a relevant factor in sequencing decisions. While I agree with counsel that the enforceability of Yahoo's forum selection clause is not a frivolous issue, its enforceability remains an open question to be determined, particularly in light of the Supreme Court's reasons in </w:t>
      </w:r>
      <w:r>
        <w:rPr>
          <w:rFonts w:ascii="arial" w:eastAsia="arial" w:hAnsi="arial" w:cs="arial"/>
          <w:i/>
          <w:color w:val="000000"/>
          <w:sz w:val="20"/>
          <w:lang w:val="en-US" w:eastAsia="en-US" w:bidi="ar-SA"/>
        </w:rPr>
        <w:t>Douez SCC</w:t>
      </w:r>
      <w:r>
        <w:rPr>
          <w:rFonts w:ascii="arial" w:eastAsia="arial" w:hAnsi="arial" w:cs="arial"/>
          <w:color w:val="000000"/>
          <w:sz w:val="20"/>
          <w:lang w:val="en-US" w:eastAsia="en-US" w:bidi="ar-SA"/>
        </w:rPr>
        <w:t xml:space="preserve"> relating to the distinction between the consumer and commercial contexts in assessing the enforceability of such contractual clauses. In this case, the strength of the clause's enforceability does not militate for or against hearing the stay application first.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 Generally, will scheduling the application in advance of certification promote the fair and efficient determination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addition to the arguments set out above, Yahoo also asserts that the evidentiary and legal simplicity of the issues underpinning its stay application favours proceeding with its application before the certification application. Specifically, counsel submits that the evidentiary and legal issues in the stay application are straightforward and do not overlap with those in the certification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Consistent with the legal test set out in </w:t>
      </w:r>
      <w:r>
        <w:rPr>
          <w:rFonts w:ascii="arial" w:eastAsia="arial" w:hAnsi="arial" w:cs="arial"/>
          <w:i/>
          <w:color w:val="000000"/>
          <w:sz w:val="20"/>
          <w:lang w:val="en-US" w:eastAsia="en-US" w:bidi="ar-SA"/>
        </w:rPr>
        <w:t>Z.I. Pompey Industrie v. ECU-Line N.V.</w:t>
      </w:r>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2003 SCC 27</w:t>
        </w:r>
      </w:hyperlink>
      <w:r>
        <w:rPr>
          <w:rFonts w:ascii="arial" w:eastAsia="arial" w:hAnsi="arial" w:cs="arial"/>
          <w:color w:val="000000"/>
          <w:sz w:val="20"/>
          <w:lang w:val="en-US" w:eastAsia="en-US" w:bidi="ar-SA"/>
        </w:rPr>
        <w:t>, Yahoo argues that the Court will simply need to consider whether the forum selection clause is clear, valid and enforceable and, if so, whether the plaintiff can establish a strong cause why it should not be enforced. Further, Yahoo argues that, in engaging this analysis, the court will not need to resolve contested points of evidence. Counsel submits Yahoo's evidence is limited primarily to two non-controversial facts: (1) Mr. Gill's agreement to the forum selection clause; and (2) the parallel class action being brought in Ontario. Further, counsel argues that the legal issues in the stay application will not overlap materially with those to be considered on certification. Counsel submits that the primary legal issue at the stay motion will be whether Mr. Gill can establish strong cause that a forum selection clause in favour of a sister province should not be enforced; if decided beforehand, then this issue will not arise at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Counsel for Mr. Gill submits that the legal and evidentiary issues in this case are not clear or straightforward as asserted by Yahoo. He further argues: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is an overlap between it [the forum selection clause issue] and the preferable procedure test for certification under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from a policy perspective. For example, one argument may be informed by evidence and argument relating to the other as to the overlap between the forum selection clause,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As such, justice would be better served if the jurisdiction application was heard at the same time as to the certification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Counsel for Mr. Gill also submits that the parallel proposed class proceedings in both Ontario and Quebec have yet to be certified. The Ontario Court has yet to rule on any assumed jurisdiction for a national class. As such, argues counsel, the Ontario Court has yet to satisfy itself there is adequate representation of non-resident interests, adequate notice, the right to opt out and the ability of non-residents to participate in settlement negotiations in Ontario. Counsel asserts that Yahoo has not addressed these issues in its application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Counsel for Mr. Gill also argues that Yahoo has failed to address the complexities of multiple overlapping class proceedings which raise constitutional issues, issues of choice of law, applicable limitation periods, substantive defences and the ability of a provincial court to bind class members resident in another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affidavit material and legal arguments before me, given the early stage of this proceeding, are understandably limited in scope and content. Accordingly, I am not able to conclude that the evidentiary and legal issues are straightforward and do not overlap with the certification motion. In exercising my discretion on sequencing, this is not a factor of assistance to the Court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urging the Court to hear the stay application before the certification motion, Yahoo asserts that a relevant consideration in exercising my discretion on sequencing is that it is ready to proceed with the stay application now, while the plaintiff is not prepared to proceed with the certification application. Counsel for Yahoo points to Mr. Gill's intention to undertake a number of pre-certification steps including amending his pleadings and seeking pre-certification examinations for discovery. He further underscores that no certification application has been brought and argues that the fact that Mr. Gill is not ready to proceed with certification is an important factor in exercising my discretion to proceed with the stay application first: see </w:t>
      </w:r>
      <w:r>
        <w:rPr>
          <w:rFonts w:ascii="arial" w:eastAsia="arial" w:hAnsi="arial" w:cs="arial"/>
          <w:i/>
          <w:color w:val="000000"/>
          <w:sz w:val="20"/>
          <w:lang w:val="en-US" w:eastAsia="en-US" w:bidi="ar-SA"/>
        </w:rPr>
        <w:t>Strohmaier v. British Columbia (Attorney General)</w:t>
      </w:r>
      <w:r>
        <w:rPr>
          <w:rFonts w:ascii="arial" w:eastAsia="arial" w:hAnsi="arial" w:cs="arial"/>
          <w:color w:val="000000"/>
          <w:sz w:val="20"/>
          <w:lang w:val="en-US" w:eastAsia="en-US" w:bidi="ar-SA"/>
        </w:rPr>
        <w:t xml:space="preserve">, </w:t>
      </w:r>
      <w:hyperlink r:id="rId636" w:history="1">
        <w:r>
          <w:rPr>
            <w:rFonts w:ascii="arial" w:eastAsia="arial" w:hAnsi="arial" w:cs="arial"/>
            <w:i/>
            <w:color w:val="0077CC"/>
            <w:sz w:val="20"/>
            <w:u w:val="single"/>
            <w:shd w:val="clear" w:color="auto" w:fill="FFFFFF"/>
            <w:lang w:val="en-US" w:eastAsia="en-US" w:bidi="ar-SA"/>
          </w:rPr>
          <w:t>2014 BCSC 2078</w:t>
        </w:r>
      </w:hyperlink>
      <w:r>
        <w:rPr>
          <w:rFonts w:ascii="arial" w:eastAsia="arial" w:hAnsi="arial" w:cs="arial"/>
          <w:color w:val="000000"/>
          <w:sz w:val="20"/>
          <w:lang w:val="en-US" w:eastAsia="en-US" w:bidi="ar-SA"/>
        </w:rPr>
        <w:t xml:space="preserve"> at paras. 23 and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response, counsel for Mr. Gill advises that he does not intend to proceed with pre-certification discoveries, that the pleadings can be readily and quickly amended and that he would be prepared to proceed with the certification application in a timely fashion. He also asserts that there was no delay in bringing the certification application as the parties agreed to wait for the Supreme Court of Canada's decision in </w:t>
      </w:r>
      <w:r>
        <w:rPr>
          <w:rFonts w:ascii="arial" w:eastAsia="arial" w:hAnsi="arial" w:cs="arial"/>
          <w:i/>
          <w:color w:val="000000"/>
          <w:sz w:val="20"/>
          <w:lang w:val="en-US" w:eastAsia="en-US" w:bidi="ar-SA"/>
        </w:rPr>
        <w:t>Douez SCC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Given that the parties indeed agreed to hold the conduct of this Action in abeyance until the Supreme Court of Canada rendered its decision in </w:t>
      </w:r>
      <w:r>
        <w:rPr>
          <w:rFonts w:ascii="arial" w:eastAsia="arial" w:hAnsi="arial" w:cs="arial"/>
          <w:i/>
          <w:color w:val="000000"/>
          <w:sz w:val="20"/>
          <w:lang w:val="en-US" w:eastAsia="en-US" w:bidi="ar-SA"/>
        </w:rPr>
        <w:t>Douez SCC</w:t>
      </w:r>
      <w:r>
        <w:rPr>
          <w:rFonts w:ascii="arial" w:eastAsia="arial" w:hAnsi="arial" w:cs="arial"/>
          <w:color w:val="000000"/>
          <w:sz w:val="20"/>
          <w:lang w:val="en-US" w:eastAsia="en-US" w:bidi="ar-SA"/>
        </w:rPr>
        <w:t>, and since counsel has committed to amend Mr. Gill's pleadings and proceed to a certification hearing in a timely fashion, no purpose will be served in proceeding with the stay application first on the basis of past delay or the need to amend Mr. Gill's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IV. </w:t>
      </w:r>
      <w:r>
        <w:rPr>
          <w:rFonts w:ascii="arial" w:eastAsia="arial" w:hAnsi="arial" w:cs="arial"/>
          <w:b/>
          <w:color w:val="000000"/>
          <w:sz w:val="20"/>
          <w:u w:val="single"/>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stay application and the certification application will be heard together. The dates reserved for the stay application are adjourned on the understanding that the parties are to find other suitable dates, as soon as their schedules and that of the court permits, for the hearing of both applications concurrently.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Counsel for Mr. Gill is to attend to amending the plaintiff's pleadings in a timely fashion, as represented to the Court at the hearing of this matter, before the hearing of the pending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Subject to further submissions from the parties, the hearing shall proceed as follows: counsel for Mr. Gill will commence with the certification application; counsel for Yahoo will follow with his stay application based on the forum selection clause and also with his response to the certification application; and counsel for Mr. Gill will respond. Counsel for Yahoo will also have the opportunity to reply to Mr. Gill's response to Yahoo's stay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Court is available for a further case management conference if required to address these matters further prior to the hearing of these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 MORELLATO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7" style="position:absolute;z-index:251889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Haider v. Canada, [2007] B.C.J. No. 1154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Allan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22,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30,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SO55012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1154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755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159 A.C.W.S. (3d) 58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Hilton Haider, Lillian Haider, Blake Macleod, Kerry Macleod, Noah Macleod by his Guardian Ad Litem Kerry Macleod, Liam Macleod by his Guardian Ad Litem Kerry Macleod, Tim Chad, Kathleen Chad, Madison Chad by her Guardian Ad Litem Kathleen Chad, Mary Chad by her Guardian Ad Litem Kathleen Chad, Plaintiffs, and Her Majesty the Queen in Right of Canada, British Columbia Building Corporation, Lennox Industries (Canada) Ltd. - Les Industries Lennox (Canada) Ltee., Lennox Industries Inc., and Bryant Heating &amp; Cooling Co. Ltd., Defendants, and Coast Air Conditioning Ltd., Mountain Air Industries Ltd. and Toni Morris doing business as Easy Breeze Duct Cleaning,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8"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9" w:name="Keywords_32"/>
      <w:bookmarkEnd w:id="219"/>
      <w:r>
        <w:rPr>
          <w:rFonts w:ascii="arial" w:eastAsia="arial" w:hAnsi="arial" w:cs="arial"/>
          <w:b/>
          <w:color w:val="000000"/>
          <w:sz w:val="20"/>
          <w:lang w:val="en-US" w:eastAsia="en-US" w:bidi="ar-SA"/>
        </w:rPr>
        <w:t>Civil procedure — Parties — Adding or substituting — After expiry of limitation period — The plaintiffs were permitted to add the true manufacturer of the goods as defendant in this product liability action — They had not acted unreasonably in being mistaken as to the identity of the true manufacturer, the delay was short, and the defendant failed to establish prejudice.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Suppliers of goods — Product liability — Manufacturers — The plaintiffs were permitted to add the true manufacturer of the goods as defendant in this product liability action — They had not acted unreasonably in being mistaken as to the identity of the true manufacturer, the delay was short, and the defendant failed to establish prejudice.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0" w:name="Case Summary_29"/>
            <w:bookmarkEnd w:id="22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appealed a Master's order dismissing their application to substitute Carrier Corporation as a defendant in place of Bryant Heating and Cooling Co. Ltd. -- The action against Bryant was dismissed, and the only issue was whether to add Carrier as a defendant -- The plaintiffs were former RCMP officers and their families, who claimed damages for chronic low-level carbon monoxide poisoning allegedly suffered as a result of faulty residential heating systems -- Carrier conceded that it had manufactured the furnace that matched the work order in question and that it bore the Bryant trade-mark -- HELD: The appeal was allowed -- The delay was short, and Carrier had failed to establish that it would suffer prejudice if added as a defendant -- The plaintiff's conduct in mistakenly believing the manufacturer of the furnace to be Bryant was not unreasonable -- The destruction of the furnace within days of the cause of the action arising could was not attributable to the plaintiffs.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1" w:name="Legislation Cited_26"/>
      <w:bookmarkEnd w:id="22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9"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15(5)(a)(iii)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 266, s. 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2" w:name="Counsel_32"/>
      <w:bookmarkEnd w:id="22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0" style="position:absolute;z-index:251794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Robin McFee, Q.C., and Martin Buhler.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intended defendant, Carrier Corporation: Leon Beukman.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3" w:name="Judgment_32"/>
      <w:bookmarkEnd w:id="223"/>
      <w:r>
        <w:pict>
          <v:line id="_x0000_s1191" style="position:absolute;z-index:25184563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June 18, 2007. The corrections have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4" w:name="ALLAN J._0"/>
            <w:bookmarkEnd w:id="224"/>
            <w:r>
              <w:rPr>
                <w:rFonts w:ascii="arial" w:eastAsia="arial" w:hAnsi="arial" w:cs="arial"/>
                <w:b/>
                <w:color w:val="000000"/>
                <w:sz w:val="30"/>
                <w:lang w:val="en-US" w:eastAsia="en-US" w:bidi="ar-SA"/>
              </w:rPr>
              <w:t>ALLAN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appeal from an order of a Master dismissing the plaintiffs' application to substitute Carrier Corporation ("Carrier") as a defendant in place of Bryant Heating &amp; Cooling Co. Ltd. (the "Bryant Company") and subsidiary relief. The plaintiffs' action against the Bryant Company has been dismissed. Hence, the only issue is whether Carrier should be added as a defendant pursuant to Rule 15(5)(a)(iii).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Counsel agree that this appeal is to proceed as a rehearing of the application (</w:t>
      </w:r>
      <w:r>
        <w:rPr>
          <w:rFonts w:ascii="arial" w:eastAsia="arial" w:hAnsi="arial" w:cs="arial"/>
          <w:b/>
          <w:i/>
          <w:color w:val="000000"/>
          <w:sz w:val="20"/>
          <w:lang w:val="en-US" w:eastAsia="en-US" w:bidi="ar-SA"/>
        </w:rPr>
        <w:t>Abermin Corp. v. Granges Exploration Ltd.</w:t>
      </w:r>
      <w:r>
        <w:rPr>
          <w:rFonts w:ascii="arial" w:eastAsia="arial" w:hAnsi="arial" w:cs="arial"/>
          <w:color w:val="000000"/>
          <w:sz w:val="20"/>
          <w:lang w:val="en-US" w:eastAsia="en-US" w:bidi="ar-SA"/>
        </w:rPr>
        <w:t xml:space="preserve">, </w:t>
      </w:r>
      <w:hyperlink r:id="rId644" w:history="1">
        <w:r>
          <w:rPr>
            <w:rFonts w:ascii="arial" w:eastAsia="arial" w:hAnsi="arial" w:cs="arial"/>
            <w:i/>
            <w:color w:val="0077CC"/>
            <w:sz w:val="20"/>
            <w:u w:val="single"/>
            <w:shd w:val="clear" w:color="auto" w:fill="FFFFFF"/>
            <w:lang w:val="en-US" w:eastAsia="en-US" w:bidi="ar-SA"/>
          </w:rPr>
          <w:t>(1990) 45 B.C.L.R. (2d) 188</w:t>
        </w:r>
      </w:hyperlink>
      <w:r>
        <w:rPr>
          <w:rFonts w:ascii="arial" w:eastAsia="arial" w:hAnsi="arial" w:cs="arial"/>
          <w:color w:val="000000"/>
          <w:sz w:val="20"/>
          <w:lang w:val="en-US" w:eastAsia="en-US" w:bidi="ar-SA"/>
        </w:rPr>
        <w:t xml:space="preserve"> at 193 (S.C.)) and that I may substitute my discretion for that of the Master. Clearly, such discretion must be exercised judicially.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were, at the material time, RCMP officers and their families who lived in married quarters provided by the RCMP in Whistler, B.C. They claim for damages in respect of chronic low-level carbon monoxide poisoning they allege resulted from faulty residential heating systems between 2000 and 2003. The RCMP and, later, British Columbia Building Corporation ("BCBC") were responsible for the maintenance of the married quarters. In September 2003, an investigation by the RCMP found that four furnaces were "defecting and leaking". Three of the furnaces were Lennox Pulse furnaces. The fourth furnace, in the home of Staff Sgt. Hilton Haider and his wife, was described a number of times in an RCMP Report dated May 26, 2006 (the "RCMP Report") as "a Bryant furnace". That furnace was removed on September 24, 2003 - a couple of days after it was found to be problematic -- and destroyed very shortly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Haider plaintiffs consulted counsel, (who acted for them until 2006) who issued a writ and statement of claim on September 9, 2005. In preparing those pleadings and naming the manufacturer of the furnace as a defendant, counsel had access to the RCMP Report that referred to the furnace in the Haider home as a "Bryant furnace". The plaintiffs had no knowledge of the name of the manufacturer. Counsel conducted a corporate search that provided the name Bryant Heating and Cooling Co. Ltd., a company with a registered office in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writ and statement of claim were served on the Bryant Company on November 18, 2005. That defendant did not dispute that it was the manufacturer, it did not file a statement of defence, and it did not contact plaintiffs'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McFee's firm became counsel for the plaintiffs on July 31, 2006. On August 21, 2006, they were advised by Lennox's lawyers that the defendant "Lennox Industries Ltd." was not a corporate entity. The correct defendants were Lennox Industries (Canada) Ltd. and Lennox Industries Inc. An order was made in September amending the writ and statement of claim accordingly. Lennox's counsel also advised Mr. McFee that the Bryant Company was not a manufacturer of furnaces and it had no operations in B.C. It was in the business of servicing and maintaining furnaces in Ontario. Rather, the "Bryant furnace" was manufactured by Carrier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September 8, 2006, new counsel acting for the Lennox and Bryant defendants wrote to Mr. McFee indicating once more that "Bryant" was a HVAC service company acquired in about 1999 by Lennox Industries Inc. and that it had never manufactured any products or conducted business in B.C. Subsequent searches revealed that the Bryant trademark is registered in Canada to Carrier. The plaintiffs filed this application on November 2, 2006 and served it on Carrier in Connecticut on November 6,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After this litigation commenced, Mountain Air Industries Ltd., a third party, produced a work order indicating a service call to the Haider residence September 19, 2003 and related calls over the next few days. It described the furnace as "bryant 398AAZ048100-GAKA" and "SER 4090A08458". The Manager of Carrier's Residential Engineering Product Support has confirmed that "Bryant" is a trademark owned by Carrier and is an unincorporated division of Carrier, which has produced furnaces since at least the 1930's. He indicated that the description of the furnace represents a model of gas furnace manufactured by Carrier under the "Bryant" trademark and that the serial number indicates that the furnace was manufactured in the 40th week of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argument, Mr. Beukman, counsel for Carrier, noted that the RCMP report dates the installation of the affected Whistler furnaces within a time frame of 1982 to 1989, suggesting that the furnace alleged to be defective cannot have been installed before the second half of 1990. While this raises an interesting factual issue, it is not one that can or should be resolved on this hearing. For the purposes of whether Carrier should be added as a defendant, it is significant that Carrier concedes that it manufactured the furnace that matches the September 2003 work order and that it bore the Bryant trademark. Indeed, para. 3 of Carrier's Outline states: "Though it is not entirely clear from the documents, it appears that the furnace was manufactured and installed in the subject home in the late 1980's."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Rule 15(3)(a)(iii)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(5)(a) At any stage of a proceeding, the court on application by any person may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where there may exist, between the person and any party to the proceeding, a question or issue relating to or connected</w:t>
      </w:r>
    </w:p>
    <w:p>
      <w:pPr>
        <w:numPr>
          <w:numId w:val="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any relief claimed in the proceeding, or</w:t>
      </w:r>
    </w:p>
    <w:p>
      <w:pPr>
        <w:numPr>
          <w:numId w:val="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subject matter of the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which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have always sought to sue the manufacturer of the defective furnaces. It is not disputed that there is an issue between the plaintiffs and Carrier relating to the plaintiffs' allegation of a defective "Bryant furnace" and damages suffered by them as a result. The Rule requires that the plaintiffs need only show that "there may exist" such an issue; it is clear that their allegation is not frivolous.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real question is whether it is "just and convenient" to add Carrier as a defendant. The Master considered the relevant case law, including </w:t>
      </w:r>
      <w:r>
        <w:rPr>
          <w:rFonts w:ascii="arial" w:eastAsia="arial" w:hAnsi="arial" w:cs="arial"/>
          <w:b/>
          <w:i/>
          <w:color w:val="000000"/>
          <w:sz w:val="20"/>
          <w:lang w:val="en-US" w:eastAsia="en-US" w:bidi="ar-SA"/>
        </w:rPr>
        <w:t>Teal Cedar Products (1977) Ltd. v. Dale Intermediaries Ltd.</w:t>
      </w:r>
      <w:r>
        <w:rPr>
          <w:rFonts w:ascii="arial" w:eastAsia="arial" w:hAnsi="arial" w:cs="arial"/>
          <w:color w:val="000000"/>
          <w:sz w:val="20"/>
          <w:lang w:val="en-US" w:eastAsia="en-US" w:bidi="ar-SA"/>
        </w:rPr>
        <w:t xml:space="preserve"> </w:t>
      </w:r>
      <w:hyperlink r:id="rId645"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Letvad v. Finley</w:t>
      </w:r>
      <w:r>
        <w:rPr>
          <w:rFonts w:ascii="arial" w:eastAsia="arial" w:hAnsi="arial" w:cs="arial"/>
          <w:color w:val="000000"/>
          <w:sz w:val="20"/>
          <w:lang w:val="en-US" w:eastAsia="en-US" w:bidi="ar-SA"/>
        </w:rPr>
        <w:t xml:space="preserve"> </w:t>
      </w:r>
      <w:hyperlink r:id="rId646" w:history="1">
        <w:r>
          <w:rPr>
            <w:rFonts w:ascii="arial" w:eastAsia="arial" w:hAnsi="arial" w:cs="arial"/>
            <w:i/>
            <w:color w:val="0077CC"/>
            <w:sz w:val="20"/>
            <w:u w:val="single"/>
            <w:shd w:val="clear" w:color="auto" w:fill="FFFFFF"/>
            <w:lang w:val="en-US" w:eastAsia="en-US" w:bidi="ar-SA"/>
          </w:rPr>
          <w:t>(2000), 82 B.C.L.R. (3d) 296</w:t>
        </w:r>
      </w:hyperlink>
      <w:r>
        <w:rPr>
          <w:rFonts w:ascii="arial" w:eastAsia="arial" w:hAnsi="arial" w:cs="arial"/>
          <w:color w:val="000000"/>
          <w:sz w:val="20"/>
          <w:lang w:val="en-US" w:eastAsia="en-US" w:bidi="ar-SA"/>
        </w:rPr>
        <w:t xml:space="preserve"> (C.A.); and </w:t>
      </w:r>
      <w:r>
        <w:rPr>
          <w:rFonts w:ascii="arial" w:eastAsia="arial" w:hAnsi="arial" w:cs="arial"/>
          <w:b/>
          <w:i/>
          <w:color w:val="000000"/>
          <w:sz w:val="20"/>
          <w:lang w:val="en-US" w:eastAsia="en-US" w:bidi="ar-SA"/>
        </w:rPr>
        <w:t>Weinlich v. Campbell</w:t>
      </w:r>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[2005] B.C.J. No. 3025</w:t>
        </w:r>
      </w:hyperlink>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2005 BCSC 1865</w:t>
        </w:r>
      </w:hyperlink>
      <w:r>
        <w:rPr>
          <w:rFonts w:ascii="arial" w:eastAsia="arial" w:hAnsi="arial" w:cs="arial"/>
          <w:color w:val="000000"/>
          <w:sz w:val="20"/>
          <w:lang w:val="en-US" w:eastAsia="en-US" w:bidi="ar-SA"/>
        </w:rPr>
        <w:t xml:space="preserve"> (S.C.) and concluded that it was not. He found the fact that the limitation period had expired to be extremely prejudicial to the intended defendant. He also considered the fact that the furnace was found to be defective and leaking in 2003 insufficient to meet the evidentiary burden on the plaintiff. In his opinion, there should have been some further evidence to link the leak in 2003 to some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Carrier. Such a link was only speculative. Further, he concluded that the explanation by the plaintiffs' previous counsel did not provide sufficient evidence about the delay so as to fulfill the burden on the plaintiffs to justify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governs the situation where a party seeks to add a defendant after the expiry of the relevant limitation period. It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If an action to which this or any other Act applies has been commenced, the lapse of time limited for bringing an action is no bar to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adding or substituting a new party as plaintiff or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any applicable law, with respect to any claims relating to or connected with the subject matter of the original action.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 does not operate so as to enable one person to make a claim against another person if a claim by that other person</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against the first mentioned person,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relating to or connected with the subject matter of the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or will be defeated by pleading a provision of this Act as a defence by the first mentioned person.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 does not operate so as to interfere with any judicial discretion to refuse relief on grounds unrelated to the lapse of time limited for bringing an action.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action the court may allow the amendment of a pleading, on terms as to costs or otherwise that the court considers just, even if between the issue of the writ and the application for amendment a fresh cause of action disclosed by the amendment would have become barred by the lapse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Alternatively, the plaintiffs now seek to argue that the relevant limitation period is not two years; rather, s. 6.3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applies because the plaintiffs did not know the identity of the manufacturer until August 2006. Mr. Beukman objects to the plaintiffs raising this argument on appeal. He says that, not only was this argument not raised before the Master, the plaintiffs' position there - that the applicable period was two years - constituted admissions from which they cannot now resile. In any event, Carrier says, if the plaintiffs' claim against it is not statute-barred, then they could simply commence a fresh action and seek to have it joined subsequently with this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While this appeal is a hearing </w:t>
      </w:r>
      <w:r>
        <w:rPr>
          <w:rFonts w:ascii="arial" w:eastAsia="arial" w:hAnsi="arial" w:cs="arial"/>
          <w:i/>
          <w:color w:val="000000"/>
          <w:sz w:val="20"/>
          <w:lang w:val="en-US" w:eastAsia="en-US" w:bidi="ar-SA"/>
        </w:rPr>
        <w:t>de novo</w:t>
      </w:r>
      <w:r>
        <w:rPr>
          <w:rFonts w:ascii="arial" w:eastAsia="arial" w:hAnsi="arial" w:cs="arial"/>
          <w:color w:val="000000"/>
          <w:sz w:val="20"/>
          <w:lang w:val="en-US" w:eastAsia="en-US" w:bidi="ar-SA"/>
        </w:rPr>
        <w:t>, I do not propose to consider the fresh issue raised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guidelines to be considered by the court on an application to add a defendant to an action are not in dispute:</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delay;</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reasons for the delay;</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explanation put forward to account for the delay;</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of prejudice caused by the delay; and</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connection, if any, between the existing claims and the proposed new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Teal</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Letvad.</w:t>
      </w:r>
      <w:r>
        <w:rPr>
          <w:rFonts w:ascii="arial" w:eastAsia="arial" w:hAnsi="arial" w:cs="arial"/>
          <w:color w:val="000000"/>
          <w:sz w:val="20"/>
          <w:lang w:val="en-US" w:eastAsia="en-US" w:bidi="ar-SA"/>
        </w:rPr>
        <w:t xml:space="preserve"> No factor should be looked at in isolation and none should be given overriding importance.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relationship between the existing and proposed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Here, the plaintiffs clearly have a cause of action against the manufacturer of the furnace in question. It is related to the claims of the other plaintiffs against the RCMP and BCBC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delay in this case is short. In </w:t>
      </w:r>
      <w:r>
        <w:rPr>
          <w:rFonts w:ascii="arial" w:eastAsia="arial" w:hAnsi="arial" w:cs="arial"/>
          <w:b/>
          <w:i/>
          <w:color w:val="000000"/>
          <w:sz w:val="20"/>
          <w:lang w:val="en-US" w:eastAsia="en-US" w:bidi="ar-SA"/>
        </w:rPr>
        <w:t>McIntosh v. Nillson Bros. Inc.</w:t>
      </w:r>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[2005] B.C.J. No. 1203</w:t>
        </w:r>
      </w:hyperlink>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2005 BCCA 297</w:t>
        </w:r>
      </w:hyperlink>
      <w:r>
        <w:rPr>
          <w:rFonts w:ascii="arial" w:eastAsia="arial" w:hAnsi="arial" w:cs="arial"/>
          <w:color w:val="000000"/>
          <w:sz w:val="20"/>
          <w:lang w:val="en-US" w:eastAsia="en-US" w:bidi="ar-SA"/>
        </w:rPr>
        <w:t>, at paras. 7-8, the Court of Appeal confirmed that no explanation is required by the plaintiff regarding delay within the period available in a normal situation: i.e. the limitation period plus one year for service of the writ. Assuming that the two-year limitation period ran from the date of inspection of the furnace in the Haider home, it would have expired on September 22, 2006 and the time for service, a year after that. This application was brought on November 2, 2006 and served on Carrier 4 days later. Hence the delay requiring explanation was less than two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As Madam Justice Martinson noted in </w:t>
      </w:r>
      <w:r>
        <w:rPr>
          <w:rFonts w:ascii="arial" w:eastAsia="arial" w:hAnsi="arial" w:cs="arial"/>
          <w:b/>
          <w:i/>
          <w:color w:val="000000"/>
          <w:sz w:val="20"/>
          <w:lang w:val="en-US" w:eastAsia="en-US" w:bidi="ar-SA"/>
        </w:rPr>
        <w:t>Weinlich</w:t>
      </w:r>
      <w:r>
        <w:rPr>
          <w:rFonts w:ascii="arial" w:eastAsia="arial" w:hAnsi="arial" w:cs="arial"/>
          <w:color w:val="000000"/>
          <w:sz w:val="20"/>
          <w:lang w:val="en-US" w:eastAsia="en-US" w:bidi="ar-SA"/>
        </w:rPr>
        <w:t>, where an explanation is required, inadvertence on the part of a lawyer has been accepted as a reasonable explanation, as has an honest error in judgment. (para 51). This is not a case where a party or counsel made a conscious decision not to pursue a defendant within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would not characterize the actions of the plaintiffs' previous counsel as unreasonable. The only information he had was from the RCMP Report of May 26, 2004, which identified the "Bryant furnace", and it was not unreasonable to conclude that Bryant Heating and Cooling Co. Ltd. was the manufacturer of the furnace in the Haider residence. It is not clear why that entity did not inform plaintiffs' counsel of the error in a timely fashion. However, when counsel for Lennox did advise new counsel that Carrier was the actual manufacturer, the matter was investigated appropriately and this application brought.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nub of the issue concerns the proper balancing of the interests of the plaintiffs and Carrier. Whereas the plaintiffs risk losing the opportunity to pursue their claim against the proposed defendant, the latter loses a "windfall" opportunity to completely avoid any potential liability. Loss of a limitation period is a presumed prejudice as parties are entitled to believe that after the expiry of a limitation period, they are not at risk of being named as defendants. Obviously, being joined after the limitation period expires deprives the defendant of a limitation defence. The longer the delay, the more prejudice ensues.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All of the authorities make it clear that the onus is on the proposed added party to show actual prejudice. As the loss of a limitation period constitutes presumed prejudice, actual prejudice must be something distinct. In this case, the furnace in question was destroyed. That fact is prejudicial to both parties. Had it been destroyed after the limitation period, that fact would constitute serious actual prejudice to the proposed defendant. However, it was destroyed within days of the cause of action arising and hence cannot be categorized as actual prejudice relating to the delay. Clearly, the destruction of the furnace was not attributable to the plaintiffs. In my opinion, Carrier has not shown actual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It is true that the plaintiffs have pursued their claims against the RCMP and BCBC pursuant to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However, the plaintiffs will be seriously prejudiced if the injuries resulted from manufacturing defects and the plaintiffs are unable to sue the manufacturer.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result, after balancing the prejudice to the parties, I conclude that it would be just and convenient to add Carrier as a defendant. The appeal is allowed and the order of the Master is set aside. Carrier is to be added as a defendant and the writ and statement of claim amended accordingly. The writ of summons will be renewed for a period of three months from the date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EDWARDS J. for ALLAN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June 18,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 to the Reasons for Judgment issued advising the following paragraphs should be corrected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Paragraph [3]</w:t>
      </w:r>
      <w:r>
        <w:rPr>
          <w:rFonts w:ascii="arial" w:eastAsia="arial" w:hAnsi="arial" w:cs="arial"/>
          <w:color w:val="000000"/>
          <w:sz w:val="20"/>
          <w:lang w:val="en-US" w:eastAsia="en-US" w:bidi="ar-SA"/>
        </w:rPr>
        <w:t xml:space="preserve"> last two lines read: "...an RCMP Report dated May 24, 2006...". The correct version should read: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RCMP Report dated </w:t>
      </w:r>
      <w:r>
        <w:rPr>
          <w:rFonts w:ascii="arial" w:eastAsia="arial" w:hAnsi="arial" w:cs="arial"/>
          <w:color w:val="000000"/>
          <w:sz w:val="20"/>
          <w:u w:val="single"/>
          <w:lang w:val="en-US" w:eastAsia="en-US" w:bidi="ar-SA"/>
        </w:rPr>
        <w:t>May 26, 2004</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Paragraph [7]</w:t>
      </w:r>
      <w:r>
        <w:rPr>
          <w:rFonts w:ascii="arial" w:eastAsia="arial" w:hAnsi="arial" w:cs="arial"/>
          <w:color w:val="000000"/>
          <w:sz w:val="20"/>
          <w:lang w:val="en-US" w:eastAsia="en-US" w:bidi="ar-SA"/>
        </w:rPr>
        <w:t xml:space="preserve"> first line reads: "On September 8, 2005, new counsel acting for the Lennox and Bryant"... The correct version should read: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September 8, </w:t>
      </w:r>
      <w:r>
        <w:rPr>
          <w:rFonts w:ascii="arial" w:eastAsia="arial" w:hAnsi="arial" w:cs="arial"/>
          <w:color w:val="000000"/>
          <w:sz w:val="20"/>
          <w:u w:val="single"/>
          <w:lang w:val="en-US" w:eastAsia="en-US" w:bidi="ar-SA"/>
        </w:rPr>
        <w:t>2006</w:t>
      </w:r>
      <w:r>
        <w:rPr>
          <w:rFonts w:ascii="arial" w:eastAsia="arial" w:hAnsi="arial" w:cs="arial"/>
          <w:color w:val="000000"/>
          <w:sz w:val="20"/>
          <w:lang w:val="en-US" w:eastAsia="en-US" w:bidi="ar-SA"/>
        </w:rPr>
        <w:t>, new counsel acting for the Lennox and Bryant"...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Paragraph [14]</w:t>
      </w:r>
      <w:r>
        <w:rPr>
          <w:rFonts w:ascii="arial" w:eastAsia="arial" w:hAnsi="arial" w:cs="arial"/>
          <w:color w:val="000000"/>
          <w:sz w:val="20"/>
          <w:lang w:val="en-US" w:eastAsia="en-US" w:bidi="ar-SA"/>
        </w:rPr>
        <w:t xml:space="preserve"> second line reads: "...period is not two years: rather s. 9(3)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The correct version should read: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"...period is not two years: rathe, s. </w:t>
      </w:r>
      <w:r>
        <w:rPr>
          <w:rFonts w:ascii="arial" w:eastAsia="arial" w:hAnsi="arial" w:cs="arial"/>
          <w:color w:val="000000"/>
          <w:sz w:val="20"/>
          <w:u w:val="single"/>
          <w:lang w:val="en-US" w:eastAsia="en-US" w:bidi="ar-SA"/>
        </w:rPr>
        <w:t>6.3</w:t>
      </w:r>
      <w:r>
        <w:rPr>
          <w:rFonts w:ascii="arial" w:eastAsia="arial" w:hAnsi="arial" w:cs="arial"/>
          <w:color w:val="000000"/>
          <w:sz w:val="20"/>
          <w:lang w:val="en-US" w:eastAsia="en-US" w:bidi="ar-SA"/>
        </w:rPr>
        <w:t xml:space="preserve">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Paragraph [18]</w:t>
      </w:r>
      <w:r>
        <w:rPr>
          <w:rFonts w:ascii="arial" w:eastAsia="arial" w:hAnsi="arial" w:cs="arial"/>
          <w:color w:val="000000"/>
          <w:sz w:val="20"/>
          <w:lang w:val="en-US" w:eastAsia="en-US" w:bidi="ar-SA"/>
        </w:rPr>
        <w:t xml:space="preserve"> sixth line reads: "...it would have expired on September 22, 2006...". The correct version should read:</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2"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9"/>
          <w:headerReference w:type="default" r:id="rId650"/>
          <w:footerReference w:type="even" r:id="rId651"/>
          <w:footerReference w:type="default" r:id="rId652"/>
          <w:headerReference w:type="first" r:id="rId653"/>
          <w:footerReference w:type="first" r:id="rId65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55" w:history="1">
        <w:r>
          <w:rPr>
            <w:rFonts w:ascii="arial" w:eastAsia="arial" w:hAnsi="arial" w:cs="arial"/>
            <w:b/>
            <w:bCs/>
            <w:i/>
            <w:color w:val="0077CC"/>
            <w:kern w:val="32"/>
            <w:sz w:val="28"/>
            <w:szCs w:val="32"/>
            <w:u w:val="single"/>
            <w:shd w:val="clear" w:color="auto" w:fill="FFFFFF"/>
            <w:lang w:val="en-US" w:eastAsia="en-US" w:bidi="ar-SA"/>
          </w:rPr>
          <w:t>Haight-Smith v. Morelli Chertkow, [2002] B.C.J. No. 3325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Brown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October 4, 2002.</w:t>
      </w:r>
    </w:p>
    <w:p>
      <w:pPr>
        <w:spacing w:before="120" w:line="260" w:lineRule="atLeast"/>
        <w:jc w:val="center"/>
        <w:rPr>
          <w:lang w:val="en-US" w:eastAsia="en-US" w:bidi="ar-SA"/>
        </w:rPr>
      </w:pPr>
      <w:r>
        <w:rPr>
          <w:rFonts w:ascii="arial" w:eastAsia="arial" w:hAnsi="arial" w:cs="arial"/>
          <w:color w:val="000000"/>
          <w:sz w:val="20"/>
          <w:lang w:val="en-US" w:eastAsia="en-US" w:bidi="ar-SA"/>
        </w:rPr>
        <w:t>Released: February 24, 2005.</w:t>
      </w:r>
    </w:p>
    <w:p>
      <w:pPr>
        <w:spacing w:before="120" w:line="260" w:lineRule="atLeast"/>
        <w:jc w:val="center"/>
        <w:rPr>
          <w:lang w:val="en-US" w:eastAsia="en-US" w:bidi="ar-SA"/>
        </w:rPr>
      </w:pPr>
      <w:r>
        <w:rPr>
          <w:rFonts w:ascii="arial" w:eastAsia="arial" w:hAnsi="arial" w:cs="arial"/>
          <w:color w:val="000000"/>
          <w:sz w:val="20"/>
          <w:lang w:val="en-US" w:eastAsia="en-US" w:bidi="ar-SA"/>
        </w:rPr>
        <w:t>Kamloops Registry No. 24469</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[2002] B.C.J. No. 3325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2002 BCSC 1893</w:t>
      </w:r>
    </w:p>
    <w:p>
      <w:pPr>
        <w:spacing w:before="120" w:line="260" w:lineRule="atLeast"/>
        <w:rPr>
          <w:lang w:val="en-US" w:eastAsia="en-US" w:bidi="ar-SA"/>
        </w:rPr>
      </w:pPr>
      <w:r>
        <w:rPr>
          <w:rFonts w:ascii="arial" w:eastAsia="arial" w:hAnsi="arial" w:cs="arial"/>
          <w:color w:val="000000"/>
          <w:sz w:val="20"/>
          <w:lang w:val="en-US" w:eastAsia="en-US" w:bidi="ar-SA"/>
        </w:rPr>
        <w:t>Between Barbara Haight-Smith, plaintiff, and Morelli Chertkow, a partnership, Alexander Holdburn Beaudin and Lang, a partnership, Board of School Trustees of School District No. 73 (Kamloops/Thompson), John Hogg and Chris Rose,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(13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93" style="position:absolute;z-index:25169305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25" w:name="Keywords_33"/>
      <w:bookmarkEnd w:id="225"/>
      <w:r>
        <w:rPr>
          <w:rFonts w:ascii="arial" w:eastAsia="arial" w:hAnsi="arial" w:cs="arial"/>
          <w:b/>
          <w:color w:val="000000"/>
          <w:sz w:val="20"/>
          <w:lang w:val="en-US" w:eastAsia="en-US" w:bidi="ar-SA"/>
        </w:rPr>
        <w:t>Civil procedure — Disposition without trial — Dismissal of action — Delay or failure to prosecute — Prejudice to defendant.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26" w:name="Case Summary_30"/>
            <w:bookmarkEnd w:id="226"/>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defendants, Board of School Trustees of School District No. 73 and others, for dismissal of the action of the plaintiff, Haight-Smith, for want of prosecution. The plaintiff started the action in 1997 on the last day of the limitation period and filed a statement of claim in 1998. The plaintiff did not take any action after that, despite demands by the defendants for discovery. The action alleged that the school district and other defendants intentionally and recklessly created a dossier of documents, arising out of production of documents in another action, which harmed the plaintiff personally and professionally. The documents related to complaints or purported complaints by students about the plaintiff's conduct as a teacher. The plaintiff asserted that the delay was the result of her own illness, family illness, deaths in the family, unemployment and preoccupation with other legal proceedings. </w:t>
            </w:r>
            <w:r>
              <w:rPr>
                <w:lang w:val="en-US" w:eastAsia="en-US" w:bidi="ar-SA"/>
              </w:rPr>
              <w:cr/>
            </w:r>
          </w:p>
          <w:p>
            <w:pPr>
              <w:spacing w:before="120" w:line="260" w:lineRule="atLeast"/>
              <w:ind w:left="240"/>
              <w:jc w:val="both"/>
              <w:rPr>
                <w:lang w:val="en-US" w:eastAsia="en-US" w:bidi="ar-SA"/>
              </w:rPr>
            </w:pPr>
            <w:bookmarkStart w:id="227" w:name="Holdings of Court_28"/>
            <w:bookmarkEnd w:id="227"/>
            <w:r>
              <w:rPr>
                <w:rFonts w:ascii="arial" w:eastAsia="arial" w:hAnsi="arial" w:cs="arial"/>
                <w:color w:val="000000"/>
                <w:sz w:val="20"/>
                <w:lang w:val="en-US" w:eastAsia="en-US" w:bidi="ar-SA"/>
              </w:rPr>
              <w:t>HELD: Application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action was dismissed for want of prosecution. The delay was inordinate. No credible excuse was provided for not pursuing the litigation. No particulars were provided about the duration of the various impediments the plaintiff alleged or how they impacted on the litigation. The defendants were not obligated to move the plaintiff's case forward. The plaintiff did not rebut the presumption of prejudice. There was likely to be actual prejudice to the defendants. Proving the veracity of the documents would involve calling the students, now adults. Memories would have faded and witnesses disappeared. Justice between the parties favoured the defendants. The plaintiff was aware of the need for diligence but chose to pursue other avenues of address other than this action. </w:t>
            </w:r>
            <w:r>
              <w:rPr>
                <w:lang w:val="en-US" w:eastAsia="en-US" w:bidi="ar-SA"/>
              </w:rPr>
              <w:cr/>
            </w:r>
          </w:p>
          <w:p>
            <w:pPr>
              <w:rPr>
                <w:lang w:val="en-US" w:eastAsia="en-US" w:bidi="ar-SA"/>
              </w:rPr>
            </w:pPr>
          </w:p>
        </w:tc>
      </w:tr>
    </w:tbl>
    <w:p>
      <w:pPr>
        <w:jc w:val="both"/>
        <w:rPr>
          <w:lang w:val="en-US" w:eastAsia="en-US" w:bidi="ar-SA"/>
        </w:rPr>
      </w:pPr>
      <w:bookmarkStart w:id="228" w:name="Counsel_33"/>
      <w:bookmarkEnd w:id="22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94" style="position:absolute;z-index:25174425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Appearing on her own behalf: B. Haight-Smith</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Defendants, Morelli, Alexander, Hogg: I.D. Mackie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Defendants, School District 73, Chris Rose: E. Stanger</w:t>
      </w:r>
      <w:r>
        <w:rPr>
          <w:lang w:val="en-US" w:eastAsia="en-US" w:bidi="ar-SA"/>
        </w:rPr>
        <w:cr/>
      </w:r>
    </w:p>
    <w:p>
      <w:pPr>
        <w:spacing w:after="240"/>
        <w:rPr>
          <w:lang w:val="en-US" w:eastAsia="en-US" w:bidi="ar-SA"/>
        </w:rPr>
      </w:pPr>
      <w:bookmarkStart w:id="229" w:name="Judgment_33"/>
      <w:bookmarkEnd w:id="229"/>
      <w:r>
        <w:pict>
          <v:line id="_x0000_s1195" style="position:absolute;z-index:25179545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30" w:name="BROWN J. (orally)"/>
            <w:bookmarkEnd w:id="230"/>
            <w:r>
              <w:rPr>
                <w:rFonts w:ascii="arial" w:eastAsia="arial" w:hAnsi="arial" w:cs="arial"/>
                <w:b/>
                <w:color w:val="000000"/>
                <w:sz w:val="30"/>
                <w:lang w:val="en-US" w:eastAsia="en-US" w:bidi="ar-SA"/>
              </w:rPr>
              <w:t>BROWN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apply for dismissal of the plaintiff's claim for want of prosecution. The plaintiff started this action January 24th, 1997, by endorsed writ. An amended writ was filed January 23rd, 1998. A statement of claim was filed March 11, 1998. By May 15, 1998, all defences had been filed. The defendants, Morelli Chertkow, Alexander Holdburn Beaudin and Lang and John Hogg, had demanded discovery of documents. Ms. Haight-Smith has taken no steps in this proceeding since March, 1998.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Dealing first with the preliminary objection. Ms. Haight-Smith objected to the affidavit of Mr. Hogg being admitted in evidence. She was provided with the affidavit some five months ago after this hearing, originally scheduled for February, 2002, had been adjourned. I determined that Ms. Haight-Smith had sufficient time to respond to that affidavit, that the affidavit was primarily a compilation of correspondence addressed to her, and should be admitted. However, I did not need to and have not considered it in reaching my decision on these applications.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plaintiff's claims against the defendants are very serious and wide-ranging. She alleges that the school district and Mr. Rose intentionally, negligently, wrongfully, recklessly, and maliciously created a dossier of documents which harmed her personally and professionally. She alleges that the documents were manufactured. She pleads breach of fiduciary duty and libel, defamation, interference with contractual relations, harassment,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She pleads that all of the defendants conspired to publish defamatory statements.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genesis of this action is the production of documents in an earlier action involving Ms. Haight-Smith, Action Number C902518, Haight-Smith, Earls Restaurant, and Murdock. Essentially, Mrs. Haight-Smith asserts that under the guise of document production, the school board and Mr. Rose manufactured documents, and all of the defendants conspired to publish those documents with the intention of harming her reputation as a teacher.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Much of Ms. Haight-Smith's submission was addressed to substantiating her claim. She has produced many letters from parents attesting to her abilities as a teacher. That, of course, is not the issue before me. The issues before me are: has there been inordinate delay; is the inordinate delay inexcusable; has the inordinate delay caused or is it likely to cause serious prejudice to the applicant; are there other considerations which would make it unjust to dismiss the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With respect to delay, the plaintiff filed the writ on the last day of the limitation period, January, 1997. She filed an amended written statement of claim in early 1998. She has taken no further steps for more than four and a half years. The plaintiff acknowledges that the delay is inordinate. Even if she did not, I find that the delay is inordinate.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Mrs. Haight-Smith asserts that her affidavit explains the delay, that it is not inexcusable. Her affidavit asserts that she was ill, her husband was ill, six family members died, she was unemployed and not receiving her full pay, that she was occupied with other legal proceedings. No particulars are provided as to the duration of these various impediments or how they impacted on this litigation.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a case such as this, the plaintiff must condescend to particulars to provide a credible excuse for the delay. Mrs. Haight-Smith acknowledges that in the intervening years she focused on other legal proceedings rather than this action, that while she was serious about seeking redress for the wrongs alleged in this action, she was hopeful that this action would not need to be pursued. The plaintiff has not provided a credible excuse for not pursuing this litigation.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She says that the fault lies equally with the defendants, that they could have pursued the litigation, enforced compliance with the rules, but did not. In this province, at least, the authorities are clear that the case is the plaintiff's to pursue. The defendants do not have the obligation to move the plaintiff's case forward, and the authorities that I refer to are Stryk v. Curtain, </w:t>
      </w:r>
      <w:hyperlink r:id="rId656" w:history="1">
        <w:r>
          <w:rPr>
            <w:rFonts w:ascii="arial" w:eastAsia="arial" w:hAnsi="arial" w:cs="arial"/>
            <w:i/>
            <w:color w:val="0077CC"/>
            <w:sz w:val="20"/>
            <w:u w:val="single"/>
            <w:shd w:val="clear" w:color="auto" w:fill="FFFFFF"/>
            <w:lang w:val="en-US" w:eastAsia="en-US" w:bidi="ar-SA"/>
          </w:rPr>
          <w:t>[2001] B.C.J. No. 128</w:t>
        </w:r>
      </w:hyperlink>
      <w:r>
        <w:rPr>
          <w:rFonts w:ascii="arial" w:eastAsia="arial" w:hAnsi="arial" w:cs="arial"/>
          <w:color w:val="000000"/>
          <w:sz w:val="20"/>
          <w:lang w:val="en-US" w:eastAsia="en-US" w:bidi="ar-SA"/>
        </w:rPr>
        <w:t xml:space="preserve"> (S.C.), Irving v. Irving </w:t>
      </w:r>
      <w:hyperlink r:id="rId94" w:history="1">
        <w:r>
          <w:rPr>
            <w:rFonts w:ascii="arial" w:eastAsia="arial" w:hAnsi="arial" w:cs="arial"/>
            <w:i/>
            <w:color w:val="0077CC"/>
            <w:sz w:val="20"/>
            <w:u w:val="single"/>
            <w:shd w:val="clear" w:color="auto" w:fill="FFFFFF"/>
            <w:lang w:val="en-US" w:eastAsia="en-US" w:bidi="ar-SA"/>
          </w:rPr>
          <w:t>(1982) 38 B.C.L.R. 318</w:t>
        </w:r>
      </w:hyperlink>
      <w:r>
        <w:rPr>
          <w:rFonts w:ascii="arial" w:eastAsia="arial" w:hAnsi="arial" w:cs="arial"/>
          <w:color w:val="000000"/>
          <w:sz w:val="20"/>
          <w:lang w:val="en-US" w:eastAsia="en-US" w:bidi="ar-SA"/>
        </w:rPr>
        <w:t xml:space="preserve"> C.O.A., Rhyolite Resources Inc. v. CanQuest Resources Corp., </w:t>
      </w:r>
      <w:hyperlink r:id="rId657" w:history="1">
        <w:r>
          <w:rPr>
            <w:rFonts w:ascii="arial" w:eastAsia="arial" w:hAnsi="arial" w:cs="arial"/>
            <w:i/>
            <w:color w:val="0077CC"/>
            <w:sz w:val="20"/>
            <w:u w:val="single"/>
            <w:shd w:val="clear" w:color="auto" w:fill="FFFFFF"/>
            <w:lang w:val="en-US" w:eastAsia="en-US" w:bidi="ar-SA"/>
          </w:rPr>
          <w:t>[1997] B.C.J. No. 2608</w:t>
        </w:r>
      </w:hyperlink>
      <w:r>
        <w:rPr>
          <w:rFonts w:ascii="arial" w:eastAsia="arial" w:hAnsi="arial" w:cs="arial"/>
          <w:color w:val="000000"/>
          <w:sz w:val="20"/>
          <w:lang w:val="en-US" w:eastAsia="en-US" w:bidi="ar-SA"/>
        </w:rPr>
        <w:t xml:space="preserve"> (S.C.), Haight-Smith v. Stephens Guardian Ad Litem, </w:t>
      </w:r>
      <w:hyperlink r:id="rId658" w:history="1">
        <w:r>
          <w:rPr>
            <w:rFonts w:ascii="arial" w:eastAsia="arial" w:hAnsi="arial" w:cs="arial"/>
            <w:i/>
            <w:color w:val="0077CC"/>
            <w:sz w:val="20"/>
            <w:u w:val="single"/>
            <w:shd w:val="clear" w:color="auto" w:fill="FFFFFF"/>
            <w:lang w:val="en-US" w:eastAsia="en-US" w:bidi="ar-SA"/>
          </w:rPr>
          <w:t>[1995] B.C.J. No. 2580</w:t>
        </w:r>
      </w:hyperlink>
      <w:r>
        <w:rPr>
          <w:rFonts w:ascii="arial" w:eastAsia="arial" w:hAnsi="arial" w:cs="arial"/>
          <w:color w:val="000000"/>
          <w:sz w:val="20"/>
          <w:lang w:val="en-US" w:eastAsia="en-US" w:bidi="ar-SA"/>
        </w:rPr>
        <w:t xml:space="preserve"> (S.C.).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Dealing with the issue of whether the delay has caused prejudice to the defendants, Mrs. Haight-Smith relies on authorities from other jurisdictions which suggest that the defendants must introduce evidence of prejudice which cannot be alleviated. This is not the law in this province. Where there has been inordinate, inexcusable delay, there is a presumption of prejudice which the plaintiff may rebut, and the authority for that is the Court of Appeal in Busse v. Robinson Morelli Chertkow </w:t>
      </w:r>
      <w:hyperlink r:id="rId95" w:history="1">
        <w:r>
          <w:rPr>
            <w:rFonts w:ascii="arial" w:eastAsia="arial" w:hAnsi="arial" w:cs="arial"/>
            <w:i/>
            <w:color w:val="0077CC"/>
            <w:sz w:val="20"/>
            <w:u w:val="single"/>
            <w:shd w:val="clear" w:color="auto" w:fill="FFFFFF"/>
            <w:lang w:val="en-US" w:eastAsia="en-US" w:bidi="ar-SA"/>
          </w:rPr>
          <w:t>(1999), 63 B.C.L.R. (3d) 174</w:t>
        </w:r>
      </w:hyperlink>
      <w:r>
        <w:rPr>
          <w:rFonts w:ascii="arial" w:eastAsia="arial" w:hAnsi="arial" w:cs="arial"/>
          <w:color w:val="000000"/>
          <w:sz w:val="20"/>
          <w:lang w:val="en-US" w:eastAsia="en-US" w:bidi="ar-SA"/>
        </w:rPr>
        <w:t xml:space="preserve"> C.O.A..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circumstances of this case, apart from the presumption, satisfy me that there is likely to be prejudice to the defendants. The documents, which the plaintiff asserts were manufactured, date primarily from the period 1985 to 1986. They appear to deal with complaints or purported complaints by students about Mrs. Haight-Smith's conduct as a teacher. Proving the veracity of those documents is likely to involve calling the students, now adults, who were children in 1985 and 1986. It goes without saying that memories will have faded, witnesses will have disappeared with each passing year.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Considering, finally, the issue of justice between the parties, Mrs. Haight-Smith has had more than seven and a half years since she says this cause of action arose to pursue this action. She has chosen instead to pursue other avenues of redress. She is hopeful of success in those other avenues even if this claim is struck. The delay is not the fault of a lawyer for which the litigant should not be blamed. Mrs. Haight-Smith has been representing herself in these courts since at least 1995 when she appeared before Mr. Justice Campbell. That application, too, was to strike an action for want of prosecution. Mr. Justice Campbell struck that claim, too, for failure to prosecute. His decision is included in the authorities before 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Accordingly, Mrs. Haight-Smith was well aware of the obligation to pursue litigation with diligence, and of the consequences of not doing so. Yet she took no steps following March, 1998, even after she was served with the application herein in the late fall of 2001. The balance of justice requires that this action be dismissed with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BROWN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846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9"/>
          <w:headerReference w:type="default" r:id="rId660"/>
          <w:footerReference w:type="even" r:id="rId661"/>
          <w:footerReference w:type="default" r:id="rId662"/>
          <w:headerReference w:type="first" r:id="rId663"/>
          <w:footerReference w:type="first" r:id="rId66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65" w:history="1">
        <w:r>
          <w:rPr>
            <w:rFonts w:ascii="arial" w:eastAsia="arial" w:hAnsi="arial" w:cs="arial"/>
            <w:b/>
            <w:bCs/>
            <w:i/>
            <w:color w:val="0077CC"/>
            <w:kern w:val="32"/>
            <w:sz w:val="28"/>
            <w:szCs w:val="32"/>
            <w:u w:val="single"/>
            <w:shd w:val="clear" w:color="auto" w:fill="FFFFFF"/>
            <w:lang w:val="en-US" w:eastAsia="en-US" w:bidi="ar-SA"/>
          </w:rPr>
          <w:t>Hamfeldt v. Dooling, [2003] B.C.J. No. 586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Warren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December 16, 2002.</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March 17, 2003.</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S011202</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[2003] B.C.J. No. 586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2003 BCSC 418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120 A.C.W.S. (3d) 954</w:t>
      </w:r>
    </w:p>
    <w:p>
      <w:pPr>
        <w:spacing w:before="120" w:line="260" w:lineRule="atLeast"/>
        <w:rPr>
          <w:lang w:val="en-US" w:eastAsia="en-US" w:bidi="ar-SA"/>
        </w:rPr>
      </w:pPr>
      <w:r>
        <w:rPr>
          <w:rFonts w:ascii="arial" w:eastAsia="arial" w:hAnsi="arial" w:cs="arial"/>
          <w:color w:val="000000"/>
          <w:sz w:val="20"/>
          <w:lang w:val="en-US" w:eastAsia="en-US" w:bidi="ar-SA"/>
        </w:rPr>
        <w:t>Between Karen Hamfeldt, plaintiff, and Leo Dooling, Madge Elizabeth Dooling, Base Excavating Ltd. and ABC Construction Company,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(23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97" style="position:absolute;z-index:25169408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31" w:name="Keywords_34"/>
      <w:bookmarkEnd w:id="231"/>
      <w:r>
        <w:rPr>
          <w:rFonts w:ascii="arial" w:eastAsia="arial" w:hAnsi="arial" w:cs="arial"/>
          <w:b/>
          <w:color w:val="000000"/>
          <w:sz w:val="20"/>
          <w:lang w:val="en-US" w:eastAsia="en-US" w:bidi="ar-SA"/>
        </w:rPr>
        <w:t>Practice — Parties — Adding or substituting parties — Adding or substituting defendants — Considerations — Circumstances when allowed.</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32" w:name="Case Summary_31"/>
            <w:bookmarkEnd w:id="232"/>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plaintiff Hamfeldt to add King Kubota Services Ltd. as a defendant and for the necessary amendments to the statement of claim. Hamfeldt's claim was for damages for injuries suffered in the collapse of the sun deck attached to the defendant Doolings's home as a result of an excavation under or near the deck. Hamfeldt wanted to add King as a defendant on the grounds that it was the company that completed the excavation. As a result of information supplied by the Doolings that the defendant Base Excavating Ltd. was the excavation company, Hamfeldt had included Base in her original statement of claim. As a precaution, ABC Construction Company was added to the statement of claim in case the information concerning Base was incorrect. It was later determined that King, not Base, had completed the work. There was delay of 15 months between when Hamfeldt learned King had completed the work and the application to add King as a defendant, due to the inadvertence of Hamfeldt's counsel. </w:t>
            </w:r>
            <w:r>
              <w:rPr>
                <w:lang w:val="en-US" w:eastAsia="en-US" w:bidi="ar-SA"/>
              </w:rPr>
              <w:cr/>
            </w:r>
          </w:p>
          <w:p>
            <w:pPr>
              <w:spacing w:before="120" w:line="260" w:lineRule="atLeast"/>
              <w:ind w:left="240"/>
              <w:jc w:val="both"/>
              <w:rPr>
                <w:lang w:val="en-US" w:eastAsia="en-US" w:bidi="ar-SA"/>
              </w:rPr>
            </w:pPr>
            <w:bookmarkStart w:id="233" w:name="Holdings of Court_29"/>
            <w:bookmarkEnd w:id="233"/>
            <w:r>
              <w:rPr>
                <w:rFonts w:ascii="arial" w:eastAsia="arial" w:hAnsi="arial" w:cs="arial"/>
                <w:color w:val="000000"/>
                <w:sz w:val="20"/>
                <w:lang w:val="en-US" w:eastAsia="en-US" w:bidi="ar-SA"/>
              </w:rPr>
              <w:t>HELD: Application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lapse of time was not a bar to adding King as a defendant. The delay was not inordinate, the expiration of the limitation period notwithstanding, and there was some explanation for the delay. There was still an ability to obtain full information, and any prejudice caused by the delay was minimal. If the application was not allowed, Hamfeldt would be denied her ability to claim against a potential tortfeasor. Justice required the addition of King as a defendant. </w:t>
            </w:r>
            <w:r>
              <w:rPr>
                <w:lang w:val="en-US" w:eastAsia="en-US" w:bidi="ar-SA"/>
              </w:rPr>
              <w:cr/>
            </w:r>
          </w:p>
          <w:p>
            <w:pPr>
              <w:rPr>
                <w:lang w:val="en-US" w:eastAsia="en-US" w:bidi="ar-SA"/>
              </w:rPr>
            </w:pPr>
          </w:p>
        </w:tc>
      </w:tr>
    </w:tbl>
    <w:p>
      <w:pPr>
        <w:jc w:val="both"/>
        <w:rPr>
          <w:lang w:val="en-US" w:eastAsia="en-US" w:bidi="ar-SA"/>
        </w:rPr>
      </w:pPr>
      <w:bookmarkStart w:id="234" w:name="Legislation Cited_27"/>
      <w:bookmarkEnd w:id="23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98" style="position:absolute;z-index:25174528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Rules 15(5)(a)(iii), 31(2).</w:t>
      </w:r>
    </w:p>
    <w:p>
      <w:pPr>
        <w:spacing w:line="260" w:lineRule="atLeast"/>
        <w:jc w:val="both"/>
        <w:rPr>
          <w:lang w:val="en-US" w:eastAsia="en-US" w:bidi="ar-SA"/>
        </w:rPr>
      </w:pPr>
      <w:r>
        <w:rPr>
          <w:rFonts w:ascii="arial" w:eastAsia="arial" w:hAnsi="arial" w:cs="arial"/>
          <w:color w:val="000000"/>
          <w:sz w:val="20"/>
          <w:lang w:val="en-US" w:eastAsia="en-US" w:bidi="ar-SA"/>
        </w:rPr>
        <w:t>Limitation Act.</w:t>
      </w:r>
      <w:r>
        <w:rPr>
          <w:lang w:val="en-US" w:eastAsia="en-US" w:bidi="ar-SA"/>
        </w:rPr>
        <w:cr/>
      </w:r>
    </w:p>
    <w:p>
      <w:pPr>
        <w:keepNext/>
        <w:spacing w:before="240" w:line="340" w:lineRule="atLeast"/>
        <w:rPr>
          <w:lang w:val="en-US" w:eastAsia="en-US" w:bidi="ar-SA"/>
        </w:rPr>
      </w:pPr>
      <w:bookmarkStart w:id="235" w:name="Counsel_34"/>
      <w:bookmarkEnd w:id="235"/>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99" style="position:absolute;z-index:25179648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V. Critchly, for the plaintiff. The defendants, Leo Dooling and Madge Elizabeth Dooling, appeared and took no position. A.L. Eged, for the proposed defendant, King Kubota Services Ltd.</w:t>
      </w:r>
      <w:r>
        <w:rPr>
          <w:lang w:val="en-US" w:eastAsia="en-US" w:bidi="ar-SA"/>
        </w:rPr>
        <w:cr/>
      </w:r>
    </w:p>
    <w:p>
      <w:pPr>
        <w:spacing w:after="240"/>
        <w:rPr>
          <w:lang w:val="en-US" w:eastAsia="en-US" w:bidi="ar-SA"/>
        </w:rPr>
      </w:pPr>
      <w:bookmarkStart w:id="236" w:name="Judgment_34"/>
      <w:bookmarkEnd w:id="236"/>
      <w:r>
        <w:pict>
          <v:line id="_x0000_s1200" style="position:absolute;z-index:25184768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37" w:name="WARREN J."/>
            <w:bookmarkEnd w:id="237"/>
            <w:r>
              <w:rPr>
                <w:rFonts w:ascii="arial" w:eastAsia="arial" w:hAnsi="arial" w:cs="arial"/>
                <w:b/>
                <w:color w:val="000000"/>
                <w:sz w:val="30"/>
                <w:lang w:val="en-US" w:eastAsia="en-US" w:bidi="ar-SA"/>
              </w:rPr>
              <w:t>WARREN J.</w:t>
            </w:r>
          </w:p>
        </w:tc>
      </w:tr>
    </w:tbl>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contested application by the plaintiff to add King Kubota Services Ltd. ["KKS"] as a defendant and for the necessary amendments to the Writ of Summons and Statement of Claim. Counsel for the Doolings took no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claim is for damages for the injuries the plaintiff suffered in the collapse of the sun deck attached to the Dooling home when she was visiting on March 6, 1999. It is alleged the deck collapsed as a result of an excavation under or near the deck. The plaintiff wants to add the proposed defendant on the grounds that it was the company which was doing the excavating.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Some detailed history of the course of the litigation is necessary.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After her fall, and until February 2001, the plaintiff was personally dealing with the Doolings' insurance adjuster but on February 27, 2001, with the limitation period about to expire, the plaintiff retained counsel to start an action. As a result of information supplied by the Doolings, the plaintiff instructed her counsel that the excavation company was the defendant, Base Excavating Ltd. and the pleadings reflected that understanding. As well, and as a precaution, plaintiff's counsel added "ABC Construction Company" in case the information concerning Base was incorrect. The Writ and Statement of Claim were filed March 1, 2001, served on Base on March 5, 2001 and on the Doolings on March 6, 2001. Appearances were dully entered.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Approximately one month later, plaintiff's counsel received a letter from the insurers for Base advising that its insured had not performed any work on the Dooling property prior to the collapse of the sundeck.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When plaintiff's counsel learned that the work had been done by the proposed defendant KKS, he delivered a Notice to Admit seeking the admission of the Doolings to that effect. On May 9, 2001, Doolings' counsel advised they would consent to have the claim against Base dismissed. Although plaintiff's counsel wanted the formal admission concerning KKS, Doolings' solicitor said they would not be responding and the facts in the Notice would, by operation of R 31(2), then be deemed admitted.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meantime, as offers of settlement were advanced in an effort to resolve the claims, plaintiff's counsel acting on the mistaken belief that a party could be added if counsel for Base consented, prepared the materials for an application to amend the pleadings to add KKS as a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November 2001 the materials to add KKS as a defendant were delivered to the solicitor for Base and the materials from Base to have the claims against it dismissed were exchanged. The plaintiff's materials were not served on KKS. Only when fresh counsel took over conduct of the litigation did the plaintiff determine to her counsel's satisfaction that it was indeed KKS which had performed the excavation work. With that, and by consent, the action against Base was dismissed and the consent order adding KKS was delivered to the lawyer for the Doolings, again on the mistaken belief that a new defendant could be added if existing counsel of record consented.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When the consent order was delivered to the Court Registry on May 21, 2002, it was rejected and counsel were told to speak to the application. The materials in support were prepared but again, KKS was not served. The application was set down for June 25, 2002, but adjourned so that fresh counsel could speak to the motion on behalf of plaintiff's counsel. It is at this point in time that KKS was first informed of the intention to add them as a defendant. KKS turned the matter over to its insurer who retained counsel.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Submissions of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On an application under R 15(5)(a)(iii) the lapse of time, by itself, is not a bar to adding a defendant. All relevant factors are to be considered and the Court is required to do what is just and convenient: Teal Cedar Products (1997) Ltd. v. Dale Intermediaries Ltd. et al. </w:t>
      </w:r>
      <w:hyperlink r:id="rId645"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(C.A.) and Cementation Co. (Canada) Ltd. v. American Home Insurance Co. </w:t>
      </w:r>
      <w:hyperlink r:id="rId666" w:history="1">
        <w:r>
          <w:rPr>
            <w:rFonts w:ascii="arial" w:eastAsia="arial" w:hAnsi="arial" w:cs="arial"/>
            <w:i/>
            <w:color w:val="0077CC"/>
            <w:sz w:val="20"/>
            <w:u w:val="single"/>
            <w:shd w:val="clear" w:color="auto" w:fill="FFFFFF"/>
            <w:lang w:val="en-US" w:eastAsia="en-US" w:bidi="ar-SA"/>
          </w:rPr>
          <w:t>(1989), 37 B.C.L.R. (2d) 172</w:t>
        </w:r>
      </w:hyperlink>
      <w:r>
        <w:rPr>
          <w:rFonts w:ascii="arial" w:eastAsia="arial" w:hAnsi="arial" w:cs="arial"/>
          <w:color w:val="000000"/>
          <w:sz w:val="20"/>
          <w:lang w:val="en-US" w:eastAsia="en-US" w:bidi="ar-SA"/>
        </w:rPr>
        <w:t xml:space="preserve"> (C.A.).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While the plaintiff concedes that there has been "some delay", the delay has been tempered by a number of factors. There is no evidence the proposed defendant is in any worse position to investigate the circumstances. The plaintiff reasons that given a two year limitation period from the date of the injury plus another year to serve the pleadings on KKS, the defendant might not have learned of the claim until March 6, 2002. Accordingly, the delay is not that significant: Kean v. Blue Boy Motor Hotel, </w:t>
      </w:r>
      <w:hyperlink r:id="rId667" w:history="1">
        <w:r>
          <w:rPr>
            <w:rFonts w:ascii="arial" w:eastAsia="arial" w:hAnsi="arial" w:cs="arial"/>
            <w:i/>
            <w:color w:val="0077CC"/>
            <w:sz w:val="20"/>
            <w:u w:val="single"/>
            <w:shd w:val="clear" w:color="auto" w:fill="FFFFFF"/>
            <w:lang w:val="en-US" w:eastAsia="en-US" w:bidi="ar-SA"/>
          </w:rPr>
          <w:t>[1988] B.C.J. No. 1653</w:t>
        </w:r>
      </w:hyperlink>
      <w:r>
        <w:rPr>
          <w:rFonts w:ascii="arial" w:eastAsia="arial" w:hAnsi="arial" w:cs="arial"/>
          <w:color w:val="000000"/>
          <w:sz w:val="20"/>
          <w:lang w:val="en-US" w:eastAsia="en-US" w:bidi="ar-SA"/>
        </w:rPr>
        <w:t xml:space="preserve"> (S.C.) and Endale v. Peters, </w:t>
      </w:r>
      <w:hyperlink r:id="rId668" w:history="1">
        <w:r>
          <w:rPr>
            <w:rFonts w:ascii="arial" w:eastAsia="arial" w:hAnsi="arial" w:cs="arial"/>
            <w:i/>
            <w:color w:val="0077CC"/>
            <w:sz w:val="20"/>
            <w:u w:val="single"/>
            <w:shd w:val="clear" w:color="auto" w:fill="FFFFFF"/>
            <w:lang w:val="en-US" w:eastAsia="en-US" w:bidi="ar-SA"/>
          </w:rPr>
          <w:t>[1997] B.C.J. No. 478</w:t>
        </w:r>
      </w:hyperlink>
      <w:r>
        <w:rPr>
          <w:rFonts w:ascii="arial" w:eastAsia="arial" w:hAnsi="arial" w:cs="arial"/>
          <w:color w:val="000000"/>
          <w:sz w:val="20"/>
          <w:lang w:val="en-US" w:eastAsia="en-US" w:bidi="ar-SA"/>
        </w:rPr>
        <w:t xml:space="preserve"> (S.C.).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Counsel also argues that it is open to the plaintiff to submit that the time did not begin to run at March 6, 1999, but at some later date when the plaintiff had sufficient information to determine the proper defendant. The plaintiff was misled by the defendant Dooling, and it was not until April 2001 that she learned of the involvement of KKS. Accordingly, it could be argued the limitation period had not expired by the time of the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delay between April 2001 and July 2002 was due solely to inadvertence on the part of plaintiff's counsel and while a solicitor's inadvertence is not a complete answer, inadvertence is an explanation accepted by other courts: Teal, supra; Sun et al. v. Sun et al, </w:t>
      </w:r>
      <w:hyperlink r:id="rId669" w:history="1">
        <w:r>
          <w:rPr>
            <w:rFonts w:ascii="arial" w:eastAsia="arial" w:hAnsi="arial" w:cs="arial"/>
            <w:i/>
            <w:color w:val="0077CC"/>
            <w:sz w:val="20"/>
            <w:u w:val="single"/>
            <w:shd w:val="clear" w:color="auto" w:fill="FFFFFF"/>
            <w:lang w:val="en-US" w:eastAsia="en-US" w:bidi="ar-SA"/>
          </w:rPr>
          <w:t>(2000) 35 ETR (2d) 142</w:t>
        </w:r>
      </w:hyperlink>
      <w:r>
        <w:rPr>
          <w:rFonts w:ascii="arial" w:eastAsia="arial" w:hAnsi="arial" w:cs="arial"/>
          <w:color w:val="000000"/>
          <w:sz w:val="20"/>
          <w:lang w:val="en-US" w:eastAsia="en-US" w:bidi="ar-SA"/>
        </w:rPr>
        <w:t xml:space="preserve"> (B.C.S.C.); Bhatthal v. Bhatthal Vancouver Reg. No. B981333, March 30, 2000; West Fraser Mills Ltd. v. Chouinard </w:t>
      </w:r>
      <w:hyperlink r:id="rId670" w:history="1">
        <w:r>
          <w:rPr>
            <w:rFonts w:ascii="arial" w:eastAsia="arial" w:hAnsi="arial" w:cs="arial"/>
            <w:i/>
            <w:color w:val="0077CC"/>
            <w:sz w:val="20"/>
            <w:u w:val="single"/>
            <w:shd w:val="clear" w:color="auto" w:fill="FFFFFF"/>
            <w:lang w:val="en-US" w:eastAsia="en-US" w:bidi="ar-SA"/>
          </w:rPr>
          <w:t>(1993), 79 B.C.L.R. (2d) 321</w:t>
        </w:r>
      </w:hyperlink>
      <w:r>
        <w:rPr>
          <w:rFonts w:ascii="arial" w:eastAsia="arial" w:hAnsi="arial" w:cs="arial"/>
          <w:color w:val="000000"/>
          <w:sz w:val="20"/>
          <w:lang w:val="en-US" w:eastAsia="en-US" w:bidi="ar-SA"/>
        </w:rPr>
        <w:t xml:space="preserve"> (B.C.S.C.); and Brill v. Vancouver (City) (1992), 12 C.P.C. (3d) 255. In any event, an application to add a party may be allowed even when no good explanation is provided and even where there has been 'dilatory conduct': Teal, supra; Cooley v. Siemens </w:t>
      </w:r>
      <w:hyperlink r:id="rId671" w:history="1">
        <w:r>
          <w:rPr>
            <w:rFonts w:ascii="arial" w:eastAsia="arial" w:hAnsi="arial" w:cs="arial"/>
            <w:i/>
            <w:color w:val="0077CC"/>
            <w:sz w:val="20"/>
            <w:u w:val="single"/>
            <w:shd w:val="clear" w:color="auto" w:fill="FFFFFF"/>
            <w:lang w:val="en-US" w:eastAsia="en-US" w:bidi="ar-SA"/>
          </w:rPr>
          <w:t>(1994), 96 B.C.L.R. (2d) 101</w:t>
        </w:r>
      </w:hyperlink>
      <w:r>
        <w:rPr>
          <w:rFonts w:ascii="arial" w:eastAsia="arial" w:hAnsi="arial" w:cs="arial"/>
          <w:color w:val="000000"/>
          <w:sz w:val="20"/>
          <w:lang w:val="en-US" w:eastAsia="en-US" w:bidi="ar-SA"/>
        </w:rPr>
        <w:t xml:space="preserve"> (S.C.).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plaintiff submits that any consideration of prejudice requires a balancing, which in this case weighs in the plaintiff's favour. If the application fails, then she will be deprived of claiming against the very person responsible for her injury, a consideration of even greater significance given that issues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will undoubtedly be raised by the present defendants. The proposed defendant, on the other hand, will not suffer any prejudice other than the loss of the limitation defence: Takenaka v. Stanley, </w:t>
      </w:r>
      <w:hyperlink r:id="rId672" w:history="1">
        <w:r>
          <w:rPr>
            <w:rFonts w:ascii="arial" w:eastAsia="arial" w:hAnsi="arial" w:cs="arial"/>
            <w:i/>
            <w:color w:val="0077CC"/>
            <w:sz w:val="20"/>
            <w:u w:val="single"/>
            <w:shd w:val="clear" w:color="auto" w:fill="FFFFFF"/>
            <w:lang w:val="en-US" w:eastAsia="en-US" w:bidi="ar-SA"/>
          </w:rPr>
          <w:t>(2000), 91 B.C.L.R. (3d) 179</w:t>
        </w:r>
      </w:hyperlink>
      <w:r>
        <w:rPr>
          <w:rFonts w:ascii="arial" w:eastAsia="arial" w:hAnsi="arial" w:cs="arial"/>
          <w:color w:val="000000"/>
          <w:sz w:val="20"/>
          <w:lang w:val="en-US" w:eastAsia="en-US" w:bidi="ar-SA"/>
        </w:rPr>
        <w:t xml:space="preserve"> (B.C.S.C.).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Counsel for the plaintiff submits that KKS has produced no evidence to show its ability to investigate the accident has, in any way, been hampered by the delay, nor that its ability would have been better the day before the limitation period expired. On the contrary, the president of the proposed defendant has put forward specific evidence of the work performed by KKS in October and November 1998: the work carried out by KKS was believed by its operator to be 150 yards from the Dooling residence. Further, the affidavit evidence shows that the location of the excavation and the information provided by the Doolings were based on written specifications provided by an engineer and there is no evidence the specifications have gone missing.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Lastly, the plaintiff says it must be inferred that there has been no deterioration of evidence as a result of delay, for it is only KKS that would know that there has been a deterioration and it has not put forward any evidence of actual prejudice caused by the delay.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all of these circumstances, the plaintiff argues that it cannot be said that it would be unjust to add the proposed defendant.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Submissions of KKS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Eged argues that there is no admissible evidence to show that there is a question to be determined between the plaintiff and KKS, merely an allegation that the "deck collapsed, allegedly as a result of excavation that had taken place under the deck." This statement is contrary to the information of Mr. Dooling that KKS was no nearer to the cabin and deck than approximately 10 feet. Also, the president of KKS deposes that the machine operator advised that he was approximately 150 yards from the Dooling residence. In these circumstances, KKS submits the application should fail.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Further, there has been inordinate delay in bringing on the application and the reasons for the delay are inexcusable. In these circumstances the balance of prejudice favours KKS because it has suffered presumed as well as actual prejudice and there is no evidence to show any prejudice to the plaintiff. Finally, KKS argues it would not be just to deprive it of its Limitation Act defence by adding it as a defendant.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application is allowed and the plaintiff is at liberty to add King Kubota Services Ltd. as a defendant. Costs will be in the cause.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Lapse of time is no bar to adding a defendant as a party to a claim on the original action, for R 15(5)(a)(iii) specifically provides for such an event. Master Patterson made reference to this in his reasons in Yablonski v. Cranbrook (City), </w:t>
      </w:r>
      <w:hyperlink r:id="rId673" w:history="1">
        <w:r>
          <w:rPr>
            <w:rFonts w:ascii="arial" w:eastAsia="arial" w:hAnsi="arial" w:cs="arial"/>
            <w:i/>
            <w:color w:val="0077CC"/>
            <w:sz w:val="20"/>
            <w:u w:val="single"/>
            <w:shd w:val="clear" w:color="auto" w:fill="FFFFFF"/>
            <w:lang w:val="en-US" w:eastAsia="en-US" w:bidi="ar-SA"/>
          </w:rPr>
          <w:t>[2002] B.C.J. No. 1084</w:t>
        </w:r>
      </w:hyperlink>
      <w:r>
        <w:rPr>
          <w:rFonts w:ascii="arial" w:eastAsia="arial" w:hAnsi="arial" w:cs="arial"/>
          <w:color w:val="000000"/>
          <w:sz w:val="20"/>
          <w:lang w:val="en-US" w:eastAsia="en-US" w:bidi="ar-SA"/>
        </w:rPr>
        <w:t>. A Chambers judge has a discretion to allow an amendment, subject of course to a careful consideration of the evidence adduced explaining the delay and the guidelines provided by other authorities. Delay, and the reasons for the delay are relevant considerations and the Chambers judge should consider any explanation put forward "[b]ut no one factor should be accorded overriding importance, in the absence of clear evidentiary basis for doing so", per Finch J.A in Teal Cedar Products, supra, at 9145. Later, at 9167 Finch J.A. states: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the exercise of a judge's discretion, the length of the delay, the reasons for the delay and the expiry of the limitation period are all factors to be considered, but none of those factors should be considered in isolation. Regard must also be had for the presence or absence of prejudice, and the extent of the connection, if any, between the existing claims and the proposed new cause of action. Nor do I think that a plaintiff's explanation for delay must necessarily exculpate him from all "fault" or "culpability" before a court may exercise its discretion in his favour.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his concurring reasons, agreed with by Finch J.A., McEachern C.J.B.C. was of the opinion that whether adding new parties or new causes of action, the most important considerations, not necessarily following in order, are the length of the delay, prejudice to the respondents, and the overriding question of what is just and convenient.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my view, the delay is not inordinate, the expiration of the limitation period notwithstanding, and there is some explanation for the delay. The affidavit material from the proposed defendant indicates there is still an ability to obtain full information and any prejudice caused by delay is minimal. If the application is not allowed then the plaintiff will be denied her ability to claim against a potential tort feasor. Accordingly, I conclude that justice requires the addition of KKS as a defendant and the application is allowed. Costs will be in the cause.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WARREN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Huang v. Silvercorp Metals Inc., [2016] B.C.J. No. 1336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 Warren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16,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24,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S146424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1336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1168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Kun Huang, Plaintiff, and Silvercorp Metals Inc., Defendant, and Jon Richard Carnes, One Horizon Foundation, EOS Holdings LLC (Nevada LLC31246-2004), EOS Holdings LLC (Nevada E0542782012-5) and EOS Holdings LLC (Dominica),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2"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8" w:name="Keywords_35"/>
      <w:bookmarkEnd w:id="238"/>
      <w:r>
        <w:rPr>
          <w:rFonts w:ascii="arial" w:eastAsia="arial" w:hAnsi="arial" w:cs="arial"/>
          <w:b/>
          <w:color w:val="000000"/>
          <w:sz w:val="20"/>
          <w:lang w:val="en-US" w:eastAsia="en-US" w:bidi="ar-SA"/>
        </w:rPr>
        <w:t>Civil litigation — Civil procedure — Jury trials — Right to jury — Application by Silvercorp Metals Inc. ("Silvercorp") for order that trial of action proceed by judge alone dismissed — Huang commenced action for damages for false imprisonment and defamation — It was impossible to grant order sought by Silvercorp without contravening Rule 12-6(5) because, on plain reading, Rule did not permit application to be brought in cases of defamation, false imprisonment or malicious prosecution — Complexities were not such that it could not be fairly tried by jury — Supreme Court Civil Rules, Rule 12-6(5).</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9" w:name="Case Summary_32"/>
            <w:bookmarkEnd w:id="23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Silvercorp Metals Inc. ("Silvercorp") for an order that the trial of the action proceed by judge alone. Huang commenced an action for damages for false imprisonment and defamation. He alleged that Silvercorp orchestrated his detention and incarceration in China in retaliation for his involvement in the online publication of reports critical of Silvercorp and its Chinese subsidiary. Those reports had been referred to by the parties as the "Alfred Little Reports". He also alleged that Silvercorp defamed him by claiming he had profited by taking short positions in Silvercorp's stock and then publishing false and deceptive statements about Silvercorp in the Alfred Little Reports in order to drive down the price of the stock. Huang filed a jury notice. Silvercorp contended that a judge alone trial was necessary to ensure trial fairness because the case was too complex, both factually and legally, for a jury to decide. Huang submitted that in a defamation case, the plaintiff had an absolute right to a jury trial and that the inherent jurisdiction of the court to ensure trial fairness could not be invoked to deny him that right.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0" w:name="Holdings of Court_30"/>
            <w:bookmarkEnd w:id="240"/>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scope of the phrase "issues ... of an intricate or complex character" in Rule 12-6(5) extended to legal issues and the interrelationship between the legal issues and the factual issues. There was nothing in the language of the Rule itself that indicated any limitation in the nature of the issues that could be found to give rise to intricacy or complexity justifying an order striking a jury notice. It would be impossible to grant the order sought by Silvercorp without contravening Rule 12-6(5) because, on a plain reading, the Rule did not permit the application to be brought in cases of defamation, false imprisonment or malicious prosecution. Even if the Court had the jurisdiction to order that the trial of the action proceed by judge alone, it would not be appropriate to exercise it because the complexities were not such that it could not be fairly tried by a jury.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1" w:name="Legislation Cited_28"/>
      <w:bookmarkEnd w:id="24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3"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12-6</w:t>
      </w:r>
      <w:r>
        <w:rPr>
          <w:rFonts w:ascii="arial" w:eastAsia="arial" w:hAnsi="arial" w:cs="arial"/>
          <w:color w:val="000000"/>
          <w:sz w:val="20"/>
          <w:lang w:val="en-US" w:eastAsia="en-US" w:bidi="ar-SA"/>
        </w:rPr>
        <w:t>(5)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2" w:name="Counsel_35"/>
      <w:bookmarkEnd w:id="24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4"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Howard A. Mickelson, Q.C., Lorne M.A. Kotler.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Tom A. Hakemi, Nathan J. Muirhead.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Third Parties: No one appearing.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3" w:name="Judgment_35"/>
      <w:bookmarkEnd w:id="243"/>
      <w:r>
        <w:pict>
          <v:line id="_x0000_s1205" style="position:absolute;z-index:2518487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4" w:name="L.A. WARREN J."/>
            <w:bookmarkEnd w:id="244"/>
            <w:r>
              <w:rPr>
                <w:rFonts w:ascii="arial" w:eastAsia="arial" w:hAnsi="arial" w:cs="arial"/>
                <w:b/>
                <w:color w:val="000000"/>
                <w:sz w:val="30"/>
                <w:lang w:val="en-US" w:eastAsia="en-US" w:bidi="ar-SA"/>
              </w:rPr>
              <w:t>L.A. WARREN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Silvercorp Metals Inc. ("Silvercorp"), applies for an order that the trial of this action proceed by judge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action, the plaintiff, Mr. Huang, seeks damages for false imprisonment and defamation. He alleges that Silvercorp orchestrated his detention and incarceration in China in retaliation for his involvement in the online publication of reports critical of Silvercorp and its Chinese subsidiary. Those reports have been referred to by the parties as the "Alfred Little Reports". He also alleges that Silvercorp defamed him by claiming he had profited by taking short positions in Silvercorp's stock and then publishing false and deceptive statements about Silvercorp in the Alfred Little Reports in order to drive down the price of the stock.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Huang filed a jury notice on August 24, 2015. The action is scheduled to be tried before a jury for 40 days commencing in late January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Under Rule 12-6(5)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except in cases of defamation, false imprisonment and malicious prosecution, a party on whom a jury notice has been served may apply for an order that the trial be heard without a jury on certain specified grounds. Rule 12-6(5) reads, in its material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Except in cases of defamation, false imprisonment and malicious prosecution, a party on whom a notice under subrule (3) has been served may apply</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7 days after service for an order that the trial or part of it be heard by the court without a jury on the ground that</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require prolonged examination of documents or accounts or a scientific or local investigation that cannot be made conveniently with a jury,</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are of an intricate or complex character, or</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extra time and cost involved in requiring that the trial be heard by the court with a jury would be disproportionate to the amount involved in the action, or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 already noted, this is a case of defamation and false imprisonment; two of the three kinds of cases that are expressly excluded from the ambit of Rule 12-6(5). As a result, the defendant does not rely on Rule 12-6(5) but rather invokes the inherent jurisdiction of the court to ensure trial fairness. The defendant contends that a judge alone trial is necessary to ensure trial fairness because this case is too complex, both factually and legally, for a jury to decide.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Huang opposes the application. He says that a plaintiff in a defamation case has an absolute right to a jury trial and that the inherent jurisdiction of the court to ensure trial fairness cannot be invoked to deny him that right, at least not where the alleged unfairness is said to arise from one of the express grounds upon which a jury notice may be struck under Rule 12-6(5). He also says that, in any event, the case is not too complex for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Silvercorp is a Vancouver-based public company with mining interests in China. Indirectly, it owns a majority interest in Henan Found Mining Co. Ltd. ("Henan"). The minority interest is owned by the Chinese government. Henan operates a mine close to the city of Luoyang, which is located in Henan province in central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Huang is a Canadian citizen. He was employed as a researcher by EOS Holdings, a hedge fund controlled by John Carnes, who is or was a resident of British Columbia. EOS and Mr. Carnes have been named by Silvercorp as third parties in the action. They took no position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Carnes and EOS apparently took short positions in companies that Mr. Carnes thought had exaggerated their value. Silvercorp was one of these. Mr. Carnes and EOS did research on the companies and published reports under the assumed name Alfred Little, on a website bearing the same name, that were critical of the companies in question. In the course of his employment with EOS, Mr. Huang performed research on Silvercorp in China and contributed to Alfred Little Reports published in September 2011 that were critical of Silvercorp.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Following publication of those Alfred Little Reports, the price of Silvercorp's shares fell significantly. Silvercorp took several measures in response. On September 22, 2011, it filed a defamation action against Alfred Little in the state of New York. That claim was ultimately dismissed in August 2012 on the basis that the statements complained of were protected opinions that are not actionable under New York law. It is alleged that Silvercorp also made complaints to various securities regulators and law enforcement agencies claiming that the Alfred Little Reports contained inaccurate and misleading information intended to depress the price of Silvercorp's stock as part of an illegal short-selling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Huang alleges that Silvercorp identified those behind the Alfred Little Reports and then published defamatory statements concerning him and others associated with the Reports. He also alleges that Silvercorp has a significant influence on certain Chinese officials including the Luoyang police, referred to as the Public Security Bureau ("PSB"), and that Silvercorp used that influence to enlist the PSB as Silvercorp's agent to falsely imprison him and to knowingly bring baseless criminal charges against him in China. The false imprisonment aspect of the claim is predicated on the assertion that Silvercorp was controlling the PSB, both directly and indirectly, out of its head office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December 28, 2011, Mr. Huang was detained by airport authorities in Beijing as he was trying to leave China. He alleges that his passport had been flagged by the PSB at the direction of Silvercorp. He was placed into the custody of the PSB three days later and driven to Luoyang where he was confined by the Luoyang police for a further three weeks. He says he was then placed under house arrest for about six months, from January 2012 to July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July 2012, the </w:t>
      </w:r>
      <w:r>
        <w:rPr>
          <w:rFonts w:ascii="arial" w:eastAsia="arial" w:hAnsi="arial" w:cs="arial"/>
          <w:i/>
          <w:color w:val="000000"/>
          <w:sz w:val="20"/>
          <w:lang w:val="en-US" w:eastAsia="en-US" w:bidi="ar-SA"/>
        </w:rPr>
        <w:t>New York Times</w:t>
      </w:r>
      <w:r>
        <w:rPr>
          <w:rFonts w:ascii="arial" w:eastAsia="arial" w:hAnsi="arial" w:cs="arial"/>
          <w:color w:val="000000"/>
          <w:sz w:val="20"/>
          <w:lang w:val="en-US" w:eastAsia="en-US" w:bidi="ar-SA"/>
        </w:rPr>
        <w:t xml:space="preserve"> published an article in which Mr. Carnes criticized Silvercorp's response to the Alfred Little Reports. Mr. Huang alleges that in retaliation for that article, Silvercorp caused Mr. Huang to be removed from house arrest and placed into the Luoyang jail where he remained for approximately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June 2013, after he had been held in custody in the Luoyang jail for nearly a year, Mr. Huang was charged with the crimes of harming the business credibility and product reputation of Henan and the illegal use of wiretapping and undisclosed photographic devices. He alleges that the charges were brought by the PSB at the direction of Silvercorp. His trial was conducted on September 10, 2013. In February 2014, he was convicted by the Chinese trial court and sentenced to two years in prison, a fine, and deportation from China. He had been in custody continuously since July 2012 and was given credit for time served with the result that he was scheduled for release in July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Huang appealed his conviction on several grounds, including that the PSB received financial assistance from Henan and therefore the evidence against him was illegally obtained and ought to be excluded. The Chinese appellate court apparently found no proof that the PSB received financial assistance from Henan and upheld the conviction. The decision of the appellate court was released on June 15, 2014. Mr. Huang was released from custody in July 2014, having served his sentence, and was deported. He returned to Canada on July 18, 2014 and commenced this action on August 19,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Huang alleges that the investigation, prosecution and conviction in China were tainted by Silvercorp's conduct and that the Chinese legal proceedings were unfair.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issues arising on the application are:</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inherent jurisdiction of the court to ensure trial fairness empowers a judge to strike a jury notice in a case of defamation and false imprisonment on grounds of complexity;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whether the court should exercise that jurisdiction and order that the trial proceed by judge alone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Inherent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Yates v. Lee</w:t>
      </w:r>
      <w:r>
        <w:rPr>
          <w:rFonts w:ascii="arial" w:eastAsia="arial" w:hAnsi="arial" w:cs="arial"/>
          <w:color w:val="000000"/>
          <w:sz w:val="20"/>
          <w:lang w:val="en-US" w:eastAsia="en-US" w:bidi="ar-SA"/>
        </w:rPr>
        <w:t xml:space="preserve">, </w:t>
      </w:r>
      <w:hyperlink r:id="rId681" w:history="1">
        <w:r>
          <w:rPr>
            <w:rFonts w:ascii="arial" w:eastAsia="arial" w:hAnsi="arial" w:cs="arial"/>
            <w:i/>
            <w:color w:val="0077CC"/>
            <w:sz w:val="20"/>
            <w:u w:val="single"/>
            <w:shd w:val="clear" w:color="auto" w:fill="FFFFFF"/>
            <w:lang w:val="en-US" w:eastAsia="en-US" w:bidi="ar-SA"/>
          </w:rPr>
          <w:t>2014 BCSC 1298</w:t>
        </w:r>
      </w:hyperlink>
      <w:r>
        <w:rPr>
          <w:rFonts w:ascii="arial" w:eastAsia="arial" w:hAnsi="arial" w:cs="arial"/>
          <w:color w:val="000000"/>
          <w:sz w:val="20"/>
          <w:lang w:val="en-US" w:eastAsia="en-US" w:bidi="ar-SA"/>
        </w:rPr>
        <w:t xml:space="preserve">, Justice Pearlman summarized the nature and limits of this Court's inherent jurisdiction in the context of an application to strike a jury notice, in that case for alleged juror partiality which is a ground unrelated to those enumerated in Rule 12-6(5). Pearlman J. held that "the remedial jurisdiction to ensure trial fairness does not endow a chambers judge with an inherent power to set aside a jury notice for juror partiality" (para. 37), and that the </w:t>
      </w:r>
      <w:r>
        <w:rPr>
          <w:rFonts w:ascii="arial" w:eastAsia="arial" w:hAnsi="arial" w:cs="arial"/>
          <w:i/>
          <w:color w:val="000000"/>
          <w:sz w:val="20"/>
          <w:lang w:val="en-US" w:eastAsia="en-US" w:bidi="ar-SA"/>
        </w:rPr>
        <w:t>Jury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242</w:t>
      </w:r>
      <w:r>
        <w:rPr>
          <w:rFonts w:ascii="arial" w:eastAsia="arial" w:hAnsi="arial" w:cs="arial"/>
          <w:color w:val="000000"/>
          <w:sz w:val="20"/>
          <w:lang w:val="en-US" w:eastAsia="en-US" w:bidi="ar-SA"/>
        </w:rPr>
        <w:t xml:space="preserve">, provides the statutory framework for challenging partiality (para. 41). The fundamental principle that emerges from Justice Pearlman's analysis is that the court's inherent jurisdiction, including its inherent jurisdiction to ensure trial fairness, may be ousted by statute. (See also </w:t>
      </w:r>
      <w:r>
        <w:rPr>
          <w:rFonts w:ascii="arial" w:eastAsia="arial" w:hAnsi="arial" w:cs="arial"/>
          <w:i/>
          <w:color w:val="000000"/>
          <w:sz w:val="20"/>
          <w:lang w:val="en-US" w:eastAsia="en-US" w:bidi="ar-SA"/>
        </w:rPr>
        <w:t>Nathanson, Schachter &amp; Thompson LLP v. Boss Power Corp.</w:t>
      </w:r>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2016 BCCA 1</w:t>
        </w:r>
      </w:hyperlink>
      <w:r>
        <w:rPr>
          <w:rFonts w:ascii="arial" w:eastAsia="arial" w:hAnsi="arial" w:cs="arial"/>
          <w:color w:val="000000"/>
          <w:sz w:val="20"/>
          <w:lang w:val="en-US" w:eastAsia="en-US" w:bidi="ar-SA"/>
        </w:rPr>
        <w:t>, 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This principle underlies the Supreme Court of Canada's conclusion in </w:t>
      </w:r>
      <w:r>
        <w:rPr>
          <w:rFonts w:ascii="arial" w:eastAsia="arial" w:hAnsi="arial" w:cs="arial"/>
          <w:i/>
          <w:color w:val="000000"/>
          <w:sz w:val="20"/>
          <w:lang w:val="en-US" w:eastAsia="en-US" w:bidi="ar-SA"/>
        </w:rPr>
        <w:t>Conseil scolaire francophone de la Colombie-Britannique v. British Columbia</w:t>
      </w:r>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2013 SCC 42</w:t>
        </w:r>
      </w:hyperlink>
      <w:r>
        <w:rPr>
          <w:rFonts w:ascii="arial" w:eastAsia="arial" w:hAnsi="arial" w:cs="arial"/>
          <w:color w:val="000000"/>
          <w:sz w:val="20"/>
          <w:lang w:val="en-US" w:eastAsia="en-US" w:bidi="ar-SA"/>
        </w:rPr>
        <w:t xml:space="preserve">, that any inherent jurisdiction to admit documents into evidence in a language other than English was ousted by Rule 22-3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which requires all documents to be in English unless the nature of the document renders this impracticable. As stated by Justice Wagner for the majority in </w:t>
      </w:r>
      <w:r>
        <w:rPr>
          <w:rFonts w:ascii="arial" w:eastAsia="arial" w:hAnsi="arial" w:cs="arial"/>
          <w:i/>
          <w:color w:val="000000"/>
          <w:sz w:val="20"/>
          <w:lang w:val="en-US" w:eastAsia="en-US" w:bidi="ar-SA"/>
        </w:rPr>
        <w:t>Conseil scolaire francophone</w:t>
      </w:r>
      <w:r>
        <w:rPr>
          <w:rFonts w:ascii="arial" w:eastAsia="arial" w:hAnsi="arial" w:cs="arial"/>
          <w:color w:val="000000"/>
          <w:sz w:val="20"/>
          <w:lang w:val="en-US" w:eastAsia="en-US" w:bidi="ar-SA"/>
        </w:rPr>
        <w:t xml:space="preserve">, this Court's inherent jurisdiction and discretion to fulfill its judicial function "is subject to the requirement that the court exercise them without contravening any statutory provision" (para. 63). In the same case, at para. 50, Justice Wagner confirmed that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have the force of statute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almost goes without saying that this Court has the inherent jurisdiction to ensure trial fairness. What must be determined is whether that inherent jurisdiction could be exercised to grant an order that the trial in this action proceed by judge alone without contravening Rule 12-6(5). In my view, that depends on whether the basis for the application is one of the expressly enumerated grounds set out in the Rule because the Rule clearly prohibits the bringing of the application on one or more of those grounds in a defamation and false imprisonment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mentioned above, Silvercorp's application is predicated on the assertion that a judge alone trial is necessary to ensure trial fairness because this case is too complex, both factually and legally, for a jury to decide. In other words, complexity is the only asserted source of unfairness.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terms of factual complexity, Silvercorp says that the case will involve a large volume of documents, and that it is expected to involve complex expert evidence about the substantive and procedural laws of a foreign legal system, including its police investigation procedures; the mineral resource disclosure obligations of a public company; the financial disclosure obligations of a public company under securities law, regulations, and exchange rules of multiple jurisdictions; the valuation of a large publicly traded company; and the operations and prospects of a silver mine in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terms of legal complexity, Silvercorp says that there are two legal issues that are highly interconnected with and dependent on the facts such that it will be difficult, if not impossible, to charge the jury on the application of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First, it will be necessary to determine whether British Columbia law applies to the false imprisonment claim. There is no tort of false imprisonment in China and, accordingly, if Chinese law applies the false imprisonment claim will fail. As a general rule, the substantive law to be applied to a tort claim is the law of the place where the activity occurred (the </w:t>
      </w:r>
      <w:r>
        <w:rPr>
          <w:rFonts w:ascii="arial" w:eastAsia="arial" w:hAnsi="arial" w:cs="arial"/>
          <w:i/>
          <w:color w:val="000000"/>
          <w:sz w:val="20"/>
          <w:lang w:val="en-US" w:eastAsia="en-US" w:bidi="ar-SA"/>
        </w:rPr>
        <w:t>lex loci delicti)</w:t>
      </w:r>
      <w:r>
        <w:rPr>
          <w:rFonts w:ascii="arial" w:eastAsia="arial" w:hAnsi="arial" w:cs="arial"/>
          <w:color w:val="000000"/>
          <w:sz w:val="20"/>
          <w:lang w:val="en-US" w:eastAsia="en-US" w:bidi="ar-SA"/>
        </w:rPr>
        <w:t xml:space="preserve">; although the Supreme Court of Canada may have left open the possibility for carefully defined exceptions: </w:t>
      </w:r>
      <w:r>
        <w:rPr>
          <w:rFonts w:ascii="arial" w:eastAsia="arial" w:hAnsi="arial" w:cs="arial"/>
          <w:i/>
          <w:color w:val="000000"/>
          <w:sz w:val="20"/>
          <w:lang w:val="en-US" w:eastAsia="en-US" w:bidi="ar-SA"/>
        </w:rPr>
        <w:t>Tolofson v. Jensen</w:t>
      </w:r>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[1994] 3 S.C.R. 1022</w:t>
        </w:r>
      </w:hyperlink>
      <w:r>
        <w:rPr>
          <w:rFonts w:ascii="arial" w:eastAsia="arial" w:hAnsi="arial" w:cs="arial"/>
          <w:color w:val="000000"/>
          <w:sz w:val="20"/>
          <w:lang w:val="en-US" w:eastAsia="en-US" w:bidi="ar-SA"/>
        </w:rPr>
        <w:t xml:space="preserve">. Silvercorp says that neither the Supreme Court of Canada nor the British Columbia Court of Appeal have considered whether any exception to the </w:t>
      </w:r>
      <w:r>
        <w:rPr>
          <w:rFonts w:ascii="arial" w:eastAsia="arial" w:hAnsi="arial" w:cs="arial"/>
          <w:i/>
          <w:color w:val="000000"/>
          <w:sz w:val="20"/>
          <w:lang w:val="en-US" w:eastAsia="en-US" w:bidi="ar-SA"/>
        </w:rPr>
        <w:t>lex loci delicti</w:t>
      </w:r>
      <w:r>
        <w:rPr>
          <w:rFonts w:ascii="arial" w:eastAsia="arial" w:hAnsi="arial" w:cs="arial"/>
          <w:color w:val="000000"/>
          <w:sz w:val="20"/>
          <w:lang w:val="en-US" w:eastAsia="en-US" w:bidi="ar-SA"/>
        </w:rPr>
        <w:t xml:space="preserve"> rule does in fact exist and, if so, the parameters by which it is to be defined. Silvercorp says that determining where the activity occurred (given Silvercorp's conduct in British Columbia is alleged to have resulted in harm to Mr. Huang in China), and if it occurred in China whether an exception exists such that the law of British Columbia nevertheless applies will require a careful consideration of all factual circumstances. Silvercorp says that a jury could not be fairly instructed on the question of whether British Columbia law applies because the answer to that question will depend upon the view the jury takes of a myriad of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Second, Silvercorp says the false imprisonment claim will result in the re-litigation of issues decided in the Chinese criminal proceedings and, as such, it is an abuse of process of the sort contemplated by the Supreme Court of Canada in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Silvercorp acknowledges that in </w:t>
      </w:r>
      <w:r>
        <w:rPr>
          <w:rFonts w:ascii="arial" w:eastAsia="arial" w:hAnsi="arial" w:cs="arial"/>
          <w:i/>
          <w:color w:val="000000"/>
          <w:sz w:val="20"/>
          <w:lang w:val="en-US" w:eastAsia="en-US" w:bidi="ar-SA"/>
        </w:rPr>
        <w:t>C.U.P.E</w:t>
      </w:r>
      <w:r>
        <w:rPr>
          <w:rFonts w:ascii="arial" w:eastAsia="arial" w:hAnsi="arial" w:cs="arial"/>
          <w:color w:val="000000"/>
          <w:sz w:val="20"/>
          <w:lang w:val="en-US" w:eastAsia="en-US" w:bidi="ar-SA"/>
        </w:rPr>
        <w:t xml:space="preserve"> the Court emphasized that the abuse of process doctrine ought not to be applied where it would operate in an unfair or unjust way and that there may be instances where re-litigation will enhance rather than impeach the integrity of the justice system. This might be the case when the first proceeding was tainted by fraud or dishonesty, when new evidence impeaches the original results, or when fairness dictates that the original results should not be binding in a new context. Silvercorp submits that, as with the choice of law question, determining whether the abuse of process doctrine ought to be applied to preclude the re-litigation of facts determined by the Chinese courts will require careful consideration of a myriad of factors making it difficult if not impossible to charge the jury on its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Again, Rule 12-6(5) provides that "[e]xcept in cases of defamation, false imprisonment and malicious prosecution a party on whom a [jury] notice ... has been served may apply ... for an order that the trial ... be heard by the court without a jury on the ground that ... the issues are of an intricate or complex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Court of Appeal has characterized Rule 12-6(5) (formerly Rule 39(27)) as providing a plaintiff in a defamation case with the "absolute right to trial with a jury ... no matter how complicated the issues": </w:t>
      </w:r>
      <w:r>
        <w:rPr>
          <w:rFonts w:ascii="arial" w:eastAsia="arial" w:hAnsi="arial" w:cs="arial"/>
          <w:i/>
          <w:color w:val="000000"/>
          <w:sz w:val="20"/>
          <w:lang w:val="en-US" w:eastAsia="en-US" w:bidi="ar-SA"/>
        </w:rPr>
        <w:t>Pierre v. Pacific Press Ltd.</w:t>
      </w:r>
      <w:r>
        <w:rPr>
          <w:rFonts w:ascii="arial" w:eastAsia="arial" w:hAnsi="arial" w:cs="arial"/>
          <w:color w:val="000000"/>
          <w:sz w:val="20"/>
          <w:lang w:val="en-US" w:eastAsia="en-US" w:bidi="ar-SA"/>
        </w:rPr>
        <w:t xml:space="preserve">, </w:t>
      </w:r>
      <w:hyperlink r:id="rId684" w:history="1">
        <w:r>
          <w:rPr>
            <w:rFonts w:ascii="arial" w:eastAsia="arial" w:hAnsi="arial" w:cs="arial"/>
            <w:i/>
            <w:color w:val="0077CC"/>
            <w:sz w:val="20"/>
            <w:u w:val="single"/>
            <w:shd w:val="clear" w:color="auto" w:fill="FFFFFF"/>
            <w:lang w:val="en-US" w:eastAsia="en-US" w:bidi="ar-SA"/>
          </w:rPr>
          <w:t>[1994] B.C.J. No. 583</w:t>
        </w:r>
      </w:hyperlink>
      <w:r>
        <w:rPr>
          <w:rFonts w:ascii="arial" w:eastAsia="arial" w:hAnsi="arial" w:cs="arial"/>
          <w:color w:val="000000"/>
          <w:sz w:val="20"/>
          <w:lang w:val="en-US" w:eastAsia="en-US" w:bidi="ar-SA"/>
        </w:rPr>
        <w:t xml:space="preserve"> at para. 9. (See also </w:t>
      </w:r>
      <w:r>
        <w:rPr>
          <w:rFonts w:ascii="arial" w:eastAsia="arial" w:hAnsi="arial" w:cs="arial"/>
          <w:i/>
          <w:color w:val="000000"/>
          <w:sz w:val="20"/>
          <w:lang w:val="en-US" w:eastAsia="en-US" w:bidi="ar-SA"/>
        </w:rPr>
        <w:t>Lawson v. Baines</w:t>
      </w:r>
      <w:r>
        <w:rPr>
          <w:rFonts w:ascii="arial" w:eastAsia="arial" w:hAnsi="arial" w:cs="arial"/>
          <w:color w:val="000000"/>
          <w:sz w:val="20"/>
          <w:lang w:val="en-US" w:eastAsia="en-US" w:bidi="ar-SA"/>
        </w:rPr>
        <w:t xml:space="preserve">, </w:t>
      </w:r>
      <w:hyperlink r:id="rId685" w:history="1">
        <w:r>
          <w:rPr>
            <w:rFonts w:ascii="arial" w:eastAsia="arial" w:hAnsi="arial" w:cs="arial"/>
            <w:i/>
            <w:color w:val="0077CC"/>
            <w:sz w:val="20"/>
            <w:u w:val="single"/>
            <w:shd w:val="clear" w:color="auto" w:fill="FFFFFF"/>
            <w:lang w:val="en-US" w:eastAsia="en-US" w:bidi="ar-SA"/>
          </w:rPr>
          <w:t>2012 BCCA 117</w:t>
        </w:r>
      </w:hyperlink>
      <w:r>
        <w:rPr>
          <w:rFonts w:ascii="arial" w:eastAsia="arial" w:hAnsi="arial" w:cs="arial"/>
          <w:color w:val="000000"/>
          <w:sz w:val="20"/>
          <w:lang w:val="en-US" w:eastAsia="en-US" w:bidi="ar-SA"/>
        </w:rPr>
        <w:t xml:space="preserve"> at para. 51.) In an earlier ruling in this case (indexed at </w:t>
      </w:r>
      <w:hyperlink r:id="rId686" w:history="1">
        <w:r>
          <w:rPr>
            <w:rFonts w:ascii="arial" w:eastAsia="arial" w:hAnsi="arial" w:cs="arial"/>
            <w:i/>
            <w:color w:val="0077CC"/>
            <w:sz w:val="20"/>
            <w:u w:val="single"/>
            <w:shd w:val="clear" w:color="auto" w:fill="FFFFFF"/>
            <w:lang w:val="en-US" w:eastAsia="en-US" w:bidi="ar-SA"/>
          </w:rPr>
          <w:t>2016 BCSC 1052</w:t>
        </w:r>
      </w:hyperlink>
      <w:r>
        <w:rPr>
          <w:rFonts w:ascii="arial" w:eastAsia="arial" w:hAnsi="arial" w:cs="arial"/>
          <w:color w:val="000000"/>
          <w:sz w:val="20"/>
          <w:lang w:val="en-US" w:eastAsia="en-US" w:bidi="ar-SA"/>
        </w:rPr>
        <w:t>) in which I denied Silvercorp an adjournment of this application, I concluded, on the basis of these authorities, that factual complexity will not deprive the plaintiff in a defamation case of a jury trial. I left open the question of whether the same is true of legal complexity.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question is whether the scope of the phrase "issues ... of an intricate or complex character" in Rule 12-6(5) extends to legal issues and the interrelationship between the legal issues and the factual issues. Having now heard the substantive application and having reflected on the matter further, in my view it clearly does.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is nothing in the language of the Rule itself that indicates any limitation in the nature of the issues that could be found to give rise to intricacy or complexity justifying an order striking a jury notice. Further, the authorities suggest there is no such limitation.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Pierre</w:t>
      </w:r>
      <w:r>
        <w:rPr>
          <w:rFonts w:ascii="arial" w:eastAsia="arial" w:hAnsi="arial" w:cs="arial"/>
          <w:color w:val="000000"/>
          <w:sz w:val="20"/>
          <w:lang w:val="en-US" w:eastAsia="en-US" w:bidi="ar-SA"/>
        </w:rPr>
        <w:t xml:space="preserve"> (which was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the issue was whether the jury notice should be struck on the ground that the legal issues were complex. While the majority of the court concluded that the legal issues were not "of a sort with which the trial judge would be unable to deal properly in the course of a jury trial", there was no suggestion that the complexity ground in the Rule could only be invoked in cases of factual complexity.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Rados v. Pannu</w:t>
      </w:r>
      <w:r>
        <w:rPr>
          <w:rFonts w:ascii="arial" w:eastAsia="arial" w:hAnsi="arial" w:cs="arial"/>
          <w:color w:val="000000"/>
          <w:sz w:val="20"/>
          <w:lang w:val="en-US" w:eastAsia="en-US" w:bidi="ar-SA"/>
        </w:rPr>
        <w:t xml:space="preserve">, </w:t>
      </w:r>
      <w:hyperlink r:id="rId687" w:history="1">
        <w:r>
          <w:rPr>
            <w:rFonts w:ascii="arial" w:eastAsia="arial" w:hAnsi="arial" w:cs="arial"/>
            <w:i/>
            <w:color w:val="0077CC"/>
            <w:sz w:val="20"/>
            <w:u w:val="single"/>
            <w:shd w:val="clear" w:color="auto" w:fill="FFFFFF"/>
            <w:lang w:val="en-US" w:eastAsia="en-US" w:bidi="ar-SA"/>
          </w:rPr>
          <w:t>2015 BCSC 453</w:t>
        </w:r>
      </w:hyperlink>
      <w:r>
        <w:rPr>
          <w:rFonts w:ascii="arial" w:eastAsia="arial" w:hAnsi="arial" w:cs="arial"/>
          <w:color w:val="000000"/>
          <w:sz w:val="20"/>
          <w:lang w:val="en-US" w:eastAsia="en-US" w:bidi="ar-SA"/>
        </w:rPr>
        <w:t xml:space="preserve">; aff'd </w:t>
      </w:r>
      <w:hyperlink r:id="rId688" w:history="1">
        <w:r>
          <w:rPr>
            <w:rFonts w:ascii="arial" w:eastAsia="arial" w:hAnsi="arial" w:cs="arial"/>
            <w:i/>
            <w:color w:val="0077CC"/>
            <w:sz w:val="20"/>
            <w:u w:val="single"/>
            <w:shd w:val="clear" w:color="auto" w:fill="FFFFFF"/>
            <w:lang w:val="en-US" w:eastAsia="en-US" w:bidi="ar-SA"/>
          </w:rPr>
          <w:t>2015 BCCA 459</w:t>
        </w:r>
      </w:hyperlink>
      <w:r>
        <w:rPr>
          <w:rFonts w:ascii="arial" w:eastAsia="arial" w:hAnsi="arial" w:cs="arial"/>
          <w:color w:val="000000"/>
          <w:sz w:val="20"/>
          <w:lang w:val="en-US" w:eastAsia="en-US" w:bidi="ar-SA"/>
        </w:rPr>
        <w:t>, Justice Fitch (then of this Court) observed, at para. 34, that issues may be found to be intricate or complex if the judge would have difficulty forming questions for the jury, and that the interplay between issues can make them intricate or complex in nature. Ultimately, in determining whether to exercise the discretion to strike a jury notice on grounds of complexity, the question is whether the "complexities of the case are such that the matter cannot fairly be tried with a jury" (para.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This is precisely the sort of legal complexity Silvercorp relies on in support of its claim that fairness requires a judge alone trial in this case. Again, the legal complexity that Silvercorp asserts arises from the interplay between the factual and legal issues, which Silvercorp says will make it very difficult to charge the jury. Thus, the foundation for Silvercorp's application falls squarely within the "intricate or complex" ground expressly set out in Rule 12-6(5)(a)(ii). In the circumstances, it would be impossible to grant the order sought by Silvercorp without contravening Rule 12-6(5) because, on a plain reading, the Rule does not permit the application to be brought in cases of defamation, false imprisonment or malicious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It is not necessary, on this application, to answer the broader question of whether, given the existence of Rule 12-6(5), there remains any scope at all for the exercise of the court's inherent jurisdiction to order a judge alone trial in a case of defamation, false imprisonment or malicious prosecution. The only question is whether there remains any scope for the exercise of that jurisdiction in a case of defamation, false imprisonment or malicious prosecution on the ground of factual or legal complexity. I have concluded that no scope remains because granting such an order would contravene Rule 12-6(5), which clearly provides that a jury notice may not be struck on that ground in cases of defamation, false imprisonment or malicious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does not follow, however, that the parties must simply accept that some measure of unfairness is inherent in intricate or complex defamation, false imprisonment or malicious prosecution cases that are tried by juries. Rule 12-6(5) reflects a legislative assessment that whatever difficulties may arise in a jury trial of a defamation, false imprisonment or malicious prosecution case as a result of the intricacy or complexity of the issues are outweighed, as a matter of fairness, by the importance of permitting parties in such cases to demand a jury trial as a means of ensuring that the ultimate decision reflects community standards.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the case too complex?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Even if I had the jurisdiction to order that the trial of this action proceed by judge alone I would decline to exercise it because I am not persuaded that the complexities are such that it cannot be fairly tried by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accept that the jury in this case will be faced with somewhat complicated expert evidence and that there may be a large volume of documents, particularly in regard to the truth of the Alfred Little Reports. However, I am not persuaded that evidence concerning the laws of a foreign legal system; the disclosure obligations of a public company; the valuation of a public company; or the operations and prospects of a silver mine in China is likely to be so extensive or complex as to exceed a jury's capacity to arrive at a just and proper determination. I am not persuaded that these matters are materially more complex than those faced by juries in personal injury actions, who are often required to determine the nature and cause of a plaintiff's injuries from competing and sometimes complex expert medical evidence, and consider a variety of scenarios including hypotheticals and competing contingencies in analyzing a plaintiff's claim for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also accept that the determination of whether certain legal principles apply may depend on a variety of factual issues and their interrelation, and that this will complicate the task of crafting an appropriate instruction to the jury. However, the number of factual findings that could be relevant to the choice of law issue and the application of the abuse of process doctrine will, as always, be limited by the evidence. In other words, at the end of the evidentiary phase of the trial counsel will be in a position to make submissions concerning the factual findings that could be made, on the evidence, and to assist the court in crafting a charge that will appropriately instruct the jury on the law applicable to a variety of alternative factual scenarios. While this might result in some reasonable time lag between the end of the evidentiary phase of the trial and the charging of the jury, I am not persuaded that it will give rise to unfairness.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Silvercorp's application for an order that the trial of this proceeding be heard by a judge without a jury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 WARREN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6" style="position:absolute;z-index:251892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9"/>
          <w:headerReference w:type="default" r:id="rId690"/>
          <w:footerReference w:type="even" r:id="rId691"/>
          <w:footerReference w:type="default" r:id="rId692"/>
          <w:headerReference w:type="first" r:id="rId693"/>
          <w:footerReference w:type="first" r:id="rId69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95" w:history="1">
        <w:r>
          <w:rPr>
            <w:rFonts w:ascii="arial" w:eastAsia="arial" w:hAnsi="arial" w:cs="arial"/>
            <w:b/>
            <w:bCs/>
            <w:i/>
            <w:color w:val="0077CC"/>
            <w:kern w:val="32"/>
            <w:sz w:val="28"/>
            <w:szCs w:val="32"/>
            <w:u w:val="single"/>
            <w:shd w:val="clear" w:color="auto" w:fill="FFFFFF"/>
            <w:lang w:val="en-US" w:eastAsia="en-US" w:bidi="ar-SA"/>
          </w:rPr>
          <w:t>Hunter West Consulting Group Inc. v. 0748697 B.C. Ltd., [2017] B.C.J. No. 2582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Brown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28,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15,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S32312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2582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2326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Hunter West Consulting Group Inc. and Jasbinder Singh Gill also known as Jesse Gill, Plaintiffs, and 0748697 B.C. Ltd., 0748702 B.C. Ltd. and Pinnacle Acquisitions Ltd., DBS Holdings Inc., 3181979 Canada Ltd. (previously known as International Herbs Ltd.), 0759198 B.C. Ltd., Cascade Creek Development Corporation, Rick Brar also known as Ricky Brar, Gurjit Sangha, and Swean Kaur Sangha,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7"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5" w:name="Keywords_36"/>
      <w:bookmarkEnd w:id="245"/>
      <w:r>
        <w:rPr>
          <w:rFonts w:ascii="arial" w:eastAsia="arial" w:hAnsi="arial" w:cs="arial"/>
          <w:b/>
          <w:color w:val="000000"/>
          <w:sz w:val="20"/>
          <w:lang w:val="en-US" w:eastAsia="en-US" w:bidi="ar-SA"/>
        </w:rPr>
        <w:t>Civil Litigation — Civil procedure — Parties — Adding or substituting — Necessary or proper — Pleadings — Amendment of — To raise additional issues — Application by plaintiffs to add defendants to action and amend pleadings allowed — Plaintiffs commenced action against defendants for oppression, breach of trust and conversion — Plaintiffs claimed defendants failed to provide share of profits of corporation and that proposed defendants received funds held in trust for plaintiffs — Allegations and facts related to proposed defendants were clearly relevant to plaintiffs' oppression and breach of trust claims against existing defendants — Business Corporations Act, ss. 227, 324(1)(b) — Supreme Court Civil Rules, Rule 6-2(7).</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6" w:name="Case Summary_33"/>
            <w:bookmarkEnd w:id="24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to add defendants to the action and amend the pleadings. The plaintiffs owned 33.3 per cent of the shares of Pinnacle Acquisitions Ltd. (Pinnacle). Pinnacle owned a 50 per cent interest in a development company known as Cascade Creek Development Corporation (Cascade). The plaintiffs commenced an action for oppression, claiming that they were not paid their share of money owed by Cascade to Pinnacle. The plaintiffs alleged fraud, breach of trust and conversion by the defendants. The plaintiffs alleged that the proposed defendants received funds from the defendants that were subject to a trust in favour of the plaintiffs.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7" w:name="Holdings of Court_31"/>
            <w:bookmarkEnd w:id="247"/>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addition of the proposed parties may be necessary to determine issues or questions raised by the pleadings. The allegations and facts related to the proposed defendants were clearly relevant to the plaintiffs' oppression and breach of trust claims being brought against the existing defendants. The proposed defendants in all likelihood would have to testify in the trial against the existing defendants in any event. For clarity's sake, the plaintiffs' pleadings needed to be recast and set out in two parts, the oppression and breach of trust claims, and the independent but related claims against the proposed defendants.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8" w:name="Legislation Cited_29"/>
      <w:bookmarkEnd w:id="24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8"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Business Corporations Act, </w:t>
      </w:r>
      <w:hyperlink r:id="rId43" w:history="1">
        <w:r>
          <w:rPr>
            <w:rFonts w:ascii="arial" w:eastAsia="arial" w:hAnsi="arial" w:cs="arial"/>
            <w:i/>
            <w:color w:val="0077CC"/>
            <w:sz w:val="20"/>
            <w:u w:val="single"/>
            <w:shd w:val="clear" w:color="auto" w:fill="FFFFFF"/>
            <w:lang w:val="en-US" w:eastAsia="en-US" w:bidi="ar-SA"/>
          </w:rPr>
          <w:t>S.B.C. 2002, c. 57, s. 227</w:t>
        </w:r>
      </w:hyperlink>
      <w:r>
        <w:rPr>
          <w:rFonts w:ascii="arial" w:eastAsia="arial" w:hAnsi="arial" w:cs="arial"/>
          <w:color w:val="000000"/>
          <w:sz w:val="20"/>
          <w:lang w:val="en-US" w:eastAsia="en-US" w:bidi="ar-SA"/>
        </w:rPr>
        <w:t>, s. 228, s. 324, s. 324(1)(b)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B.C. Reg. 168/2009, Rule 6-2(7)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9" w:name="Counsel_36"/>
      <w:bookmarkEnd w:id="24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9"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I.C. Moes.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Proposed Defendants, Anita Atwal and Mandeep Atwal: P.F. Lewis.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Proposed Defendants, Davinder Sidhu aka Dave Sidhu and 0753021 B.C. Ltd.: D.J. Conolly.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0" w:name="Judgment_36"/>
      <w:bookmarkEnd w:id="250"/>
      <w:r>
        <w:pict>
          <v:line id="_x0000_s1210" style="position:absolute;z-index:2518497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1" w:name="N. BROWN J._0"/>
            <w:bookmarkEnd w:id="251"/>
            <w:r>
              <w:rPr>
                <w:rFonts w:ascii="arial" w:eastAsia="arial" w:hAnsi="arial" w:cs="arial"/>
                <w:b/>
                <w:color w:val="000000"/>
                <w:sz w:val="30"/>
                <w:lang w:val="en-US" w:eastAsia="en-US" w:bidi="ar-SA"/>
              </w:rPr>
              <w:t>N. BROWN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have applied to add the following as defendants in the action and to amend the pleadings accordingly, pursuant to Rule 6-2(7)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B.C. Reg. 168/2009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Anita Atwal;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Mandeep Atwal;</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Amar Jahoul;</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Raman Gill;</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Davinder Sidhu also known as Dave Sidhu;</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0753021 B.C. Ltd.; and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Dhaliwal &amp; Associates Inc. dba Dhaliwal Consulting &amp; Associates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PROCEDURAL AND HOUSEKEEPING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parties currently on record take no position on the application. Everyone was served, with the exception of Amar Jahoul. Not all of the proposed defendants were present for the application. Only four of the proposed defendants were present and/or represented by counsel. Counsel for the plaintiffs advised that he had difficulty serving Mr. Jahoul; accordingly, the matter involving him was adjourned generally, counsel anticipating he would be bringing an application at a later date for substitutional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a further housekeeping matter, counsel for the plaintiffs confirmed that based on an agreement with counsel for numbered company 1059571 B.C. Ltd., he would not be proceeding against that party and was adjourning that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did not receive any response from Raman Gill.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Counsel for the plaintiffs provided the court with a summary of the history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Procedural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Some of the most significant procedural history to date is as follows:</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1, 2012, a petition was filed by Hunter West Consulting Group Inc. in the Chilliwack Registry, File No. S23972, for appointment of a "Receiver" manager "without security, of all the assets, undertakings and properties of Pinnacle Acquisitions Ltd. ... including all proceeds thereof (the "Property")";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21, 2012, Rick Brar, owner and controller of 0748697 B.C. Ltd., filed a response to the petition. Pinnacle Acquisitions Ltd. and 0748702 B.C. Ltd. did not file one;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April 30, 2014, the plaintiff Hunter West Consulting Group Inc. commenced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lawsuit against former counsel;</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November 14, 2014, a Notice of Appointment or Change of Lawyer was filed by the plaintiff Hunter West Consulting Group Inc.;</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4, 2015, a Notice of Application returnable March 23, 2015 was filed asking for leave to add parties and amend the petition; and to seek production of third party documents from TD Bank, Coast Capital Savings Credit Union, and Richard Ledding Law Corporation;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18, 2015, the matter was adjourned by requisition to April 13, 2015. On April 13, 2015, Master Tokarek adjourned the portion of the relief sought before him to add parties and amend the petition, and granted production of third party documents;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production of financial and conveyancing documents and an expert report prepared by Ms. Parveen Sidhu, CPA, CA, CFE, on December 2, 2015, the matter was reset for January 25, 2016; and</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25, 2016, Justice Grist heard the chambers application; and on June 17, 2016, Grist J. heard the petitioner's application to add parties and amend their petition which had originally been filed on February 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para. 1 of his decision (</w:t>
      </w:r>
      <w:r>
        <w:rPr>
          <w:rFonts w:ascii="arial" w:eastAsia="arial" w:hAnsi="arial" w:cs="arial"/>
          <w:i/>
          <w:color w:val="000000"/>
          <w:sz w:val="20"/>
          <w:lang w:val="en-US" w:eastAsia="en-US" w:bidi="ar-SA"/>
        </w:rPr>
        <w:t>Hunter West Consulting Group Inc. v. 0748697 B.C. Ltd.</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2016 BCSC 1126</w:t>
        </w:r>
      </w:hyperlink>
      <w:r>
        <w:rPr>
          <w:rFonts w:ascii="arial" w:eastAsia="arial" w:hAnsi="arial" w:cs="arial"/>
          <w:color w:val="000000"/>
          <w:sz w:val="20"/>
          <w:lang w:val="en-US" w:eastAsia="en-US" w:bidi="ar-SA"/>
        </w:rPr>
        <w:t xml:space="preserve">) Grist J. stated, "[t]he petition in its present form present[ed] a case for liquidation and dissolution of the respondent company, Pinnacle Acquisitions Ltd. ("Pinnacle"), under s. 324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 xml:space="preserve"> and remedies for oppressive conduct under s. 227 of the same statute."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para. 2 of his reasons, Grist J. characterized the case before him as one "[focussed] on dispersal of monies generated by a real estate development company, Cascade Creek Development Corporation ("Cascade")." That characterization of the case is still applicable; although depending on the results of this application, it will entail additional characteristics.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paras. 3 and 4 of his reasons, Grist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The relationship between the principals involved in the development and their respective corporate vehicles is as follows:</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Pinnacle was formed to receive funds generated from a 50% interest it held in the real estate development company, Cascade;</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of the respondent numbered companies: 0748697 B.C. Ltd. ("697"), and 0748702 B.C. Ltd. ("702"); and the Petitioner, Hunter West Consulting Group Inc. ("Hunter"), holds a one-third interest in Pinnacle.</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Hunter is owned or controlled by the proposed petitioner Jasbinder Singh Gill.</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697 is owned or controlled by the proposed respondent Rick Brar.</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702 is owned or controlled by the proposed respondent Phil Bain.</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other 50% of the shareholding in Cascade is held by a third numbered company 0759198 B.C. Ltd. ("198"), a company owned or controlled by Gurjit Sangha.</w:t>
      </w:r>
    </w:p>
    <w:p>
      <w:pPr>
        <w:numPr>
          <w:numId w:val="2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directorship of Cascade consisted of Brar and Sangha; Brar on behalf of Pinnacle and Sangha on behalf of his own company, 198.</w:t>
      </w:r>
    </w:p>
    <w:p>
      <w:pPr>
        <w:numPr>
          <w:numId w:val="2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Pinnacle was a company formed to disperse or direct payment from Cascade, of one-half of the profits generated by Cascade as a result of the real estate development, to be received in equal amounts by the three shareholder companies, or their nominees.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The petitioner says that Brar and Sangha, through Pinnacle or Cascade on Pinnacle's behalf, or Cascade on its own behalf,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w:t>
      </w:r>
    </w:p>
    <w:p>
      <w:pPr>
        <w:numPr>
          <w:numId w:val="2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paid monies to persons or entities having no legitimate claim to the amounts paid out, and;</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account for the profits generated and pay Hunter its share of the Cascade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Grist J. further explained at para. 7 that "[t]he addition of parties include[d] Mr. Gill, the principal of Hunter, as Petitioner; and a number of persons and entities who the Petitioner said participated in wrongdoings and are necessary to advance remedies by way of equitable tracing." He granted leave to add DSB Holdings Ltd., Rick Brar, 0759198 Ltd., Gurjit Sangha, Swean Kaur Sangha, and that the petition be amended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Grist J. concluded at paras. 11 and 12 of his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With the joinder of Mr. Gill, this claim alleges that he and his corporate entity, Hunter, entered into the corporate arrangement with the reasonable expectation of participating in a one-third interest in the profits Pinnacle was to receive from its interest in the project. This, says the Petitioners, was frustrated by the wrongful actions of Brar and Sangha. The company, Pinnacle, was created for the sole purpose of managing the distribution of profits among the three shareholders and Brar's function was to represent Pinnacle's interests as a director in Cascade. The Petitioners' minority position puts them at risk if they are not able to exercise an oppression remedy; and at this stage on the facts plead, the alleged failure to account for the proceeds of the development, diversion of funds, and failure to pay Pinnacle its share, presents a case of wrongs done to Hunter and its sole shareholder, Gill, incompatible with their reasonable expectations for fair dealing and equal sharing.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I find the Petition, on the amended pleadings, to be a viable action under the statute; and in the context of the case, find that the proposed additional parties may be necessary to determine questions or issues raised by these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Continuing now with the procedural history:</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24, 2016, an amended petition was filed by the plaintiffs (in Chilliwack Registry File no. S23972);</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28, 2016, the defendants 0759198 B.C. Ltd., Gurjit Sangha, and Swean Kaur Sangha filed a petition response;</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September 9, 2016, Rick Brar, 0748697 B.C. Ltd., and DBS Holdings Inc. filed a response (in the S23972 proceeding);</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12, 2017, a Requisition for a Consent Order Without Notice for conversion of the Petition to an action was filed (in S23972);</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3, 2017, a Notice of Civil Claim was filed by the plaintiffs in this action (Chilliwack Registry File no. S32312);</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20, 2017, the defendants Gurjit Sangha, Swean Kaur Sangha and 0759198 B.C. Ltd. filed a Response to Civil Claim (in S32312);</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11, 2017, the plaintiffs filed a Notice of Application in this action returnable June 5, 2017, seeking leave to add the parties within, and Amend the Notice of Civil Claim; and</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Requisition dated August 1, 2017 filed by the plaintiffs had the hearing rescheduled for August 28, 2017, at which time it was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NATURE OF THE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following background facts are derived from the Statement of Facts set out in the plaintiffs' Amended Notice of Civil Claim. Although not essential to disposition of this application, the factual assertions in the Amended Notice of Civil Claim are supported by the fifth affidavit of Jasbinder (aka Jesse) Gill, sworn March 2, 2015:</w:t>
      </w:r>
      <w:r>
        <w:rPr>
          <w:rFonts w:ascii="arial" w:eastAsia="arial" w:hAnsi="arial" w:cs="arial"/>
          <w:sz w:val="20"/>
          <w:lang w:val="en-US" w:eastAsia="en-US" w:bidi="ar-SA"/>
        </w:rPr>
        <w:cr/>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Pinnacle Acquisitions Ltd. ("Pinnacle") is a holding company. It owns a 50% interest in a development company known as Cascade Creek Development Corporation ("Cascade"). Gurjit Sangha, who owns 0759198 B.C. Ltd. [the Sangha Company], owns the remaining 50% of Cascade.</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and the defendant 0748697 B.C. Ltd. (the "Brar Company"), and the defendant 0748702 B.C. Ltd., owned by Phil Bain (the "Bain Company"), each hold 33.3% of the shares in Pinnacle.</w:t>
      </w:r>
    </w:p>
    <w:p>
      <w:pPr>
        <w:numPr>
          <w:numId w:val="3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corporate structure of Pinnacle and Cascade was on the advice of Richard Ledding Law Corporation ("Ledding"), legal counsel for Pinnacle and Cascade.</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that Gill, Bain, and Brar retained Ledding's services to form Pinnacle so they could do business together as partners, and that Ledding advised them to hold their Pinnacle shares through their holding companies: Hunter West, the Bain Company, and the Brar Company.</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claim, however, that irrespective of the corporate structure, the plaintiffs, Bain and Brar expressly contemplated and agreed monies for the project payable by Cascade to Pinnacle would be directed to each of Gill, Bain and Brar where they directed the money to be paid, provided it was always distributed in equal proportions. Further, the plaintiffs claim that so long as the aggregate distributions were always equal and </w:t>
      </w:r>
      <w:r>
        <w:rPr>
          <w:rFonts w:ascii="arial" w:eastAsia="arial" w:hAnsi="arial" w:cs="arial"/>
          <w:i/>
          <w:color w:val="000000"/>
          <w:sz w:val="20"/>
          <w:lang w:val="en-US" w:eastAsia="en-US" w:bidi="ar-SA"/>
        </w:rPr>
        <w:t>pro rata</w:t>
      </w:r>
      <w:r>
        <w:rPr>
          <w:rFonts w:ascii="arial" w:eastAsia="arial" w:hAnsi="arial" w:cs="arial"/>
          <w:color w:val="000000"/>
          <w:sz w:val="20"/>
          <w:lang w:val="en-US" w:eastAsia="en-US" w:bidi="ar-SA"/>
        </w:rPr>
        <w:t xml:space="preserve"> to the respective shareholdings in Pinnacle, the monies could be left in their holding companies, paid to themselves personally, their wives, or any other business or company they might have. [Amended Notice of Application, para. 26.]</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approximately January 2006 through December 2012, Cascade was developing a residential and commercial property located at 192nd Street and 72nd Avenue, in Surrey, B.C. (the "Development").</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Bain, Brar, and Gill agreed Hunter West, the Brar Company and the Bain Company would each receive one-third of the profit Cascade paid to Pinnacle.</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maintain that in about June 2006, TD Commercial Banking's ("TD")'s Developers Program projected a profit of $1,813,000 for the Development. Accordingly, the plaintiffs maintain that based on Pinnacle's 50% interest in Cascade, Pinnacle's share of the profit would be $906,500. The plaintiffs say that based on Hunter West's 33.3% interest in Pinnacle, Hunter West's share of the profit should have been $302,166.67. The plaintiffs say they have received significantly less profit from the Development than had been projected.</w:t>
      </w:r>
    </w:p>
    <w:p>
      <w:pPr>
        <w:numPr>
          <w:numId w:val="4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that TD facilitated credit of $7 million. To obtain financing necessary for the Development, Gill and his wife Sharanjit Gill provided personal guarantees to TD. Gill claims that in exchange for him and his wife having provided the personal guarantee for a 24-month period, Bain, Brar and Gill agreed Hunter West would receive one-third of Pinnacle's profit and that if the Development took longer than 24 months, Hunter West would receive one-third of the initial start-up capital of Pinnacle.</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Gill maintains that the business plan for Cascade was to develop portions of the Development for resale at a profit and that the proceeds of sale, net of expenses incurred in developing, constructing and selling, were to be split 50/50 between Pinnacle and the Sangha Company, or other nominees as directed by the principles, Gill, Brar, Bain, and Sangha from time to time.</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para. 30 of the Amended Notice of Civil Claim, the plaintiffs described how the funds flowed through to Brar and Sangha:</w:t>
      </w:r>
    </w:p>
    <w:p>
      <w:pPr>
        <w:numPr>
          <w:numId w:val="4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Pinnacle did not have its own bank account, all monies would flow through the trust account of Cascade's solicitor, Ledding, and/or the operating accounts of Cascade at Coast Capital Savings Credit Union (</w:t>
      </w:r>
      <w:r>
        <w:rPr>
          <w:rFonts w:ascii="arial" w:eastAsia="arial" w:hAnsi="arial" w:cs="arial"/>
          <w:b/>
          <w:color w:val="000000"/>
          <w:sz w:val="20"/>
          <w:lang w:val="en-US" w:eastAsia="en-US" w:bidi="ar-SA"/>
        </w:rPr>
        <w:t>"Coast Capital"</w:t>
      </w:r>
      <w:r>
        <w:rPr>
          <w:rFonts w:ascii="arial" w:eastAsia="arial" w:hAnsi="arial" w:cs="arial"/>
          <w:color w:val="000000"/>
          <w:sz w:val="20"/>
          <w:lang w:val="en-US" w:eastAsia="en-US" w:bidi="ar-SA"/>
        </w:rPr>
        <w:t>) and/or TD. At all material times, the signing authorities on the Coast Capital and TD operating accounts were Brar and Sangha. By virtue of this structure, Cascade held certain sums in trust for Pinnacle, and therefore also held certain sums in trust for Pinnacle's shareholders, as further set out herein. On many occasions, Cascade made payments directly to Pinnacle's shareholders, or other nominees, as directed by Gill, Bain and Brar.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submit that due to the corporate structure, money flowing through was impressed with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 related to oppressive and/or prejudicial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para. 31 of the Amended Notice of Civil Claim, the plaintiffs itemized their reasonable expectations and the trust reposed in the defendants Brar and Sangha:</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would be consulted on and receive financial information regarding Pinnacle, Cascade, and the Development throughout the Development, notwithstanding the fact that Gill was not a director of Pinnacle or Cascade;</w:t>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Brar and Sangha would manage Pinnacle and Cascade in a way that conformed with their fiduciary and/or statutory duties and not negligently or in material conflict;</w:t>
      </w:r>
    </w:p>
    <w:p>
      <w:pPr>
        <w:numPr>
          <w:numId w:val="4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Brar and Sangha would manage Pinnacle and Cascade in a way that conformed with the Trust (as hereinafter defined) and not negligently or in material conflict;</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Brar and Sangha would maintain basic records and not co-mingle funds with anyone other than Cascade; and</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would be treated equally and share in the profits of the Development according to their ownership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para. 32 of the Amended Notice of Civil Claim, the plaintiffs claim that "[a]s Cascade sold portions of the Development, Gill on behalf of Hunter West, began inquiring of Bain and Brar as to how much Hunter West could expect to receive of the proceeds of sale. The Plaintiffs estimate[d] that the Development generated sale proceeds of approximately $11,500,000.00."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claim at para. 33 that "[n]otwithstanding such reasonable requests, Brar and Sangha [were] conducting, and have conducted, the affairs of Pinnacle and Cascade in a manner that is fraudulent, oppressive and/or unfairly prejudicial to the Plaintiffs as shareholders and/or beneficial owners of the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para. 34, the plaintiffs set out the particulars of the alleged fraudulent, oppressive and/or unfairly prejudicial conduct. Counsel for Anita and Mandeep Atwal criticized the tentativeness, the lack of particularity of the part wording in para. 34(b) of the proposed Amended Notice of Civil Claim - just after the plaintiff's listing in that paragraph of the identities of various persons and entities who allegedly received illegitimate trust-charged expenditures and payments - "which do not appear to legitimately relate to Pinnacle, Cascade, or the Development". Counsel for the plaintiffs responded that he would make it clearer and that discovery of documents had not yet been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Further at para. 34 of the Amended Notice of Civil Claim, the plaintiffs set out the particulars of the fraud and oppressive and/or unfairly prejudicial conduct, which included but were not limited to the following:</w:t>
      </w:r>
      <w:r>
        <w:rPr>
          <w:rFonts w:ascii="arial" w:eastAsia="arial" w:hAnsi="arial" w:cs="arial"/>
          <w:sz w:val="20"/>
          <w:lang w:val="en-US" w:eastAsia="en-US" w:bidi="ar-SA"/>
        </w:rPr>
        <w:cr/>
      </w:r>
    </w:p>
    <w:p>
      <w:pPr>
        <w:numPr>
          <w:numId w:val="5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[N]ot consult[ing] with the report[ing] adequately to Hunter West or Gill on matters related to Pinnacle, Cascade and the Development;</w:t>
      </w:r>
    </w:p>
    <w:p>
      <w:pPr>
        <w:numPr>
          <w:numId w:val="5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Pinnacle, or Cascade on Pinnacle's behalf, or Cascade on its own behalf, [making] a number of expenditures and payments to various persons and entities [omitted, listed in the para.] which do not appear to legitimately relate to Pinnacle, Cascade, or the Development [I understand the tentative language was not intended as final];</w:t>
      </w:r>
    </w:p>
    <w:p>
      <w:pPr>
        <w:numPr>
          <w:numId w:val="5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Brar Company and Bain Company ostensibly incur[ring] a number of liabilities and/or expenses purportedly on behalf of Pinnacle, but without the valid authority to do so;</w:t>
      </w:r>
    </w:p>
    <w:p>
      <w:pPr>
        <w:numPr>
          <w:numId w:val="5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Cascade transferring 19289 72A Avenue, Surrey, British Columbia to Swean for no consideration or below market value;</w:t>
      </w:r>
    </w:p>
    <w:p>
      <w:pPr>
        <w:numPr>
          <w:numId w:val="5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[Not producing] audited and/or review engagement financial statements ... for Pinnacle or Cascade contrary to sections 198(2)(a) and 199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and the reasonable expectations of the Plaintiffs;</w:t>
      </w:r>
    </w:p>
    <w:p>
      <w:pPr>
        <w:numPr>
          <w:numId w:val="5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[Issuing] false financial statements ... in relation to Pinnacle and Cascade for various points in time in 2010 and 2011;</w:t>
      </w:r>
    </w:p>
    <w:p>
      <w:pPr>
        <w:numPr>
          <w:numId w:val="5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fiduciary duties and self-dealing as further set out herein;</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trust as further set out herein;</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[Failing] to produce source documents for expenses related to the Development ... to verify the amount each Shareholder was to receive from Pinnacle's share of the monies owed by Cascade as further set out herein;</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Concealing the fact ... the Development was profitable;</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pay Hunter West its pro rata share of the Development profits; and</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pay Hunter West 1/3 of the initial startup capital of Pinnacle.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para. 35, the plaintiffs particularized the illegitimate aforesaid expenditures, one of them a transfer from Cascade to Brar, in the amount of $250,000. The alleged illegitimate payments and expenditures total roughly $1.5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Claims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para. 36 of the proposed Amended Notice of Civil Claim, the plaintiffs claim that as Brar and Sangha concealed their actions, full particulars of the acts of fraud and conversion Iie within their personal knowledge, unavailable now, so will have to be provided as discovered.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para. 37, the plaintiffs alleged that the 2010 financial statement for Cascade prepared by I.S. Dhaliwal &amp; Associates Inc. on a notice to reader basis (i.e. with no assurance given on ?nancial statements they prepared) shows "expenditures claimed or liabilities incurred by Pinnacle, or by the Brar Company, and/or by the Bain Company on behalf of Pinnacle, ... unrelated to Cascade or to the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para. 38, the plaintiffs further claim that "a summary of Pinnacle's assets and liabilities dated April 25, 2011, [along with] a balance sheet ... and a profit and loss statement ... dated April 27, 2011" show Pinnacle suffered "a purported loss ... of $362,386.03."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plaintiffs allege at para. 39 that Brar and Bain "through cheques and transfers to themselves personally or to their various companies or nominees, have received more money and benefits from Pinnacle than [has] Hunter West, or its nominees."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para. 41, the plaintiffs allege "Sangha and Brar have refused or neglected to provide the Plaintiffs with information concerning financial statements and other financial information to which the Plaintiffs [say they] are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para. 42, the plaintiffs allege they "have retained legal title to and property in all [the] funds ... misappropriated from them as a result of the [alleged] [f]raudulent, [o]ppressive and/or [u]nfairly [p]rejudicial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plaintiffs further allege at para. 43 that "Sangha and Brar have converted the Funds for their own personal benefit, for the benefit of Swean, and/or the benefit of others, particulars of which will be provided as they are discovered.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At paras. 44 to 55, the plaintiffs fully set out the alleged nature of the breach of fiduciary duties and self-dealing engaged in arising from Brar's and Sangha's positions as directors and officers of Pinnacle and Cascade. Also alleged are various conflicts of interest, for example, concerning conflicts, Brar's conflict of interest in his "DSB Holdings and International Herbs". Likewise, at para. 52, the plaintiffs allege that Sangha's transfer of an interest in certain lands and premises was a material transaction, Sangha not having disclosed that certain of his property, rights, or interests in the "Sangha Lands" transaction materially conflicted with his duties as a director and officer of Cascade.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At para. 54(a) and (b) the plaintiffs allege:</w:t>
      </w:r>
      <w:r>
        <w:rPr>
          <w:rFonts w:ascii="arial" w:eastAsia="arial" w:hAnsi="arial" w:cs="arial"/>
          <w:sz w:val="20"/>
          <w:lang w:val="en-US" w:eastAsia="en-US" w:bidi="ar-SA"/>
        </w:rPr>
        <w:cr/>
      </w:r>
    </w:p>
    <w:p>
      <w:pPr>
        <w:numPr>
          <w:numId w:val="6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each caused and permitted Cascade and/or Pinnacle to divert monies to certain of the other Defendants, including DSB Holdings, International Herbs, the Brar Company, the Bain Company, and/or third parties which diversion was wholly and completely unsupportable as a legitimate director-decision; and</w:t>
      </w:r>
    </w:p>
    <w:p>
      <w:pPr>
        <w:numPr>
          <w:numId w:val="6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were reckless and/or willfully blind to the duties they each had in respect of the fact that they were the directing minds of companies in the development business with [respect to their] statutory duties to the shareholders and stakeholders of their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Accordingly, at para. 55, the plaintiffs allege that "[b]y reason of the breach of fiduciary and/or statutory trust duties owed to the Plaintiffs, [they] have suffered loss and damage ... distinct from a loss to Pinnacle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paras. 56 to 66, the plaintiffs set out further particulars of alleged breaches of trust, including Brar having knowingly used monies from the Trust to purchase or increase his equity in certain lands and premises with a civic address of 4151 - 184th Street, Surrey, British Columbia (New Westminster District Plan 3124).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paras. 64 to 66, the plaintiffs allege Sangha knowingly used monies from the Trust to purchase or increase his and/or his wife's equity in lands and premises at civic address 19289 72A Avenue, Surrey, British Columbia (New Westminster District Plan BCP31567); Swean being the registered owner of the said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At paras. 67 to 70, the plaintiffs set out alleged facts related to the "knowing receipt" by other persons of illegitimate expenditures. The plaintiffs allege expenditures received by each of seven individuals "were wrongfully taken from monies subject to the Trust in favour of the Plaintiffs." I note para. 67 is somewhat deficient (as the defendants asserted) as it does not state that the parties identified were not entitled to receive the money. But I find that is implicit in the following para. which states:</w:t>
      </w:r>
      <w:r>
        <w:rPr>
          <w:rFonts w:ascii="arial" w:eastAsia="arial" w:hAnsi="arial" w:cs="arial"/>
          <w:sz w:val="20"/>
          <w:lang w:val="en-US" w:eastAsia="en-US" w:bidi="ar-SA"/>
        </w:rPr>
        <w:cr/>
      </w:r>
    </w:p>
    <w:p>
      <w:pPr>
        <w:numPr>
          <w:numId w:val="6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Anita, Mandeep, Amar, Raman, Dhaliwal, Dave, and the Sidhu Company, and each of them, received the said trust funds for their own use and benefit, not as bona fide purchasers for value, and with actual notice that the Expenditures were being paid in breach of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At para. 69, the plaintiffs alternatively allege that the foregoing "received the said trust funds for their own use and benefit in circumstances such as to reasonably put them on inquiry as to the source of the Expenditures and their entitlement to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defendants submit that the aforesaid claims do not set out material facts relied on. It is not essential at this juncture for the plaintiffs to set out all facts on which they rely at this stage as examinations for discovery and discovery of documents have not yet been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paras. 77 to 78, the plaintiffs sufficiently set out the foundation for their claim for breach of constructive trust by the defendants and their entitlement to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Defendants' Breach of agreement to provide documentation to Accountant retained by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At para. 80 of the proposed Amended Notice of Civil Claim, Gill deposed that to resolve the disputes, the shareholders entered into a so-called letter agreement (i.e. set out in a letter) dated June 21, 2011, and that in it they agreed "to engage MNP LLP (the "Accountant") to provide services related to the reconstruction of the project cash-flows for Cascade and Pinnacle from original source documentation to verify amounts received and disbursed from Cascade, and to promptly provide all documents requested by the Accountant including the source documents of Cascade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Gill deposed that he, Brar, and Cascade Creek executed the joint retainer agreement. But on November 8, 2011, "the Accountant reported that the banking and other information and records it [had] requested were missing from the records provided by Cascade Creek." The plaintiffs say (at para. 87), that the accountant cannot complete the analysis without them and that "the Defendants ... breached the Letter Agreement by failing to provide the missing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relief sought in the Amended Notice of Civil Claim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 2: RELIEF SOUGHT</w:t>
      </w:r>
    </w:p>
    <w:p>
      <w:pPr>
        <w:numPr>
          <w:numId w:val="6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are persons entitled to relief pursuant to sections 227 and 324(1)(b) of the </w:t>
      </w:r>
      <w:r>
        <w:rPr>
          <w:rFonts w:ascii="arial" w:eastAsia="arial" w:hAnsi="arial" w:cs="arial"/>
          <w:i/>
          <w:color w:val="000000"/>
          <w:sz w:val="20"/>
          <w:lang w:val="en-US" w:eastAsia="en-US" w:bidi="ar-SA"/>
        </w:rPr>
        <w:t>Business Corporations Ac</w:t>
      </w:r>
      <w:r>
        <w:rPr>
          <w:rFonts w:ascii="arial" w:eastAsia="arial" w:hAnsi="arial" w:cs="arial"/>
          <w:color w:val="000000"/>
          <w:sz w:val="20"/>
          <w:lang w:val="en-US" w:eastAsia="en-US" w:bidi="ar-SA"/>
        </w:rPr>
        <w:t xml:space="preserve">t,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and claim against the Defendants as follows:</w:t>
      </w:r>
    </w:p>
    <w:p>
      <w:pPr>
        <w:numPr>
          <w:numId w:val="6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Defendants Brar and Sangha have conducted the affairs of Pinnacle and Cascade in a manner that is fraudulent, oppressive and/or unfairly prejudicial;</w:t>
      </w:r>
    </w:p>
    <w:p>
      <w:pPr>
        <w:numPr>
          <w:numId w:val="6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requiring Pinnacle and Cascade to provide the Plaintiffs with audited financial statements for Pinnacle and Cascade for the fiscal years in-between 2006 and 2014 (the "</w:t>
      </w:r>
      <w:r>
        <w:rPr>
          <w:rFonts w:ascii="arial" w:eastAsia="arial" w:hAnsi="arial" w:cs="arial"/>
          <w:b/>
          <w:color w:val="000000"/>
          <w:sz w:val="20"/>
          <w:lang w:val="en-US" w:eastAsia="en-US" w:bidi="ar-SA"/>
        </w:rPr>
        <w:t>Financial Statements</w:t>
      </w:r>
      <w:r>
        <w:rPr>
          <w:rFonts w:ascii="arial" w:eastAsia="arial" w:hAnsi="arial" w:cs="arial"/>
          <w:color w:val="000000"/>
          <w:sz w:val="20"/>
          <w:lang w:val="en-US" w:eastAsia="en-US" w:bidi="ar-SA"/>
        </w:rPr>
        <w:t>");</w:t>
      </w:r>
    </w:p>
    <w:p>
      <w:pPr>
        <w:numPr>
          <w:numId w:val="7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investigation pursuant to Division 3 of Part 8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w:t>
      </w:r>
    </w:p>
    <w:p>
      <w:pPr>
        <w:numPr>
          <w:numId w:val="71"/>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Defendants were unjustly enriched by their profitable wrongdoings, that the Plaintiffs were deprived of monies they should have received and that there was no juristic reason for the [defendants'] enrichment;</w:t>
      </w:r>
    </w:p>
    <w:p>
      <w:pPr>
        <w:numPr>
          <w:numId w:val="7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for restitution, alternatively, disgorgement of profits for the Defendants' profitable wrongdoings and unjust enrichment;</w:t>
      </w:r>
    </w:p>
    <w:p>
      <w:pPr>
        <w:numPr>
          <w:numId w:val="7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Tracing;</w:t>
      </w:r>
    </w:p>
    <w:p>
      <w:pPr>
        <w:numPr>
          <w:numId w:val="7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Certificate of Pending Litigation registered against the Brar Lands;</w:t>
      </w:r>
    </w:p>
    <w:p>
      <w:pPr>
        <w:numPr>
          <w:numId w:val="7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Certificate of Pending Litigation registered against the Sangha Lands;</w:t>
      </w:r>
    </w:p>
    <w:p>
      <w:pPr>
        <w:numPr>
          <w:numId w:val="7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fraud;</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conversion;</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and exemplary damages;</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Plaintiffs hold title to and property in all assets purchased by the Defendants, or any of them, with any of the Funds;</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Plaintiffs are the beneficial owners of all the Funds received by the Defendants, or any of them;</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Restitution and recovery of the Plaintiffs' proportionate share of the amount of the Expenditures taken from the Trust and wrongfully distributed to each of Anita [Atwal], Mandeep [Atwal], Amar [Jahoul], Raman [Gill], [I.S.] Dhaliwal [&amp; Associates Inc.], Dave [Davinder Sidhu], and the Sidhu Company.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Also sought was an order for appointment of a receiver.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PRINCIPLES FOR ADDING PARTIES TO A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Rule 6-2(7) of the </w:t>
      </w:r>
      <w:r>
        <w:rPr>
          <w:rFonts w:ascii="arial" w:eastAsia="arial" w:hAnsi="arial" w:cs="arial"/>
          <w:i/>
          <w:color w:val="000000"/>
          <w:sz w:val="20"/>
          <w:lang w:val="en-US" w:eastAsia="en-US" w:bidi="ar-SA"/>
        </w:rPr>
        <w:t>Supreme Court Civil Rul</w:t>
      </w:r>
      <w:r>
        <w:rPr>
          <w:rFonts w:ascii="arial" w:eastAsia="arial" w:hAnsi="arial" w:cs="arial"/>
          <w:color w:val="000000"/>
          <w:sz w:val="20"/>
          <w:lang w:val="en-US" w:eastAsia="en-US" w:bidi="ar-SA"/>
        </w:rPr>
        <w:t>es provides:</w:t>
      </w:r>
      <w:r>
        <w:rPr>
          <w:rFonts w:ascii="arial" w:eastAsia="arial" w:hAnsi="arial" w:cs="arial"/>
          <w:sz w:val="20"/>
          <w:lang w:val="en-US" w:eastAsia="en-US" w:bidi="ar-SA"/>
        </w:rPr>
        <w:cr/>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 subject to subrules (9) and (10),</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cease to be party if that person is not, or has ceased to be, a proper or necessary party,</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or substituted as a party if</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ought to have been joined as a party, or</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person's participation in the proceeding is necessary to ensure that all matters in the proceeding may be effectually adjudicated on, and</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if there may exist, between the person and any party to the proceeding, a question or issue relating to or connected with</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relief claimed in the proceeding, or</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At para. 6 of his decision (referred to earlier in these reasons), Justice Grist noted the applicable principles for adding parties, citing </w:t>
      </w:r>
      <w:r>
        <w:rPr>
          <w:rFonts w:ascii="arial" w:eastAsia="arial" w:hAnsi="arial" w:cs="arial"/>
          <w:i/>
          <w:color w:val="000000"/>
          <w:sz w:val="20"/>
          <w:lang w:val="en-US" w:eastAsia="en-US" w:bidi="ar-SA"/>
        </w:rPr>
        <w:t>Meade v. Armstrong (City)</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2011 BCSC 1591</w:t>
        </w:r>
      </w:hyperlink>
      <w:r>
        <w:rPr>
          <w:rFonts w:ascii="arial" w:eastAsia="arial" w:hAnsi="arial" w:cs="arial"/>
          <w:color w:val="000000"/>
          <w:sz w:val="20"/>
          <w:lang w:val="en-US" w:eastAsia="en-US" w:bidi="ar-SA"/>
        </w:rPr>
        <w:t>,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Mr. Meade's application is brought under Rules 6-1(1) and 6-2 (7)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These rules are to be interpreted as follows:</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party should be added where that party's participation is necessary for the proper determination of the case: </w:t>
      </w:r>
      <w:r>
        <w:rPr>
          <w:rFonts w:ascii="arial" w:eastAsia="arial" w:hAnsi="arial" w:cs="arial"/>
          <w:i/>
          <w:color w:val="000000"/>
          <w:sz w:val="20"/>
          <w:lang w:val="en-US" w:eastAsia="en-US" w:bidi="ar-SA"/>
        </w:rPr>
        <w:t>Van de Perre v. Edwards</w:t>
      </w:r>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[2001] 2 S.C.R. 1014</w:t>
        </w:r>
      </w:hyperlink>
      <w:r>
        <w:rPr>
          <w:rFonts w:ascii="arial" w:eastAsia="arial" w:hAnsi="arial" w:cs="arial"/>
          <w:color w:val="000000"/>
          <w:sz w:val="20"/>
          <w:lang w:val="en-US" w:eastAsia="en-US" w:bidi="ar-SA"/>
        </w:rPr>
        <w:t xml:space="preserve"> at para. 48;</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discretion to add parties should be generously exercised so as to enable effective adjudication upon all matters: </w:t>
      </w:r>
      <w:r>
        <w:rPr>
          <w:rFonts w:ascii="arial" w:eastAsia="arial" w:hAnsi="arial" w:cs="arial"/>
          <w:i/>
          <w:color w:val="000000"/>
          <w:sz w:val="20"/>
          <w:lang w:val="en-US" w:eastAsia="en-US" w:bidi="ar-SA"/>
        </w:rPr>
        <w:t>Northern Construction Co. v. British Columbia Hydro and Power Authority</w:t>
      </w:r>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[1970] B.C.J. No. 26</w:t>
        </w:r>
      </w:hyperlink>
      <w:r>
        <w:rPr>
          <w:rFonts w:ascii="arial" w:eastAsia="arial" w:hAnsi="arial" w:cs="arial"/>
          <w:color w:val="000000"/>
          <w:sz w:val="20"/>
          <w:lang w:val="en-US" w:eastAsia="en-US" w:bidi="ar-SA"/>
        </w:rPr>
        <w:t xml:space="preserve"> at para. 14;</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exercising the discretion to add a party, the court should not concern itself as to whether the action will be successful other than to be satisfied that there may exist an issue or question between the applicant and the party being joined: </w:t>
      </w:r>
      <w:r>
        <w:rPr>
          <w:rFonts w:ascii="arial" w:eastAsia="arial" w:hAnsi="arial" w:cs="arial"/>
          <w:i/>
          <w:color w:val="000000"/>
          <w:sz w:val="20"/>
          <w:lang w:val="en-US" w:eastAsia="en-US" w:bidi="ar-SA"/>
        </w:rPr>
        <w:t>MacMillan Bloedel Ltd. v. Binstead</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[1981] B.C.J. No. 1611</w:t>
        </w:r>
      </w:hyperlink>
      <w:r>
        <w:rPr>
          <w:rFonts w:ascii="arial" w:eastAsia="arial" w:hAnsi="arial" w:cs="arial"/>
          <w:color w:val="000000"/>
          <w:sz w:val="20"/>
          <w:lang w:val="en-US" w:eastAsia="en-US" w:bidi="ar-SA"/>
        </w:rPr>
        <w:t xml:space="preserve"> at para. 12;</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Evidence is not required in support of a joinder application. The pleadings may be sufficient to establish that there is a question to be tried between the parties: </w:t>
      </w:r>
      <w:r>
        <w:rPr>
          <w:rFonts w:ascii="arial" w:eastAsia="arial" w:hAnsi="arial" w:cs="arial"/>
          <w:i/>
          <w:color w:val="000000"/>
          <w:sz w:val="20"/>
          <w:lang w:val="en-US" w:eastAsia="en-US" w:bidi="ar-SA"/>
        </w:rPr>
        <w:t>Lasik Vision Canada Inc. v. TLC Vancouver Optometric Group Inc.</w:t>
      </w:r>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[1999] B.C.J. No. 2796</w:t>
        </w:r>
      </w:hyperlink>
      <w:r>
        <w:rPr>
          <w:rFonts w:ascii="arial" w:eastAsia="arial" w:hAnsi="arial" w:cs="arial"/>
          <w:color w:val="000000"/>
          <w:sz w:val="20"/>
          <w:lang w:val="en-US" w:eastAsia="en-US" w:bidi="ar-SA"/>
        </w:rPr>
        <w:t xml:space="preserve"> at para. 15;</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an applicant relies on pleadings alone, the facts alleged, which if assumed to be true, must disclose a cause of action: </w:t>
      </w:r>
      <w:r>
        <w:rPr>
          <w:rFonts w:ascii="arial" w:eastAsia="arial" w:hAnsi="arial" w:cs="arial"/>
          <w:i/>
          <w:color w:val="000000"/>
          <w:sz w:val="20"/>
          <w:lang w:val="en-US" w:eastAsia="en-US" w:bidi="ar-SA"/>
        </w:rPr>
        <w:t>Harrington (Guardian ad litem) v. Pappachristos</w:t>
      </w:r>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[1992] B.C.J. No. 2600</w:t>
        </w:r>
      </w:hyperlink>
      <w:r>
        <w:rPr>
          <w:rFonts w:ascii="arial" w:eastAsia="arial" w:hAnsi="arial" w:cs="arial"/>
          <w:color w:val="000000"/>
          <w:sz w:val="20"/>
          <w:lang w:val="en-US" w:eastAsia="en-US" w:bidi="ar-SA"/>
        </w:rPr>
        <w:t>;</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Unless there is prejudice, amendments should be granted liberally to enable the issues to be tried: </w:t>
      </w:r>
      <w:r>
        <w:rPr>
          <w:rFonts w:ascii="arial" w:eastAsia="arial" w:hAnsi="arial" w:cs="arial"/>
          <w:i/>
          <w:color w:val="000000"/>
          <w:sz w:val="20"/>
          <w:lang w:val="en-US" w:eastAsia="en-US" w:bidi="ar-SA"/>
        </w:rPr>
        <w:t>Langret Investments S.A. v. McDonnell</w:t>
      </w:r>
      <w:r>
        <w:rPr>
          <w:rFonts w:ascii="arial" w:eastAsia="arial" w:hAnsi="arial" w:cs="arial"/>
          <w:color w:val="000000"/>
          <w:sz w:val="20"/>
          <w:lang w:val="en-US" w:eastAsia="en-US" w:bidi="ar-SA"/>
        </w:rPr>
        <w:t xml:space="preserve">, </w:t>
      </w:r>
      <w:hyperlink r:id="rId417" w:history="1">
        <w:r>
          <w:rPr>
            <w:rFonts w:ascii="arial" w:eastAsia="arial" w:hAnsi="arial" w:cs="arial"/>
            <w:i/>
            <w:color w:val="0077CC"/>
            <w:sz w:val="20"/>
            <w:u w:val="single"/>
            <w:shd w:val="clear" w:color="auto" w:fill="FFFFFF"/>
            <w:lang w:val="en-US" w:eastAsia="en-US" w:bidi="ar-SA"/>
          </w:rPr>
          <w:t>[1996] B.C.J. No. 550</w:t>
        </w:r>
      </w:hyperlink>
      <w:r>
        <w:rPr>
          <w:rFonts w:ascii="arial" w:eastAsia="arial" w:hAnsi="arial" w:cs="arial"/>
          <w:color w:val="000000"/>
          <w:sz w:val="20"/>
          <w:lang w:val="en-US" w:eastAsia="en-US" w:bidi="ar-SA"/>
        </w:rPr>
        <w:t xml:space="preserve"> at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The Owners, Strata Plan No. VIS3578 v. John A. Neilson Architects Inc.</w:t>
      </w:r>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2010 BCCA 329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The Owners</w:t>
      </w:r>
      <w:r>
        <w:rPr>
          <w:rFonts w:ascii="arial" w:eastAsia="arial" w:hAnsi="arial" w:cs="arial"/>
          <w:color w:val="000000"/>
          <w:sz w:val="20"/>
          <w:lang w:val="en-US" w:eastAsia="en-US" w:bidi="ar-SA"/>
        </w:rPr>
        <w:t>], Justice Nielsen, writing for the court, noted at para.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 The threshold [for adding a party] is low. It has been expressed as establishing simply that there is a real issue between them that is not frivolous, or </w:t>
      </w:r>
      <w:r>
        <w:rPr>
          <w:rFonts w:ascii="arial" w:eastAsia="arial" w:hAnsi="arial" w:cs="arial"/>
          <w:color w:val="000000"/>
          <w:sz w:val="20"/>
          <w:u w:val="single"/>
          <w:lang w:val="en-US" w:eastAsia="en-US" w:bidi="ar-SA"/>
        </w:rPr>
        <w:t>that the plaintiff has a possible cause of action against the proposed party</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Nielsen J. further cautioned (at para. 45) that "[i]f the evidence is provided, the court is not to weigh it and assess whether the plaintiff could prove the allegations. It is limited to examining the evidence only to the extent necessary to determine if the required issue between the parties exists [internal citation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If there has been a delay, the extent of the delay, the explanation, if any, for it, any prejudice arising from the delay, the degree of connection between the existing action and the new parties, and the claims being contemplated should be considered, "the overriding question [being] what is just and convenient in the circumstances of the particular case": </w:t>
      </w:r>
      <w:r>
        <w:rPr>
          <w:rFonts w:ascii="arial" w:eastAsia="arial" w:hAnsi="arial" w:cs="arial"/>
          <w:i/>
          <w:color w:val="000000"/>
          <w:sz w:val="20"/>
          <w:lang w:val="en-US" w:eastAsia="en-US" w:bidi="ar-SA"/>
        </w:rPr>
        <w:t>The Owners</w:t>
      </w:r>
      <w:r>
        <w:rPr>
          <w:rFonts w:ascii="arial" w:eastAsia="arial" w:hAnsi="arial" w:cs="arial"/>
          <w:color w:val="000000"/>
          <w:sz w:val="20"/>
          <w:lang w:val="en-US" w:eastAsia="en-US" w:bidi="ar-SA"/>
        </w:rPr>
        <w:t>, at para.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Submissions for Proposed Defendants A. Atwal and M. Atwal by Mr. Lewis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Counsel for Anita Atwal and Mandeep Atwal granted that the threshold for adding parties is very low; even so, he submitted, it had not been met because there is no </w:t>
      </w:r>
      <w:r>
        <w:rPr>
          <w:rFonts w:ascii="arial" w:eastAsia="arial" w:hAnsi="arial" w:cs="arial"/>
          <w:i/>
          <w:color w:val="000000"/>
          <w:sz w:val="20"/>
          <w:lang w:val="en-US" w:eastAsia="en-US" w:bidi="ar-SA"/>
        </w:rPr>
        <w:t>lis</w:t>
      </w:r>
      <w:r>
        <w:rPr>
          <w:rFonts w:ascii="arial" w:eastAsia="arial" w:hAnsi="arial" w:cs="arial"/>
          <w:color w:val="000000"/>
          <w:sz w:val="20"/>
          <w:lang w:val="en-US" w:eastAsia="en-US" w:bidi="ar-SA"/>
        </w:rPr>
        <w:t xml:space="preserve"> between his clients and the applicants.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Counsel thought it relevant to note that Anita Atwal is a practicing lawyer; Mandeep Atwal, a member of the RCMP. Pointing out that although the case against them is styled under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underlying the action is a claim in the nature of breach of trust and fraud, and the related receipt from Pinnacle, nine years ago, of monies.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Counsel criticized the state of the plaintiffs' pleadings, notably, the absence of allegations the Atwals were owed no debt, or e.g. that their entitlement to monies was based on a fiction.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Counsel for the Atwals stressed that the fact Anita Atwal is Mandeep Atwal's sister does not implicate her in any disputable action he allegedly engaged in, further submitting that the only allegation against the Atwals in the proposed new pleadings is that they knew particular money was being paid to them in breach of trust but not accompanying that claim with an allegation Cascade did not owe them the monies for that amount or that, for example, they received more than they were entitled to. Instead, counsel critiqued, the plaintiffs have only alleged they knew it was attached to a trust; leaving the Atwals to find themselves, some nine years later, being sued over the transfer, without full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DISTINGUISHING GRIST J.'S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Atwals disagree with the plaintiffs' contention that Grist J.'s decision is largely dispositive of this application, saying that in that case, Grist J. granted the plaintiffs leave to join Brar, Sangha, and their associated companies, persons who could be slotted into the category of privies of the original defendants, privies because they were persons who had a part or interest in the action matter. In comparison, the Atwals contend, they had no association with any of the existing defendants. They were not directors of any of the associated companies. They were third parties, who, allegedly, had some contractual dealings with Cascade Creek, a realtor company, from whom the Atwals allegedly wrongly received money nine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Counsel advised he knew of no authority, whether at the interlocutory or following trial stage, in which an oppression claim had been brought successfully or permitted to proceed against third-party service providers.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agree with counsel that allegations of dishonesty, directly or indirectly acted, should be clearly pleaded. It is arguable whether a pleading that a person who received money they allegedly knew was impressed with a trust and not being paid to them for a purpose beneficial to the person for whom it was being held, is a sufficient pleading. Pleadings ill phrased can be amended, however, especially at a reasonably early stage of the case. At the moment, however, the essence of the plaintiffs' claim, as it relates to monies they received from Pinnacle, is at least discernible.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Counsel for the Atwals granted the obvious that the plaintiffs' claim could be based on an independent tort but submitted that as constituted now, the case stands predicated only on an oppression remedy, which, he submitted, flounders and fails from the outset because, he argued, while the plaintiffs have fittingly sued the companies, the holders of the companies and the directors, parties such as the Atwals, have no such link to them that could bring them within the ambit of the oppression section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at sections 227 and 228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xml:space="preserve"> (1) For the purposes of this section, "shareholder" has the same meaning as in section 1 (1) and includes a beneficial owner of a share of the company and any other person whom the court considers to be an appropriate person to make an application under this section.</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shareholder may apply to the court for an order under this section on the ground</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affairs of the company are being or have been conducted, or that the powers of the directors are being or have been exercised, in a manner oppressive to one or more of the shareholders, including the applicant, or</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some act of the company has been done or is threatened, or that some resolution of the shareholders or of the shareholders holding shares of a class or series of shares has been passed or is proposed, that is unfairly prejudicial to one or more of the shareholders, including the applicant.</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application under this section, the court may, with a view to remedying or bringing to an end the matters complained of and subject to subsection (4) of this section, make any interim or final order it considers appropriate, including an 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xml:space="preserve"> (1) In this section, "</w:t>
      </w:r>
      <w:r>
        <w:rPr>
          <w:rFonts w:ascii="arial" w:eastAsia="arial" w:hAnsi="arial" w:cs="arial"/>
          <w:b/>
          <w:color w:val="000000"/>
          <w:sz w:val="20"/>
          <w:lang w:val="en-US" w:eastAsia="en-US" w:bidi="ar-SA"/>
        </w:rPr>
        <w:t>complainant</w:t>
      </w:r>
      <w:r>
        <w:rPr>
          <w:rFonts w:ascii="arial" w:eastAsia="arial" w:hAnsi="arial" w:cs="arial"/>
          <w:color w:val="000000"/>
          <w:sz w:val="20"/>
          <w:lang w:val="en-US" w:eastAsia="en-US" w:bidi="ar-SA"/>
        </w:rPr>
        <w:t>" means, in relation to a company referred to in subsection (2), a shareholder of the company or any other person whom the court considers to be an appropriate person to make an application under this section.</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company or any director, officer, shareholder, employee, agent, auditor, trustee, receiver, receiver manager or liquidator of a company contravenes or is about to contravene a provision of this Act or the regulations or of the memorandum, notice of articles or articles of the company, a complainant may, in addition to any other rights that that person might have, apply to the court for an order that the person who has contravened or is about to contravene the provision comply with or refrain from contravening the provision.</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application under this section, the court may make any order it considers appropriate, including an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Mr. Connolly - Counsel for the Proposed Defendants Sidhu and 0753021 B.C.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Counsel for Davinder Sidhu and 0753021 B.C. Ltd. adopted the submissions of Mr. Connolly for the Atwals. He noted that para. 35 of the proposed Amended Notice of Civil Claim set out the allegedly illicit payments, assignment fees/referral fees for the Atwals, and realtor fees for Mr. Sidhu. Mr. Connolly submitted it was not necessary that either proposed party be joined to the action to resolve what is, in effect, he submitted, a shareholders' dispute between three persons and their companies, further pointing out Grist J. had just added back the companies attached to those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Counsel for Mr. Sidhu and 0753021 B.C. Ltd. argued that an allegation certain funds were charged with a trust does not automatically render every payee on the general ledger a fit prospect to be added as a party to this case. Also criticized was the absence of particulars showing a basis for the proposed parties having known the funds were charged with a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Counsel submitted further that should the court find that the proposed parties were overpaid for their services, it should be a matter of adjustment between the parties, proposing that if the plaintiffs' application is granted, the court would have set a precedent for any payee under the allegation of a breach of trust being added as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That comment uses too broad a brush. There are clearly circumstances in which a payee could be fittingly added as a party, for example, if there were elements of collusion with a shareholder or director. In seeking damages from the proposed defendants, the plaintiffs are not confined to oppression remedies. For efficiencies' sake, the oppression remedies sought against the existent parties and a knowing breach of trust claim should be heard at the same time, albeit the facts pleaded for knowing participation in a breach of trust do require specification or at least refinement.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passing, I note that particular claim may be a suitable candidate for a summary trial and I encourage the parties to consider that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Plaintiffs' reply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reply to the Atwal contention that the plaintiffs failed to allege they were not entitled to the money, counsel for the plaintiffs pointed to para. 34(b). It alleges that expenditures and payments made to them "do not appear to legitimately relate to Pinnacle, Cascade, or the Development." Counsel submitted accordingly that, by extrapolation, the plaintiffs allege the expenditures to the Atwals were not legitimate.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Counsel for the plaintiffs also reminded the court that the plaintiffs had pursued an order for production of third party documents, conveyancing documents from Richard Ledding Law Corporation, and banking documents from TD and Coast Capital. Master Tokarek had ordered their production to the plaintiffs so they could provide them to a certified fraud examiner, Ms. Parveen Sidhu. Her examination of the documents found undocumented expenditures were being paid to people, including some payments to the Atwals, Mr. Sidhu, and his company. It was only then that the plaintiffs sought to add them as defendants. Counsel for the plaintiffs further pointed out entries in the general ledger are only as sound as the documents underlying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Having considered the evidence as a whole, the applicable principles, and the submissions of counsel, I am satisfied the addition of the proposed parties may be necessary to determine issues or questions raised by these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That decided, I see the claims against the proposed defendants Atwal, Sidhu and his company, effectively constitute a distinct action aside from those that relate to the oppression remedies and breach of trust remedies sought against the existing defendants. The allegations and facts related to the proposed defendants are clearly relevant, however, to the plaintiffs' oppression and breach of trust claims being brought against the existing defendants. The testimony and evidence of the proposed defendants could prove or disprove portions of the plaintiffs' claims against the existing defendants. In short, the proposed defendants in all likelihood would have to testify in the trial against the existing defendants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For clarity's sake, the plaintiffs' pleadings need to be recast and set out in two parts: in Part One, those related to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the oppression and breach of trust claims; in Part Two, the independent but related claims against the proposed defendants. These should be heard at the same time; the order of presentation to be determined at a Trial Management Conference, subject to the discretion of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parties have leave to add the following proposed defendants to the within action: Anita Atwal, Mandeep Atwal, Amar Jahoul, Raman Gill, Davinder Sidhu aka Dave Sidhu, 0753201 B.C. Ltd., and I.S. Dhaliwal &amp; Associates Inc. dba Dhaliwal Consulting &amp; Associates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leave herein granted is subject to the plaintiffs' amendment of the proposed Amended Notice of Civil Claim to distinguish and separate those claims sounding in sections 227 and 324(1)(b) and Part 8 (Proceedings) Division 3 (Investigations)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from those claims sounding in individual separate causes of action, such as breach of trust, breach of constructive trust, and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application to joint 1059571 B.C. Ltd. is adjourned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plaintiffs will likely have to further amend their pleadings after examinations for discovery. Considering the nature of the alleged claims and the burden of proof, the Atwals are entitled to see full particulars to which they can respond. Such amendments could then provide a full and proper framework for a summary trial on that part of the plaintiff's claims as amended, if the plaintiffs or defendants wish to pursue that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Costs of the application will be payable in the cause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BROWN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1" style="position:absolute;z-index:251893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04"/>
          <w:headerReference w:type="default" r:id="rId705"/>
          <w:footerReference w:type="even" r:id="rId706"/>
          <w:footerReference w:type="default" r:id="rId707"/>
          <w:headerReference w:type="first" r:id="rId708"/>
          <w:footerReference w:type="first" r:id="rId70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10" w:history="1">
        <w:r>
          <w:rPr>
            <w:rFonts w:ascii="arial" w:eastAsia="arial" w:hAnsi="arial" w:cs="arial"/>
            <w:b/>
            <w:bCs/>
            <w:i/>
            <w:color w:val="0077CC"/>
            <w:kern w:val="32"/>
            <w:sz w:val="28"/>
            <w:szCs w:val="32"/>
            <w:u w:val="single"/>
            <w:shd w:val="clear" w:color="auto" w:fill="FFFFFF"/>
            <w:lang w:val="en-US" w:eastAsia="en-US" w:bidi="ar-SA"/>
          </w:rPr>
          <w:t>Industrial Wood and Allied Workers of Canada - Forest Industry Ltd. Plan v. Bhullar, [2008] B.C.J. No. 243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A.M. Stewart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14-18, 21-25,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15,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S032023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243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164 A.C.W.S. (3d) 320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Trustees of the IWA - Forest Industry Ltd. Plan, Plaintiffs/Defendants by Counterclaim, and Daljit Bhullar, Defendant/Plaintiff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2"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2" w:name="Keywords_37"/>
      <w:bookmarkEnd w:id="252"/>
      <w:r>
        <w:rPr>
          <w:rFonts w:ascii="arial" w:eastAsia="arial" w:hAnsi="arial" w:cs="arial"/>
          <w:b/>
          <w:color w:val="000000"/>
          <w:sz w:val="20"/>
          <w:lang w:val="en-US" w:eastAsia="en-US" w:bidi="ar-SA"/>
        </w:rPr>
        <w:t>Tort law — Fraud and misrepresentation — Fraudulent misrepresentation — Action by Trustees of benefit plan for reimbursement of disability benefits paid to worker allowed — Counterclaim by worker for wrongful termination of benefits dismissed — Worker made fraudulent statements about ability to work — Trustees relied on fraudulent statements — Trustees' decision to discontinue benefits reasonable based on medical report.</w:t>
      </w:r>
    </w:p>
    <w:p>
      <w:pPr>
        <w:jc w:val="both"/>
        <w:rPr>
          <w:rFonts w:ascii="arial" w:eastAsia="arial" w:hAnsi="arial" w:cs="arial"/>
          <w:sz w:val="20"/>
          <w:lang w:val="en-US" w:eastAsia="en-US" w:bidi="ar-SA"/>
        </w:rPr>
      </w:pPr>
      <w:bookmarkStart w:id="253" w:name="Counsel_37"/>
      <w:bookmarkEnd w:id="25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3"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Craig A.B. Ferris and Kinji C. Bourchier.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Jaspreet Malik.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4" w:name="Judgment_37"/>
      <w:bookmarkEnd w:id="254"/>
      <w:r>
        <w:pict>
          <v:line id="_x0000_s1214" style="position:absolute;z-index:2517995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5" w:name="A.M. STEWART J."/>
            <w:bookmarkEnd w:id="255"/>
            <w:r>
              <w:rPr>
                <w:rFonts w:ascii="arial" w:eastAsia="arial" w:hAnsi="arial" w:cs="arial"/>
                <w:b/>
                <w:color w:val="000000"/>
                <w:sz w:val="30"/>
                <w:lang w:val="en-US" w:eastAsia="en-US" w:bidi="ar-SA"/>
              </w:rPr>
              <w:t>A.M. STEWART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litigants are the Trustees of the IWA - Forest Industry Ltd. Plan (hereafter, "the Plan", "the Trustees") and Daljit Bhullar (hereafter, "Bhullar").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Bhullar worked as a charge hand in a mill at McKenzie,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December 5, 1998 Bhullar was injured in a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or about January 19, 2000, and by means of a "Long Term Disability Benefits Claim Form: Claimant" dated January 10, 2000, Bhullar applied for Long Term Disability benefits under the Plan. (Exhibit 1 Tab 8; Agreed Statement of Facts, hereafter "ASOF", paragraph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By way of a letter dated February 11, 2000 Bhullar's claim for LTD benefits was approved (ASOF paragraph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By means of a "Claimant's Statement for Continuation of Disability Benefits" dated February 12, 2001 Bhullar informed the Trustees of his "present condition" with a view to having the disability benefits paid to him pursuant to his January 10, 2000 application (Exhibit 1 Tab 8), continue. (Exhibit 1 Tab 24.) He represented and certified as true to the Trustees that his disability prevented him from engaging in any business or occupation. (ASOF paragraph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Bhullar's disability benefits continued to be paid by the Plan. And they were paid because the Trustees relied on Bhullar's representations. (ASOF paragraph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Unbeknownst to Bhullar, between April 4, 2002 and July 14, 2002 he was placed under surveillance by an "Investigator", i.e., Pro-Serv Van Beek Investigations. (Exhibit 1 Tab 45/Tab 71/Tab 33.) The surveillance took place at 2727 240 Street, Langley. The evidence reveals that in 2000 that land was 20 acres of pastureland. It has been transformed into a berry farm. Throughout the time period of interest in the case at bar Bhullar has lived on that farm with his ex-wife and his two boys.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Bhullar was not under surveillance every day from April 4, 2002 to July 14, 2002. And on any given day that he was under surveillance, the surveillance could last for as little as 30 minutes or as long as 10 hours. Bhullar was "videoed", as it was put, on nine of those days. (Exhibit 4, Exhibit 6.) All that was "videoed" is contained in Exhibits 4 and 6. In total there is 5 hours and 36 minutes of video according to a summary placed before me at the end of the case by counsel for Bhullar.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By letter dated August 23, 2002 Bhullar was told that his benefits under the Plan were terminated, effective August 1, 2002 for he no longer met the definition of "disabled" found in the Plan. (Exhibit 1 Tab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brief, the August 23, 2002 letter told Bhullar that he had been investigated and the conclusion had been reached that his demonstrated physical abilities were inconsistent with his being considered disabled within the meaning of the Plan. He was told of the appeal pathway provided by the Plan and advised that the Trustees were demanding repayment not of all the benefits paid to him but of the benefits paid to him over the 12 months back to August 1, 2001. The total demanded from him was $8,537.40. (Exhibit 1 Tab 35; ASOF paragraph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Bhullar paid not a 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Trustees seek reimbursement of benefits paid to Bhullar. Their action sounds in the torts of deceit and negligent misrepresentation. (Trial Record Tab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Bhullar filed a Statement of Defence and a Statement of Counterclaim. (Trial Record Tab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Bhullar prayed for various forms of relief all grounded on a pleading that the termination of his benefits under the Plan by the Trustees effective August 1, 2002 was "wrongful".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case came before me on January 14, 2008. Judgment was reserved on January 25,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And now comes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Recognition that the litigants have placed two entirely different things before the court anchors all that follows. If I be wrong in that then this judgment is fatally flawed. I leave that for the Court of Appeal to consider.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a nutshell, for the purposes of the law Bhullar's attack on the terminating of his benefits is a thing akin to a judicial review. In saying "akin to a judicial review" I acknowledge language in the case law referring to a thing such as this as a judicial review. Obviously the court is concerned not with a decision rendered by a "public authority" but by a decision flowing from the workings of a Trust. Importantly, what is afoot being not a judicial review but only, in my opinion, akin to a judicial review, the applicable standard of review is not the familiar correctness/reasonableness simpliciter/patent unreasonableness spectrum. The scope of review recognizes that the jurisdiction of the court is limited to deciding whether the decision to terminate Bhullar's benefits was exercised against him "improperly, or unreasonably or not at all". (</w:t>
      </w:r>
      <w:r>
        <w:rPr>
          <w:rFonts w:ascii="arial" w:eastAsia="arial" w:hAnsi="arial" w:cs="arial"/>
          <w:b/>
          <w:i/>
          <w:color w:val="000000"/>
          <w:sz w:val="20"/>
          <w:lang w:val="en-US" w:eastAsia="en-US" w:bidi="ar-SA"/>
        </w:rPr>
        <w:t>Nicholas v. Metropolitan Life Insurance Co. of Canada</w:t>
      </w:r>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2003 BCSC 506</w:t>
        </w:r>
      </w:hyperlink>
      <w:r>
        <w:rPr>
          <w:rFonts w:ascii="arial" w:eastAsia="arial" w:hAnsi="arial" w:cs="arial"/>
          <w:color w:val="000000"/>
          <w:sz w:val="20"/>
          <w:lang w:val="en-US" w:eastAsia="en-US" w:bidi="ar-SA"/>
        </w:rPr>
        <w:t>.) In the case at bar no mention was made of the spectrum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On the other hand the Trustees' prayer for relief with respect to Bhullar's disgorging of the funds paid to him by the Plan from August 1, 2001 to August 1, 2002 sounds in tort. The cause of action is deceit or, in the alternative,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noted above, these two very different things - an application akin to a judicial review and an action at law in tort - came before me in this one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deciding how to craft my judgment in this case I must keep one eye on the dichotomy just noted and the other eye on the law as it stands at the moment in British Columbia with respect to the irreducible elements of a trial court judge's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brief, the present state of the law in British Columbia is got at by reading decisions of our Court of Appeal demanding that a trial court judge </w:t>
      </w:r>
      <w:r>
        <w:rPr>
          <w:rFonts w:ascii="arial" w:eastAsia="arial" w:hAnsi="arial" w:cs="arial"/>
          <w:color w:val="000000"/>
          <w:sz w:val="20"/>
          <w:u w:val="single"/>
          <w:lang w:val="en-US" w:eastAsia="en-US" w:bidi="ar-SA"/>
        </w:rPr>
        <w:t>articulate</w:t>
      </w:r>
      <w:r>
        <w:rPr>
          <w:rFonts w:ascii="arial" w:eastAsia="arial" w:hAnsi="arial" w:cs="arial"/>
          <w:color w:val="000000"/>
          <w:sz w:val="20"/>
          <w:lang w:val="en-US" w:eastAsia="en-US" w:bidi="ar-SA"/>
        </w:rPr>
        <w:t xml:space="preserve"> his "pathway to judgment", i.e., the simple stating of </w:t>
      </w:r>
      <w:r>
        <w:rPr>
          <w:rFonts w:ascii="arial" w:eastAsia="arial" w:hAnsi="arial" w:cs="arial"/>
          <w:color w:val="000000"/>
          <w:sz w:val="20"/>
          <w:u w:val="single"/>
          <w:lang w:val="en-US" w:eastAsia="en-US" w:bidi="ar-SA"/>
        </w:rPr>
        <w:t>conclusions</w:t>
      </w:r>
      <w:r>
        <w:rPr>
          <w:rFonts w:ascii="arial" w:eastAsia="arial" w:hAnsi="arial" w:cs="arial"/>
          <w:color w:val="000000"/>
          <w:sz w:val="20"/>
          <w:lang w:val="en-US" w:eastAsia="en-US" w:bidi="ar-SA"/>
        </w:rPr>
        <w:t xml:space="preserve"> reasonably based on the record ultimately reviewed by the Court of Appeal is </w:t>
      </w:r>
      <w:r>
        <w:rPr>
          <w:rFonts w:ascii="arial" w:eastAsia="arial" w:hAnsi="arial" w:cs="arial"/>
          <w:color w:val="000000"/>
          <w:sz w:val="20"/>
          <w:u w:val="single"/>
          <w:lang w:val="en-US" w:eastAsia="en-US" w:bidi="ar-SA"/>
        </w:rPr>
        <w:t>insufficient</w:t>
      </w:r>
      <w:r>
        <w:rPr>
          <w:rFonts w:ascii="arial" w:eastAsia="arial" w:hAnsi="arial" w:cs="arial"/>
          <w:color w:val="000000"/>
          <w:sz w:val="20"/>
          <w:lang w:val="en-US" w:eastAsia="en-US" w:bidi="ar-SA"/>
        </w:rPr>
        <w:t xml:space="preserve">. (The relevant case law begins with </w:t>
      </w:r>
      <w:r>
        <w:rPr>
          <w:rFonts w:ascii="arial" w:eastAsia="arial" w:hAnsi="arial" w:cs="arial"/>
          <w:b/>
          <w:i/>
          <w:color w:val="000000"/>
          <w:sz w:val="20"/>
          <w:lang w:val="en-US" w:eastAsia="en-US" w:bidi="ar-SA"/>
        </w:rPr>
        <w:t>R. v. Thomas</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2006 BCCA 411</w:t>
        </w:r>
      </w:hyperlink>
      <w:r>
        <w:rPr>
          <w:rFonts w:ascii="arial" w:eastAsia="arial" w:hAnsi="arial" w:cs="arial"/>
          <w:color w:val="000000"/>
          <w:sz w:val="20"/>
          <w:lang w:val="en-US" w:eastAsia="en-US" w:bidi="ar-SA"/>
        </w:rPr>
        <w:t xml:space="preserve">, a problematic case, and moves through a number of decisions which either apply or confine </w:t>
      </w:r>
      <w:r>
        <w:rPr>
          <w:rFonts w:ascii="arial" w:eastAsia="arial" w:hAnsi="arial" w:cs="arial"/>
          <w:b/>
          <w:i/>
          <w:color w:val="000000"/>
          <w:sz w:val="20"/>
          <w:lang w:val="en-US" w:eastAsia="en-US" w:bidi="ar-SA"/>
        </w:rPr>
        <w:t>R. v. Thomas</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As to the extent that the result in the present case is prolixity, repetitiveness and the oddity of a trial judge struggling to express the ineffable - what lies behind the trier of fact's conclusions with respect to the testimonial reliability of witnesses - I can do no better than quote what Madam Justice Southin said in </w:t>
      </w:r>
      <w:r>
        <w:rPr>
          <w:rFonts w:ascii="arial" w:eastAsia="arial" w:hAnsi="arial" w:cs="arial"/>
          <w:b/>
          <w:i/>
          <w:color w:val="000000"/>
          <w:sz w:val="20"/>
          <w:lang w:val="en-US" w:eastAsia="en-US" w:bidi="ar-SA"/>
        </w:rPr>
        <w:t>Allen v. Superintendent of Motor Vehicles and Attorney General of British Columbia</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(1986), 2 B.C.L.R. (2d) 255</w:t>
        </w:r>
      </w:hyperlink>
      <w:r>
        <w:rPr>
          <w:rFonts w:ascii="arial" w:eastAsia="arial" w:hAnsi="arial" w:cs="arial"/>
          <w:color w:val="000000"/>
          <w:sz w:val="20"/>
          <w:lang w:val="en-US" w:eastAsia="en-US" w:bidi="ar-SA"/>
        </w:rPr>
        <w:t xml:space="preserve"> at 259: the doctrine of stare decisis requires me to "march whither the Court of Appeal commands, even into quicksand".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begin with Bhullar's attack on the terminating of his long term disability benefits under the Plan as at August 1,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noted above, in my opinion what is involved here is akin to a judicial review albeit with the scope of review stated in terms peculiar to the court's jurisdiction to interfere with the decision of a trustee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Absent binding authority from an appellate court to the contrary I would take it as a given that the court must confine itself to the record that was before the Trustees lest under the guise of a "review" the court usurp the function of the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Not only was no such binding authority drawn to my attention, the submission of Bhullar in this connection was that no adequate record suitable for review had been placed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it is Bhullar who is attacking the Trustees' decision it seemed obvious to me that the absence of a proper record would mean Bhullar is out of court. Counsel for Bhullar disagreed.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Counsel for Bhullar submitted that if the record be inadequate it is the Trustees who have failed in their duty and the result must be either that I conduct what was referred to by counsel for Bhullar as a "trial de novo" i.e., that I substitute my discretion for that of the Trustees, or that I cobble together the record from all the testimony and documents placed before me and then decide whether the Trustees' decision was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This bifurcated submission of counsel was not based on any cogent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 result I record the position thus adopted by counsel for Bhullar in connection with the state of the record only to say that I do not accept it. Moreover, I do accept the submission of counsel for the Trustees which is to the effect that what is the "record" is a function of the process for decision and appeal created by the Trust document (Exhibit 1 Tab 66) and that here, in this particular case, all that forms the record is present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It is common ground that the Trustees' decision to terminate Bhullar's benefits effective August 1, 2002 was, pursuant to the terms of the Plan, subject to not one but two unsuccessful appeals by Bhullar. (ASOF paragraphs 13/14.)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my opinion the Plan is structured so that the only decision that matters at this stage is the dismissal of the second appeal at the conclusion of a s. 7.03 Arbitrating Independent Medical Examination (hereafter, "AIME"). As to this see Exhibit 1 Tab 66 s. 7.03 and ASOF paragraph 14. Section 7.03 makes the AIME opinion "decisive of the matter in dispute and final and binding on the Trustees and [Bhullar]".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that connection the record is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record reveals that, properly, in order that an AIME might occur the appellant, Bhullar, was offered his choice of a number of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Bhullar chose Dr. Chu, an expert in Physical Medicine and Rehabilitation. Dr. Chu saw Bhullar on March 18,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Chu's report dated March 20, 2003 appears before me as Exhibit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the face of the report Dr. Chu states what he saw. He states what he concluded about Bhullar's appearance, condition and cooperativeness. He compares and contrasts the way in which Bhullar presented with the way in which the man (Bhullar) in the surveillance video he saw moved, carried himself and conducted himself. Dr. Chu is polite. I am blunt. It is clear to me that Dr. Chu is telling the reader that one man (Bhullar) appeared in his office and another man (still Bhullar) appears in the surveillance video that the doctor viewed. In a nutshell, the doctor says that the first man was wholly deficient in all manner of things relevant to the capacity to work while the second man did things - things that amounted to manual labour on a farm - that were wholly inconsistent with the physical limitations of the man, Bhullar, who had appeared in his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Exhibit 10 reads for itself. Dr. Chu's ultimate conclusion was that whatever mild to moderate residual neurologic impairment Bhullar may have, the fact is he has done, can do and should do what amounts to at least light to moderate duties. He is capable of being gainfully employed.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say that there was nothing in the materials placed before me or, indeed, in the testimony of Dr. Chu when he testified before me that could possibly tend towards a conclusion by me that Dr. Chu's conclusion was based on inadequate or materially incomplete information, was unreasonable, or was "improper" in any way. To the extent the submission of counsel for Bhullar is to the effect that failure to focus on and then make further inquiries about indicia of depression is fatal I say simply that the submission was not persuasive. The demonstrated capacity to engage in an occupation sensibly overwhelms any such consideration. To the extent the submission of counsel for Bhullar is to the effect that I should take into account the whole of the evidence and draw my own conclusion as to the presence of and significance of signs of depression I say I reject that submission for it is simply an invitation to exceed my limited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noted above, because s. 7.03 of the Plan makes Dr. Chu's March 20, 2003 opinion (Exhibit 10) "decisive of the matter in dispute and final and binding on the Trustees and on the Disabled Employee or the Employee" it is my opinion that it is whether Dr. Chu's conclusion was unreasonable or improper that must be addressed by the court. I have made it clear that I find nothing improper or unreasonable about Dr. Chu's conclusion. I note here that the dismissal of Bhullar's first appeal on an internal appeal heard on October 18, 2002 and a further review after Dr. Chu's opinion was in hand are actually of no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Bhullar's submission that the court should find the decision to terminate Bhullar's disability benefits effective August 1, 2002 improper or unreasonable is not accepted. It follows that Bhullar's counterclaim must be, and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turn to the Trustees' tort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obligation of the court is to decide a case according to the law and the evidence. What follows is dispositive of the litigation. The fact it leaves unanswered questions dwelled on by the parties is of no moment.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begin with the Trustees' action in tort for deceit.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know that the Trustees must make out their case on a balance of probabilities and that because fraud is alleged the standard of proof may not shift to the higher standard of the criminal law - proof beyond a reasonable doubt - but the trier of fact must decline to be convinced that the plaintiff has made out his case on a balance of probabilities absent "clear and cogent proof". (</w:t>
      </w:r>
      <w:r>
        <w:rPr>
          <w:rFonts w:ascii="arial" w:eastAsia="arial" w:hAnsi="arial" w:cs="arial"/>
          <w:b/>
          <w:i/>
          <w:color w:val="000000"/>
          <w:sz w:val="20"/>
          <w:lang w:val="en-US" w:eastAsia="en-US" w:bidi="ar-SA"/>
        </w:rPr>
        <w:t>Bevacqua v. ICBC</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1999 BCCA 553</w:t>
        </w:r>
      </w:hyperlink>
      <w:r>
        <w:rPr>
          <w:rFonts w:ascii="arial" w:eastAsia="arial" w:hAnsi="arial" w:cs="arial"/>
          <w:color w:val="000000"/>
          <w:sz w:val="20"/>
          <w:lang w:val="en-US" w:eastAsia="en-US" w:bidi="ar-SA"/>
        </w:rPr>
        <w:t>, para.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Having considered the whole of the evidence together and decided nothing as to the testimonial reliability of the various witnesses, the bottom facts or the ultimate outcome of the case until </w:t>
      </w:r>
      <w:r>
        <w:rPr>
          <w:rFonts w:ascii="arial" w:eastAsia="arial" w:hAnsi="arial" w:cs="arial"/>
          <w:color w:val="000000"/>
          <w:sz w:val="20"/>
          <w:u w:val="single"/>
          <w:lang w:val="en-US" w:eastAsia="en-US" w:bidi="ar-SA"/>
        </w:rPr>
        <w:t>after</w:t>
      </w:r>
      <w:r>
        <w:rPr>
          <w:rFonts w:ascii="arial" w:eastAsia="arial" w:hAnsi="arial" w:cs="arial"/>
          <w:color w:val="000000"/>
          <w:sz w:val="20"/>
          <w:lang w:val="en-US" w:eastAsia="en-US" w:bidi="ar-SA"/>
        </w:rPr>
        <w:t xml:space="preserve"> the whole of the evidence had been considered together I find as follows:</w:t>
      </w:r>
      <w:r>
        <w:rPr>
          <w:rFonts w:ascii="arial" w:eastAsia="arial" w:hAnsi="arial" w:cs="arial"/>
          <w:sz w:val="20"/>
          <w:lang w:val="en-US" w:eastAsia="en-US" w:bidi="ar-SA"/>
        </w:rPr>
        <w:cr/>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Bhullar is a witness whose testimonial reliability is zero. In the result nothing that Bhullar said to me when he testified before me is given any weight save and except where he slipped and said something that is, in the result, an item of evidence that tends to undermine or defeat his case or advances the case for the Trustees.</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follows from what I have just said that where statements made by Bhullar, or Bhullar's actions or appearance, are the or a platform for the testimony of a witness who appeared before me I give that evidence no weight save and except to the extent, if any, that in the result the thrust of the evidence contradicts Bhullar in one or more particulars.</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make the above noted finding as to Bhullar's testimonial reliability because I say as the trier of fact that of the four elements of testimonial reliability adopted by the Supreme Court of Canada from Wigmore (</w:t>
      </w:r>
      <w:r>
        <w:rPr>
          <w:rFonts w:ascii="arial" w:eastAsia="arial" w:hAnsi="arial" w:cs="arial"/>
          <w:b/>
          <w:i/>
          <w:color w:val="000000"/>
          <w:sz w:val="20"/>
          <w:lang w:val="en-US" w:eastAsia="en-US" w:bidi="ar-SA"/>
        </w:rPr>
        <w:t>R. v. Khelawon</w:t>
      </w:r>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2006 SCC 57</w:t>
        </w:r>
      </w:hyperlink>
      <w:r>
        <w:rPr>
          <w:rFonts w:ascii="arial" w:eastAsia="arial" w:hAnsi="arial" w:cs="arial"/>
          <w:color w:val="000000"/>
          <w:sz w:val="20"/>
          <w:lang w:val="en-US" w:eastAsia="en-US" w:bidi="ar-SA"/>
        </w:rPr>
        <w:t>, para. 2) the factor labelled "sincerity" is Bhullar's downfall.</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noted earlier in these reasons for judgment the Court of Appeal demands that a judge articulate the "pathway to judgment". And I am in the course of doing just that. Whether the "pathway" case law that has dropped from the Court of Appeal demands that a trial judge simply </w:t>
      </w:r>
      <w:r>
        <w:rPr>
          <w:rFonts w:ascii="arial" w:eastAsia="arial" w:hAnsi="arial" w:cs="arial"/>
          <w:color w:val="000000"/>
          <w:sz w:val="20"/>
          <w:u w:val="single"/>
          <w:lang w:val="en-US" w:eastAsia="en-US" w:bidi="ar-SA"/>
        </w:rPr>
        <w:t>make</w:t>
      </w:r>
      <w:r>
        <w:rPr>
          <w:rFonts w:ascii="arial" w:eastAsia="arial" w:hAnsi="arial" w:cs="arial"/>
          <w:color w:val="000000"/>
          <w:sz w:val="20"/>
          <w:lang w:val="en-US" w:eastAsia="en-US" w:bidi="ar-SA"/>
        </w:rPr>
        <w:t xml:space="preserve"> a required finding as to the testimonial reliability of one or more witnesses and </w:t>
      </w:r>
      <w:r>
        <w:rPr>
          <w:rFonts w:ascii="arial" w:eastAsia="arial" w:hAnsi="arial" w:cs="arial"/>
          <w:color w:val="000000"/>
          <w:sz w:val="20"/>
          <w:u w:val="single"/>
          <w:lang w:val="en-US" w:eastAsia="en-US" w:bidi="ar-SA"/>
        </w:rPr>
        <w:t>announce</w:t>
      </w:r>
      <w:r>
        <w:rPr>
          <w:rFonts w:ascii="arial" w:eastAsia="arial" w:hAnsi="arial" w:cs="arial"/>
          <w:color w:val="000000"/>
          <w:sz w:val="20"/>
          <w:lang w:val="en-US" w:eastAsia="en-US" w:bidi="ar-SA"/>
        </w:rPr>
        <w:t xml:space="preserve"> clearly what that finding is </w:t>
      </w:r>
      <w:r>
        <w:rPr>
          <w:rFonts w:ascii="arial" w:eastAsia="arial" w:hAnsi="arial" w:cs="arial"/>
          <w:color w:val="000000"/>
          <w:sz w:val="20"/>
          <w:u w:val="single"/>
          <w:lang w:val="en-US" w:eastAsia="en-US" w:bidi="ar-SA"/>
        </w:rPr>
        <w:t>or</w:t>
      </w:r>
      <w:r>
        <w:rPr>
          <w:rFonts w:ascii="arial" w:eastAsia="arial" w:hAnsi="arial" w:cs="arial"/>
          <w:color w:val="000000"/>
          <w:sz w:val="20"/>
          <w:lang w:val="en-US" w:eastAsia="en-US" w:bidi="ar-SA"/>
        </w:rPr>
        <w:t xml:space="preserve">, instead, demands that the trial judge do all of that </w:t>
      </w:r>
      <w:r>
        <w:rPr>
          <w:rFonts w:ascii="arial" w:eastAsia="arial" w:hAnsi="arial" w:cs="arial"/>
          <w:color w:val="000000"/>
          <w:sz w:val="20"/>
          <w:u w:val="single"/>
          <w:lang w:val="en-US" w:eastAsia="en-US" w:bidi="ar-SA"/>
        </w:rPr>
        <w:t>plus state the why and the how of his conclusion as to testimonial reliability</w:t>
      </w:r>
      <w:r>
        <w:rPr>
          <w:rFonts w:ascii="arial" w:eastAsia="arial" w:hAnsi="arial" w:cs="arial"/>
          <w:color w:val="000000"/>
          <w:sz w:val="20"/>
          <w:lang w:val="en-US" w:eastAsia="en-US" w:bidi="ar-SA"/>
        </w:rPr>
        <w:t xml:space="preserve"> is a nice issue in the case law.</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recognize that the case law that has dealt </w:t>
      </w:r>
      <w:r>
        <w:rPr>
          <w:rFonts w:ascii="arial" w:eastAsia="arial" w:hAnsi="arial" w:cs="arial"/>
          <w:color w:val="000000"/>
          <w:sz w:val="20"/>
          <w:u w:val="single"/>
          <w:lang w:val="en-US" w:eastAsia="en-US" w:bidi="ar-SA"/>
        </w:rPr>
        <w:t>specifically</w:t>
      </w:r>
      <w:r>
        <w:rPr>
          <w:rFonts w:ascii="arial" w:eastAsia="arial" w:hAnsi="arial" w:cs="arial"/>
          <w:color w:val="000000"/>
          <w:sz w:val="20"/>
          <w:lang w:val="en-US" w:eastAsia="en-US" w:bidi="ar-SA"/>
        </w:rPr>
        <w:t xml:space="preserve"> with the pathway/testimonial reliability issue has fallen from our Court of Appeal. The Supreme Court of Canada has not yet focused on that neat point and spoken to that precise issue. However, it is my opinion that if one looks to what the Supreme Court of Canada has </w:t>
      </w:r>
      <w:r>
        <w:rPr>
          <w:rFonts w:ascii="arial" w:eastAsia="arial" w:hAnsi="arial" w:cs="arial"/>
          <w:color w:val="000000"/>
          <w:sz w:val="20"/>
          <w:u w:val="single"/>
          <w:lang w:val="en-US" w:eastAsia="en-US" w:bidi="ar-SA"/>
        </w:rPr>
        <w:t>said</w:t>
      </w:r>
      <w:r>
        <w:rPr>
          <w:rFonts w:ascii="arial" w:eastAsia="arial" w:hAnsi="arial" w:cs="arial"/>
          <w:color w:val="000000"/>
          <w:sz w:val="20"/>
          <w:lang w:val="en-US" w:eastAsia="en-US" w:bidi="ar-SA"/>
        </w:rPr>
        <w:t xml:space="preserve"> and to the way in which it has </w:t>
      </w:r>
      <w:r>
        <w:rPr>
          <w:rFonts w:ascii="arial" w:eastAsia="arial" w:hAnsi="arial" w:cs="arial"/>
          <w:color w:val="000000"/>
          <w:sz w:val="20"/>
          <w:u w:val="single"/>
          <w:lang w:val="en-US" w:eastAsia="en-US" w:bidi="ar-SA"/>
        </w:rPr>
        <w:t>applied</w:t>
      </w:r>
      <w:r>
        <w:rPr>
          <w:rFonts w:ascii="arial" w:eastAsia="arial" w:hAnsi="arial" w:cs="arial"/>
          <w:color w:val="000000"/>
          <w:sz w:val="20"/>
          <w:lang w:val="en-US" w:eastAsia="en-US" w:bidi="ar-SA"/>
        </w:rPr>
        <w:t xml:space="preserve"> case law such as </w:t>
      </w:r>
      <w:r>
        <w:rPr>
          <w:rFonts w:ascii="arial" w:eastAsia="arial" w:hAnsi="arial" w:cs="arial"/>
          <w:b/>
          <w:i/>
          <w:color w:val="000000"/>
          <w:sz w:val="20"/>
          <w:lang w:val="en-US" w:eastAsia="en-US" w:bidi="ar-SA"/>
        </w:rPr>
        <w:t>R. v. Sheppard</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[2002] 1 S.C.R. 869</w:t>
        </w:r>
      </w:hyperlink>
      <w:r>
        <w:rPr>
          <w:rFonts w:ascii="arial" w:eastAsia="arial" w:hAnsi="arial" w:cs="arial"/>
          <w:color w:val="000000"/>
          <w:sz w:val="20"/>
          <w:lang w:val="en-US" w:eastAsia="en-US" w:bidi="ar-SA"/>
        </w:rPr>
        <w:t xml:space="preserve"> in cases such as </w:t>
      </w:r>
      <w:r>
        <w:rPr>
          <w:rFonts w:ascii="arial" w:eastAsia="arial" w:hAnsi="arial" w:cs="arial"/>
          <w:b/>
          <w:i/>
          <w:color w:val="000000"/>
          <w:sz w:val="20"/>
          <w:lang w:val="en-US" w:eastAsia="en-US" w:bidi="ar-SA"/>
        </w:rPr>
        <w:t>Hill v. Hamilton-Wentworth Regional Police Services Board et al</w:t>
      </w:r>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 xml:space="preserve"> at para. 101, what follows is sufficient in law and even - because of the need to be sure of satisfying the demands of our Court of Appeal - excessive. (In this connection see </w:t>
      </w:r>
      <w:r>
        <w:rPr>
          <w:rFonts w:ascii="arial" w:eastAsia="arial" w:hAnsi="arial" w:cs="arial"/>
          <w:b/>
          <w:i/>
          <w:color w:val="000000"/>
          <w:sz w:val="20"/>
          <w:lang w:val="en-US" w:eastAsia="en-US" w:bidi="ar-SA"/>
        </w:rPr>
        <w:t>Bedwell v. McGill</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2008 BCCA 6</w:t>
        </w:r>
      </w:hyperlink>
      <w:r>
        <w:rPr>
          <w:rFonts w:ascii="arial" w:eastAsia="arial" w:hAnsi="arial" w:cs="arial"/>
          <w:color w:val="000000"/>
          <w:sz w:val="20"/>
          <w:lang w:val="en-US" w:eastAsia="en-US" w:bidi="ar-SA"/>
        </w:rPr>
        <w:t>, paras. 18-24; 63.)</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made my finding (noted above) as to Bhullar's testimonial reliability because of the cumulative effect of a number of factors including, but not limited to: my finding that Bhullar's testimony is internally inconsistent, seriously at odds with his testimony under oath on a material point at an examination for discovery, an exercise in simply refusing to acknowledge what was so obviously revealed right before his eyes in the courtroom by the videos (Exhibits 4/6), peppered with discordant notes and, on significant points, belied by what I saw Bhullar actually do as he testified before me. As the trier of fact I concluded that Bhullar is simply a liar.</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findings noted above in place the analysis proceeds as follows: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 fact that Bhullar represented and certified in his "Claimant's Statement for Continuation of Disability Benefits" dated February 12, 2001 (Exhibit 1 Tab 24) that his disability prevented him from engaging in any business or occupation. (ASOF paragraph 9.)</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conclude that the content of Exhibits 4 and 6 (the videos), combined with the viva voce testimony of the investigator Neil Harrison, the testimony of the never-paid land leveller Larry Erskins and the admission by Bhullar when he testified before me that he was in 2001 what he was in 2002 establishes that Bhullar was, at least as far back as January 1, 2001, carrying out the duties of an individual who had both a management function in the operating of the berry farm in question and was actively, effectively, frequently and persistently actually doing the work of a farm labourer.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make clear what is inherent in the finding just made: I found the story told by Bhullar and his sons to the effect that the extensive work on the farm done over the years was done by an adult female (Bhullar's former wife, from whom he is divorced but lives with yet) and the two boys while Bhullar ventured out into the field and plowed a field, or put in fence posts, or maintained certain irrigation piping only occasionally, and as a form of exercise and a way of getting out of the house, to be fanciful on the face of it, at odds with the cumulative effect of what Bhullar is seen to be doing on the videos and consistent only with an amazing conclusion that by happenstance there was coincidence between the (alleged) few occasions Bhullar chose to so "exercise", his decision to "exercise" at a spot on the 20 acre farm within covert-camera range and the investigator's being present.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Again, inherent in the finding made above under (b) is my conclusion as the trier of fact that there is nothing in the balance of the evidence placed before me by Bhullar that takes the sting out of the cumulative effect of the evidence referred to in (b) above. Bhullar's being hopeless as a source of information undermines the weight to be given to the evidence of his doctors. I choose to say no more about the evidence given by his sons. The evidence given by Bhullar's brother-in-law, his friend Manju Aggarwal and Ms. Rarru is, I say, not inconsistent with the finding I have made as to Bhullar's capacity for work. And I make it clear that what I have just stated about the testimony of certain of the witnesses is simply by way of examples.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 fact that in deciding to continue Bhullar's benefits the Trustees relied on the truth of the statement in Bhullar's February 12, 2001 "Claimant's Statement for Continuation of Disability Benefits" (Exhibit 1 Tab 24) that his disability prevented him from engaging in any business or occupation. (ASOF paragraph 10.)</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must be clear from the findings set out above it is my conclusion that that statement by Bhullar was false.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the trier of fact it is my conclusion that the only reasonable inference to be drawn from the proven facts of this case - including the </w:t>
      </w:r>
      <w:r>
        <w:rPr>
          <w:rFonts w:ascii="arial" w:eastAsia="arial" w:hAnsi="arial" w:cs="arial"/>
          <w:color w:val="000000"/>
          <w:sz w:val="20"/>
          <w:u w:val="single"/>
          <w:lang w:val="en-US" w:eastAsia="en-US" w:bidi="ar-SA"/>
        </w:rPr>
        <w:t>depth</w:t>
      </w:r>
      <w:r>
        <w:rPr>
          <w:rFonts w:ascii="arial" w:eastAsia="arial" w:hAnsi="arial" w:cs="arial"/>
          <w:color w:val="000000"/>
          <w:sz w:val="20"/>
          <w:lang w:val="en-US" w:eastAsia="en-US" w:bidi="ar-SA"/>
        </w:rPr>
        <w:t xml:space="preserve"> of the disparity between what Bhullar stated to be fact and what was fact - is that Bhullar knew that the above noted false statement was false and that he deliberately stated that material falsehood with a view to obtaining benefits to which he was not entitled. And he did obtain those benefits. In short, Bhullar committed fraud, the tort of deceit is made out and the law's desire to see that the fraudster benefits not at all from his deceit must result in a judgment in favour of the Trustees in the amount of $8,357.40, the amount prayed for by the Trustees.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 by the Trustees of a negligent misrepresentation by Bhullar was a pleading in the alternative. It need not, and will not, be dealt with by me.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counsel cannot agree on the order to be made with respect to costs - or with respect to any other ancillary matter - they will have to arrange to place their submissions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A.M. STEWART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5" style="position:absolute;z-index:2518507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19"/>
          <w:headerReference w:type="default" r:id="rId720"/>
          <w:footerReference w:type="even" r:id="rId721"/>
          <w:footerReference w:type="default" r:id="rId722"/>
          <w:headerReference w:type="first" r:id="rId723"/>
          <w:footerReference w:type="first" r:id="rId72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25" w:history="1">
        <w:r>
          <w:rPr>
            <w:rFonts w:ascii="arial" w:eastAsia="arial" w:hAnsi="arial" w:cs="arial"/>
            <w:b/>
            <w:bCs/>
            <w:i/>
            <w:color w:val="0077CC"/>
            <w:kern w:val="32"/>
            <w:sz w:val="28"/>
            <w:szCs w:val="32"/>
            <w:u w:val="single"/>
            <w:shd w:val="clear" w:color="auto" w:fill="FFFFFF"/>
            <w:lang w:val="en-US" w:eastAsia="en-US" w:bidi="ar-SA"/>
          </w:rPr>
          <w:t>Insurance Corp. of British Columbia v. Husseinian, [2008] B.C.J. No. 333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L.B. Gerow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11-14, 18-22, 25-29, July 3-5, 9-13,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September 14, November 20 and December 14,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29,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S053813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333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241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59 C.C.L.I. (4th) 200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CarswellBC 363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166 A.C.W.S. (3d) 397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Insurance Corporation of British Columbia, Plaintiff, and Dawood Shahin Husseinian, Ahmad Ahmadi, Amir Mehr-Abadi, Shahin Shardi-Manaheji, Rategar Rahbar, Mohammed Boshrouyeh, a person under disability, by his Litigation Guardian, Nikoleta Hatiris, Abdullah Malek, Ali Malek, Behrouz Dadi, Davood Rezai, Noosheh Rezai, Milad Khorasani, Behrouz Hafez-Ghoran, Majid Samimifar, Amir Soheylian, Seyamak Rohani, Dawood Jafari,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6"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6" w:name="Keywords_38"/>
      <w:bookmarkEnd w:id="256"/>
      <w:r>
        <w:rPr>
          <w:rFonts w:ascii="arial" w:eastAsia="arial" w:hAnsi="arial" w:cs="arial"/>
          <w:b/>
          <w:color w:val="000000"/>
          <w:sz w:val="20"/>
          <w:lang w:val="en-US" w:eastAsia="en-US" w:bidi="ar-SA"/>
        </w:rPr>
        <w:t>Damages — Exemplary or punitive damages — When available — Action by insurer for damages due to alleged fraudulent claims by defendants — Plaintiff alleged defendants staged motor vehicle accidents to obtain insurance monies for personal injuries and property damage and conspired with other to stage motor vehicle accidents — Action allowed against all but one defendant — Conduct of defendants in deliberately participating in an extensive scheme to defraud insurer of significant insurance monies was type of reprehensible conduct that called for an award of punitive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Conspiracy — Action by insurer for damages due to alleged fraudulent claims by defendants — Plaintiff alleged defendants staged motor vehicle accidents to obtain insurance monies for personal injuries and property damage and conspired with other to stage motor vehicle accidents — Action allowed against all but one defendant — Insurer entitled to special damages claimed with respect to each accident, including costs of investigation apportioned between each fraudulent claim, and punitive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Fraud and misrepresentation — Fraudulent misrepresentation — Action by insurer for damages due to alleged fraudulent claims by defendants — Plaintiff alleged defendants staged motor vehicle accidents to obtain insurance monies for personal injuries and property damage and conspired with other to stage motor vehicle accidents — Action allowed against all but one defendant — Insurer entitled to special damages claimed with respect to each accident, including costs of investigation apportioned between each fraudulent claim, and punitive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7" w:name="Case Summary_34"/>
            <w:bookmarkEnd w:id="25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insurer for damages due to alleged fraudulent claims by defendants -- Plaintiff alleged defendants staged motor vehicle accidents to obtain insurance monies for personal injuries and property damage and conspired with other to stage motor vehicle accidents -- Most of the motor vehicle accidents involved a stolen car either rear-ending another vehicle or hitting a parked car, and the driver of the stolen vehicle fleeing the scene of the accident on foot without ever being caught -- Each of the defendants knew some or all of the other defendants through high school or other associations -- Defendants denied staging any accidents -- In addition to recovering monies paid out for each accident, plaintiff sought to recover general damages of $86,483.25 for its investigative costs and punitive damages against defendants -- Plaintiff obtained default judgments against some defendants -- HELD: Action allowed in part -- All defendants except Hafez-Ghoran were liable for staging accidents and making fraudulent claims -- Accidents were all similar -- Defendants not credible -- In each accident, defendants were at a location that was not logical given where they said they were coming from and going to -- Insurer entitled to special damages claimed with respect to each accident, including costs of investigation apportioned between each fraudulent claim -- Conduct of defendants in deliberately participating in an extensive scheme to defraud insurer of significant insurance monies was type of reprehensible conduct that called for an award of punitive damages -- In determining amount of punitive damages for each defendant, court considered youth of each defendant at time of fraudulent claims.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8" w:name="Counsel_38"/>
      <w:bookmarkEnd w:id="25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7"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M.J. Hewitt and I. Jones.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Dawood Shahin Husseinian: D.P. Davison and G.I. Douvelos.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Shahin Shardi-Manaheji: Appearing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Abdullah Malek: Appearing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Ali Malek: Appearing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Behrouz Hafez-Ghoran: Appearing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Dawood Jafari: Appearing in Person.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9" w:name="Judgment_38"/>
      <w:bookmarkEnd w:id="259"/>
      <w:r>
        <w:pict>
          <v:line id="_x0000_s1218" style="position:absolute;z-index:2518005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0" w:name="L.B. GEROW J."/>
            <w:bookmarkEnd w:id="260"/>
            <w:r>
              <w:rPr>
                <w:rFonts w:ascii="arial" w:eastAsia="arial" w:hAnsi="arial" w:cs="arial"/>
                <w:b/>
                <w:color w:val="000000"/>
                <w:sz w:val="30"/>
                <w:lang w:val="en-US" w:eastAsia="en-US" w:bidi="ar-SA"/>
              </w:rPr>
              <w:t>L.B. GEROW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Insurance Corporation of British Columbia ("ICBC") claims the defendants deliberately staged motor vehicle accidents to obtain insurance monies from ICBC for personal injuries and property damage. Six of the defendants: Dawood Husseinian, Abdullah Malek, Ali Malek, Shahin Shardi-Manaheji, Behrouz Hafez-Ghoran and Dawood Jafari, deny that they either arranged motor vehicle accidents or conspired to arrange motor vehicle accidents in order to advance claims for compensation. Default judgments have been granted against five of the defendants: Ahmad Ahmadi, Rastegar Rahbar, Amir Mehr-Abadi, Majid Samimifar and Seyamak Rohani. The actions have either been discontinued or severed against the other named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any of the defendants, Mr. Husseinian, Mr. Abdullah Malek, Mr. Ali Malek, Mr. Shardi-Manaheji, Mr. Hafez-Ghoran and Mr. Jafari, either stage motor vehicle accidents and advance claims for personal injuries and property damages, or conspire to defraud ICBC by arranging motor vehicle accidents in order that claims could be advanced for compensation for personal injuries and property damage?</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any of those defendants staged or conspired to stage motor vehicle accidents what, if any, damages is ICBC entitled to?</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damages, if any, is ICBC entitled to from the defendants who have default judgment against them, namely: Mr. Ahmadi, Mr. Rahbar, Mr. Mehr-Abadi, Mr. Samimifar and Mr. Rohani?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2002 ICBC began investigating a number of motor vehicle accidents which occurred between 1998 and 2001. Most of the motor vehicle accidents involved a stolen car either rear-ending another vehicle or hitting a parked car, and the driver of the stolen vehicle fleeing the scene of the accident on foot (the "fleeing thief accident"). During the investigation ICBC discovered that a number of the fleeing thief accidents involved individuals who knew other individuals who had been involved in similar fleeing thief accidents as a result of attending high school together in the late 1990s and early 2000s.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a result of the investigation, ICBC commenced this action alleging that the defendants staged eleven motor vehicle accidents in order to advance fraudulent insurance claims. ICBC alleges that Mr. Ahmadi and Mr. Husseinian were involved in a number of the motor vehicle accidents, and that the other defendants were involved in either one or two of the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evidence is that each of the defendants knows some or all of the other defendants through high school or other associations. A number of the defendants, Mr. Husseinian, Mr. Ahmadi, Mr. Mehr-Abadi, Mr. Jafari, Mr. Milad Khorasani, Mr. Hafez-Ghoran, Mr. Samimifar and Mr. Saviz Rezai, attended Burnaby South Secondary School ("BSSS") during the years 1997 - 2000. As well, Mr. Rastegar Rahbar's son, Hiva "Tony" Rahbar, attended BSSS during that time, and was friends with Mr. Husseinian.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Ali Malek and Mr. Shardi-Manaheji went to high school together at New Westminster Secondary School. They were both friends with Mr. Jafari and knew Mr. Mehr-Abadi.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Husseinian and Mr. Ahmadi were close friends. Mr. Husseinian also knew Mr. Rastegar Rahbar as a close family friend. Mr. Samimifar reported that collision no. 10 occurred when he was travelling to Mr. Husseinian's residence and Mr. Rohani reported that collision no. 11 occurred when he was coming from Mr. Husseinian's house and driving Mr. Husseinian's mother's car. Mr. Rohani worked with Mr. Samimifar.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Claim no. 1 involves a motor vehicle accident which occurred at 2:35 a.m. on April 11, 1998, near the intersection of Canada Way and Wayburne Drive, in Burnaby, B.C. A car driven by Mr. Rahbar in which Mohammed Boshrouyeh was a passenger was rear-ended by a stolen vehicle and the thief fled on foot. Mr. Rahbar advanced a claim for property damage to his car and for personal injuries as a result of the accident. Mr. Boshrouyeh advanced a claim for personal injuries. A default judgment has been granted against Mr. Rahbar and the claim against Mr. Boshrouyeh is not proceeding. ICBC is claiming $67,137.55 in special damages plus interest of $19,001.52 for a total of $86,139.07 against Mr. Rahbar.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Claim no. 2 involves a motor vehicle accident which occurred at 8:30 p.m. on December 7, 1999 at the intersection of Jubilee Avenue and Victory Street, in Burnaby, B.C. Mr. Ahmadi was driving a rental car in which Mr. Husseinian was a passenger when it was rear-ended by a stolen car and the thief fled on foot. Mr. Ahmadi and Mr. Husseinian advanced claims for personal injury. A default judgment has been granted against Mr. Ahmadi. Mr. Husseinian denies that the motor vehicle accident was staged. ICBC is claiming $59,155.36 plus interest of $12,081.54 for a total of $71,196.90 against Mr. Ahmadi and Mr. Husseinian.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Claim no. 3 involves a motor vehicle accident which occurred at 3:45 p.m. on April 4, 2000 on Ledger Street in Burnaby, B.C. Mr. Ahmadi had driven Mr. Husseinian to an appointment and parked his car on Ledger Street. A stolen car hit the parked car and the thief fled on foot. Mr. Ahmadi advanced a claim for property damage. A default judgment has been granted against Mr. Ahmadi. Mr. Husseinian denies that that motor vehicle accident was staged. ICBC is claiming $4,832.96 plus interest of $1,073.00 for a total of $5,905.96 against Mr. Ahmadi and Mr. Husseinian.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Claim no. 4 involves a motor vehicle accident which occurred at 11:30 p.m. on July 6, 2000 at the corner of Poplar Street and Linton Street in Coquitlam, B.C. Mr. Abdullah Malek (Mr. Malek Sr.) was the driver and Mr. Ali Malek (Mr. Malek Jr.) was the passenger in an automobile which was struck by a stolen vehicle and the thief fled on foot. Mr. Malek Sr. advanced a claim for personal injury and property damage and Mr. Malek Jr. advanced a claim for personal injury. Both deny that the motor vehicle accident was staged. ICBC is claiming $40,521.21 in special damages plus interest of $7,293.41 for a total of $47,814.62 against the Maleks.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Claim no. 7 involves a motor vehicle accident which occurred on March 12, 2001 on Mott Crescent in New Westminster, B.C. A stolen vehicle struck a parked car owned by Mr. Mehr-Abadi and the thief fled on foot. Mr. Mehr-Abadi advanced a claim for property damage. A default judgment has been entered against him. ICBC is claiming $3,293.81 in special damages plus interest of $585.87 from April 18, 2001 for a total of $3,879.68 against Mr. Mehr-Abadi.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Claim no. 8 involves a motor vehicle accident which occurred at 10 p.m. on March 26, 2001 at the intersection of 13th Street and Fulton Avenue in West Vancouver, B.C. Mr. Ahmadi's vehicle was struck by a rental vehicle driven by Mr. Khorasani. Mr. Ahmadi advanced a claim for property damage and personal injury. Mr. Khorasani has admitted that the motor vehicle accident was staged and has settled with ICBC. A default judgment has been entered against Mr. Ahmadi. ICBC is claiming $11,207.02 in special damages plus interest of $1,469.51 for a total of $12,776.53 against Mr. Ahmadi.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Claim no. 9 involves a motor vehicle accident which occurred on December 13, 2001 on Whiting Way in Coquitlam, B.C. when a stolen vehicle owned by Farahnaz Abdollahzadeh, Mr. Hafez-Ghoran's mother, hit a parked car owned by Mr. Shardi-Manaheji and the thief fled on foot. Mr. Shardi-Manaheji and Ms. Abdollahzadeh advanced claims for property damage. Both Mr. Hafez-Ghoran and Mr. Shardi-Manaheji deny that the motor vehicle accident was staged. ICBC is claiming $9,897.53 in special damages plus interest of $1,377.40 for a total of $11,274.93 against Mr. Shardi-Manaheji and Mr. Hafez-Ghoran.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Claim no. 10 involves a motor vehicle accident which occurred at 8:20 p.m. on March 14, 2002 at the intersection of Grimmer Avenue and Burlington Street in Burnaby, B.C. Mr. Samimifar was driving a vehicle in which Mr. Soheylian was a passenger when it was struck by a stolen vehicle and the thief fled on foot. Mr. Samimifar advanced claims for personal injury and property damage and Mr. Soheylian advanced a claim for personal injury. In his statement to ICBC, Mr. Samimifar said that he was going to visit Mr. Husseinian at the time the motor vehicle accident occurred. A default judgment has been entered against Mr. Samimifar and the action has been discontinued against Mr. Soheylian. Mr. Husseinian denies any involvement in staging the motor vehicle accident. ICBC is claiming $17,925.71 plus interest of $1,970.41 for a total of $19,896.12 against Mr. Samimifar and Mr. Husseinian.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Claim no. 11 involves a motor vehicle accident which occurred at 11:40 p.m. on March 25, 2002 at the intersection of Rosyln Avenue and Portland Street in Burnaby, B.C. A car owned by Fatima Jamali, Mr. Husseinian's mother, and driven by Mr. Rohani was struck by a stolen motor vehicle accident and the thief fled on foot. Mr. Rohani was visiting Mr. Husseinian on the night of the motor vehicle accident and borrowed Ms. Jamali's car to drive home. Ms. Jamali advanced a claim for property damage and Mr. Rohani advanced a claim for personal injury. A default judgment has been entered against Mr. Rohani. Mr. Husseinian denies the motor vehicle accident was staged. ICBC is claiming $22,158.70 plus interest of $2,493.68 for a total of $24,652.38 against Mr. Rohani and Mr. Husseinian.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Claim no. 12 involves a motor vehicle accident which occurred at 11 p.m. on May 16, 2002 at the intersection of William Street and Odlum Street in Vancouver, B.C. Mr. Jafari was the driver of a vehicle which was struck by a stolen vehicle and the thief fled on foot. Mr. Jafari advanced a claim for property damage. Although he said he was injured in the accident, he did not advance a claim for his injuries. He denies the motor vehicle accident was staged. ICBC is claiming $7,894.92 in special damages plus interest of $887.41 from June 20, 2002 for a total of $8,782.33 from Mr. Jafari.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Claim no. 13 involves a motor vehicle accident which occurred at 8 p.m. on September 20, 2003 at the intersection of Dunsmuir Street and Hamilton Street in Vancouver, B.C. A vehicle owned by Mr. Ahmadi's mother, Maryam Mivehchi, was involved in an accident. Mr. Ahmadi claimed the car had been stolen just prior to the accident. He later admitted that he had been driving the vehicle when the accident occurred. Ms. Mivechi advanced a claim for property damage. A default judgment has been entered against Mr. Ahmadi. He was also criminally convicted in relation to the accident. ICBC is claiming special damages of $816.83 plus interest of $71.45 for a total $882.28 against Mr. Ahmadi.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well, ICBC is seeking to recover general damages of $86,483.25 for its investigative costs and punitive damages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claims no. 2, 3, 7, 8, 10, 11 and 13 default judgments have been granted against at least one of the defendants. Liability is not in issue for the defaulting defendants. The defaulted defendants are deemed to have admitted the allegations contained in the statement of claim: Rule 19(19)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Mintie v. Iverson</w:t>
      </w:r>
      <w:r>
        <w:rPr>
          <w:rFonts w:ascii="arial" w:eastAsia="arial" w:hAnsi="arial" w:cs="arial"/>
          <w:color w:val="000000"/>
          <w:sz w:val="20"/>
          <w:lang w:val="en-US" w:eastAsia="en-US" w:bidi="ar-SA"/>
        </w:rPr>
        <w:t xml:space="preserve"> (1963), 45 W.W.R. 403 at 405 (B.C.S.C.); </w:t>
      </w:r>
      <w:r>
        <w:rPr>
          <w:rFonts w:ascii="arial" w:eastAsia="arial" w:hAnsi="arial" w:cs="arial"/>
          <w:b/>
          <w:i/>
          <w:color w:val="000000"/>
          <w:sz w:val="20"/>
          <w:lang w:val="en-US" w:eastAsia="en-US" w:bidi="ar-SA"/>
        </w:rPr>
        <w:t>Sandes v. Brown</w:t>
      </w:r>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(1979), 16 B.C.L.R. 341</w:t>
        </w:r>
      </w:hyperlink>
      <w:r>
        <w:rPr>
          <w:rFonts w:ascii="arial" w:eastAsia="arial" w:hAnsi="arial" w:cs="arial"/>
          <w:color w:val="000000"/>
          <w:sz w:val="20"/>
          <w:lang w:val="en-US" w:eastAsia="en-US" w:bidi="ar-SA"/>
        </w:rPr>
        <w:t xml:space="preserve"> (Co. 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Liability is in issue in claims no. 2, 3, 4, 9, 10, 11, and 12 for at least one of the defendants. ICBC alleges that the non-defaulting defendants knowingly misled it by alleging that the collisions that they were involved in were accidental rather than deliberate. In order to succeed in its fraud claims, ICBC must show, in respect of each defendant for those claims, that:</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collision he was involved in was staged;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either knew or was wilfully blind to the fact that he was going to be involved in a staged collision before it occurred;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represented to ICBC that he was involved in an accident,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an unstaged collision;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ICBC paid money as a result of that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 defendant will be liable for fraud if ICBC establishes that he either made a fraudulent claim to ICBC himself, or that he agreed on the common action of staging an accident and, in the course of carrying out that common plan, one or more of the parties made fraudulent misrepresentations to ICBC. In other words, ICBC is not required to prove that the defendant was actually present in one of the vehicles when a collision was staged or that the defendant actually made a claim to ICBC. ICBC only needs to establish that the defendant understood and assisted with the plan to defraud ICBC. If two persons agree on a common action in which, in the course of and to further the cause of, one of them commits a tort they are joint tortfeasors. There is a tort committed by one of them on behalf of or in concert with the other: </w:t>
      </w:r>
      <w:r>
        <w:rPr>
          <w:rFonts w:ascii="arial" w:eastAsia="arial" w:hAnsi="arial" w:cs="arial"/>
          <w:b/>
          <w:i/>
          <w:color w:val="000000"/>
          <w:sz w:val="20"/>
          <w:lang w:val="en-US" w:eastAsia="en-US" w:bidi="ar-SA"/>
        </w:rPr>
        <w:t>Osborne v. Pavlick</w:t>
      </w:r>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2000 BCCA 120</w:t>
        </w:r>
      </w:hyperlink>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74 B.C.L.R. (3d) 311</w:t>
        </w:r>
      </w:hyperlink>
      <w:r>
        <w:rPr>
          <w:rFonts w:ascii="arial" w:eastAsia="arial" w:hAnsi="arial" w:cs="arial"/>
          <w:color w:val="000000"/>
          <w:sz w:val="20"/>
          <w:lang w:val="en-US" w:eastAsia="en-US" w:bidi="ar-SA"/>
        </w:rPr>
        <w:t xml:space="preserve"> at para. 16; </w:t>
      </w:r>
      <w:r>
        <w:rPr>
          <w:rFonts w:ascii="arial" w:eastAsia="arial" w:hAnsi="arial" w:cs="arial"/>
          <w:b/>
          <w:i/>
          <w:color w:val="000000"/>
          <w:sz w:val="20"/>
          <w:lang w:val="en-US" w:eastAsia="en-US" w:bidi="ar-SA"/>
        </w:rPr>
        <w:t>Insurance Corporation of British Columbia v. Phung</w:t>
      </w:r>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2003 BCSC 1281</w:t>
        </w:r>
      </w:hyperlink>
      <w:r>
        <w:rPr>
          <w:rFonts w:ascii="arial" w:eastAsia="arial" w:hAnsi="arial" w:cs="arial"/>
          <w:color w:val="000000"/>
          <w:sz w:val="20"/>
          <w:lang w:val="en-US" w:eastAsia="en-US" w:bidi="ar-SA"/>
        </w:rPr>
        <w:t xml:space="preserve"> at para. 94; </w:t>
      </w:r>
      <w:r>
        <w:rPr>
          <w:rFonts w:ascii="arial" w:eastAsia="arial" w:hAnsi="arial" w:cs="arial"/>
          <w:b/>
          <w:i/>
          <w:color w:val="000000"/>
          <w:sz w:val="20"/>
          <w:lang w:val="en-US" w:eastAsia="en-US" w:bidi="ar-SA"/>
        </w:rPr>
        <w:t>Insurance Corporation of British Columbia v. Vancouver (City)</w:t>
      </w:r>
      <w:r>
        <w:rPr>
          <w:rFonts w:ascii="arial" w:eastAsia="arial" w:hAnsi="arial" w:cs="arial"/>
          <w:color w:val="000000"/>
          <w:sz w:val="20"/>
          <w:lang w:val="en-US" w:eastAsia="en-US" w:bidi="ar-SA"/>
        </w:rPr>
        <w:t xml:space="preserve"> </w:t>
      </w:r>
      <w:hyperlink r:id="rId729" w:history="1">
        <w:r>
          <w:rPr>
            <w:rFonts w:ascii="arial" w:eastAsia="arial" w:hAnsi="arial" w:cs="arial"/>
            <w:i/>
            <w:color w:val="0077CC"/>
            <w:sz w:val="20"/>
            <w:u w:val="single"/>
            <w:shd w:val="clear" w:color="auto" w:fill="FFFFFF"/>
            <w:lang w:val="en-US" w:eastAsia="en-US" w:bidi="ar-SA"/>
          </w:rPr>
          <w:t>(1997), 38 B.C.L.R. (3d) 213</w:t>
        </w:r>
      </w:hyperlink>
      <w:r>
        <w:rPr>
          <w:rFonts w:ascii="arial" w:eastAsia="arial" w:hAnsi="arial" w:cs="arial"/>
          <w:color w:val="000000"/>
          <w:sz w:val="20"/>
          <w:lang w:val="en-US" w:eastAsia="en-US" w:bidi="ar-SA"/>
        </w:rPr>
        <w:t xml:space="preserve"> (S.C.), aff'd </w:t>
      </w:r>
      <w:hyperlink r:id="rId730" w:history="1">
        <w:r>
          <w:rPr>
            <w:rFonts w:ascii="arial" w:eastAsia="arial" w:hAnsi="arial" w:cs="arial"/>
            <w:i/>
            <w:color w:val="0077CC"/>
            <w:sz w:val="20"/>
            <w:u w:val="single"/>
            <w:shd w:val="clear" w:color="auto" w:fill="FFFFFF"/>
            <w:lang w:val="en-US" w:eastAsia="en-US" w:bidi="ar-SA"/>
          </w:rPr>
          <w:t>2000 BCCA 12</w:t>
        </w:r>
      </w:hyperlink>
      <w:r>
        <w:rPr>
          <w:rFonts w:ascii="arial" w:eastAsia="arial" w:hAnsi="arial" w:cs="arial"/>
          <w:color w:val="000000"/>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73 B.C.L.R. (3d) 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ICBC is also alleging that the non-defaulting defendants conspired with others to stage motor vehicle accidents. In order to establish that the defendants participated in the tort of conspiracy, ICBC must prove the following:</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an agreement between two or more persons to act in a certain way to cause injury to ICBC;</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intended to commit conspiracy, such that:</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action is lawful or unlawful, there is evidence that the conspirators primary purpose was to cause damage to ICBC; and</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action was unlawful, there is evidence that the conduct was directed towards ICBC and that the conspirators should have known in the circumstances that it would cause damage to ICBC;</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actual damage was suffered by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Canada Cement Lafarge Ltd. v. British Columbia Lightweight Aggregate Ltd.</w:t>
      </w:r>
      <w:r>
        <w:rPr>
          <w:rFonts w:ascii="arial" w:eastAsia="arial" w:hAnsi="arial" w:cs="arial"/>
          <w:color w:val="000000"/>
          <w:sz w:val="20"/>
          <w:lang w:val="en-US" w:eastAsia="en-US" w:bidi="ar-SA"/>
        </w:rPr>
        <w:t xml:space="preserve">, </w:t>
      </w:r>
      <w:hyperlink r:id="rId731" w:history="1">
        <w:r>
          <w:rPr>
            <w:rFonts w:ascii="arial" w:eastAsia="arial" w:hAnsi="arial" w:cs="arial"/>
            <w:i/>
            <w:color w:val="0077CC"/>
            <w:sz w:val="20"/>
            <w:u w:val="single"/>
            <w:shd w:val="clear" w:color="auto" w:fill="FFFFFF"/>
            <w:lang w:val="en-US" w:eastAsia="en-US" w:bidi="ar-SA"/>
          </w:rPr>
          <w:t>[1983] 1 S.C.R. 452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ICBC alleges that each of the defendants has participated in fraudulent schemes to stage motor vehicle accidents and collect insurance money. Such fraud would constitute a criminal offence. However, this case is not a criminal case but a civil claim, therefore, ICBC has the burden of proving that each of the defendants participated on the balance of probabilities. Although ICBC has the burden of proving the defendants' culpability on a balance of probability, within that civil standard of proof the evidence must be measured with scrutiny commensurate with the seriousness of the allegations. Where, as here, there are allegations of a quasi-criminal act, the degree of proof required is higher than what would be required in proving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Continental Insurance Co. v. Dalton Cartage Co.</w:t>
      </w:r>
      <w:r>
        <w:rPr>
          <w:rFonts w:ascii="arial" w:eastAsia="arial" w:hAnsi="arial" w:cs="arial"/>
          <w:color w:val="000000"/>
          <w:sz w:val="20"/>
          <w:lang w:val="en-US" w:eastAsia="en-US" w:bidi="ar-SA"/>
        </w:rPr>
        <w:t xml:space="preserve">, </w:t>
      </w:r>
      <w:hyperlink r:id="rId466" w:history="1">
        <w:r>
          <w:rPr>
            <w:rFonts w:ascii="arial" w:eastAsia="arial" w:hAnsi="arial" w:cs="arial"/>
            <w:i/>
            <w:color w:val="0077CC"/>
            <w:sz w:val="20"/>
            <w:u w:val="single"/>
            <w:shd w:val="clear" w:color="auto" w:fill="FFFFFF"/>
            <w:lang w:val="en-US" w:eastAsia="en-US" w:bidi="ar-SA"/>
          </w:rPr>
          <w:t>[1982] 1 S.C.R. 164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ICBC asserts the accidents were unusual as is evident from the testimony of two police officers, Constable McKillican and Constable Oakley.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Constable McKillican has been a police officer with the Vancouver Police Department since 1981. Throughout his career he has been involved in traffic enforcement, including ten years on the collision investigation squad, two years on the taxi squad and, most recently, on the hit and run squad. He has investigated over a thousand collisions in his 25-year career. His evidence is that he is only aware of one accident where it was reported that a stolen car struck a vehicle and the thief fled on foot. In that accident it later turned out that the car had not been stolen, but that the owner had left the scene of the accident and reported the car stolen. Constable McKillican's evidence is that generally when a stolen vehicle is involved in an accident the thief will leave the scene in the damaged vehicle and dump it blocks or miles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Constable Oakley, the officer who investigated claim no. 4, gave similar evidence. His experience in investigating accidents involving stolen vehicles has been that the thieves get away in the vehicle, even if it is damaged, and abandon it away from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this case, not only did a large number of the accidents involve a fleeing thief who was never found or even described, but they often occurred late at night or early in the morning on quiet residential streets with no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the case of the defendants who testified and denied that they were involved in staging the motor vehicle accident they were involved in, credibility is an important factor. I will deal with each non-defaulting defendant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Dawood Husseinian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ICBC alleges that Mr. Husseinian was involved in either staging or conspiring to stage collisions no. 2, 3, 10 and 11 for the purpose of initiating fraudulent insurance claims against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Claim No.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claim no. 2, Mr. Ahmadi was the driver and Mr. Husseinian was the passenger in a vehicle which they claimed was struck by a fleeing thief on December 7, 1999 at 8:30 p.m. Mr. Ahmadi had rented the vehicle on December 5, 1999. Mr. Ahmadi reported that when the collision occurred he was driving Mr. Husseinian home from North Vancouver where they had gone to pick up food. The collision occurred on a quiet residential side street when the vehicle driven by Mr. Ahmadi was stopped at a stop sign. At the time of the collision, the direction Mr. Ahmadi's vehicle was travelling was not in the direction of Mr. Husseinian's residence, nor was the location between North Vancouver and Mr. Husseinian's residence. Rather, the vehicle was travelling away from Mr. Husseinian's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Both Mr. Ahmadi and Mr. Husseinian made claims for personal injuries and loss of wages. They both said that they were working for Mr. Ahmadi's father. Mr. Husseinian's doctor, Dr. Wong, reported her concerns that Mr. Husseinian was experiencing psychosomatic symptoms. Shortly after Dr. Wong produced her report, Mr. Husseinian switched doctors and started seeing Mr. Rahbar's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Khorasani testified that he was a friend of Mr. Ahmadi and that he met Mr. Husseinian through Mr. Ahmadi. According to Mr. Khorasani, Mr. Ahmadi and Mr. Husseinian were close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Khorasani testified that, a few months after collision no. 2, he had a conversation with Mr. Ahmadi in which Mr. Ahmadi told him that it was very easy to hire someone for a mediocre amount of money to steal a vehicle and have a collision with you. Mr. Ahmadi told him that some older Japanese-made vehicles were easy to break into, and that it was easy to acquire a stolen vehicle to get someone to cause an intentional collision and leave the scene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Khorasani testified that he was at Mr. Husseinian's residence with Mr. Ahmadi in 2003 and the three of them discussed collision no. 2 and staged collisions generally. Mr. Ahmadi was apparently reminiscing about collision no. 2 and the fact that the person who hit them was driving too fast. He recounted that as a result he and Mr. Husseinian got stuck inside the vehicle. They had to be taken to the hospital where morphine was administered and Mr. Ahmadi said that he had enjoyed the morphine. Mr. Husseinian did not make any comment except to say that he had also enjoyed the morphine. Mr. Khorasani's testimony was that they were all sitting in a circle during the discussion and that Mr. Husseinian was participating in the conversation. Mr. Husseinian did not deny that the accident was staged or express any surprise regarding Mr. Ahmadi's comments.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Claim No.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Claim no. 3 occurred on April 4, 2000, when Mr. Ahmadi had parked a car while waiting for Mr. Husseinian to attend an appointment at an office on Ledger Street in Burnaby, B.C. The accident also involved a fleeing thief and occurred four months after collision no. 2. The automobile which Mr. Ahmadi was driving was registered in his mother's name. While parked, the vehicle was struck by a stolen car and the thief fled on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When examined for discovery on January 4, 2007, Mr. Husseinian stated that he did not recall the collision, did not know where Ledger Street was, and could not recall the appointment. However, in his notice to admit, Mr. Husseinian admitted that he had attended appointments at the office on Ledger Street on at least six occasions between January 26, 2000 and April 4, 2000, and that he was driven to an appointment at that address on April 4, 2000 by Mr. Ahmadi.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stolen vehicle involved in the accident was owned by Mr. Mohammadi, a friend of Mr. Rahbar, the defendant in collision no. 1. Mr. Rahbar gifted a vehicle to Mr. Husseinian in November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Kevin Jewell, a locksmith, was retained by ICBC to inspect the Mohammadi vehicle and testified regarding his observations of the vehicle. He testified that there were no signs of forced entry. Although the steering column cowell appeared to have been forcibly removed, there was no damage to the ignition cylinder or the ignition switch. The steering column bolt was intact. As well, there was no distortion to the tumblers in the ignition cylinder. Mr. Jewell's observations were consistent with the vehicle key being used to operate the vehicle. It is reasonable to infer from Mr. Jewell's evidence that a key had been used to operate the vehicle, rather than the vehicle being stolen.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Claim No.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Samimifar was driving a vehicle owned by Kiarash Naziripour when it was involved in a motor vehicle accident with a stolen vehicle at 8:20 p.m. on March 14, 2002. Mr. Samimifar was stopped at a stop sign when the stolen vehicle rear-ended his vehicle. The driver of the stolen vehicle fled the scene on foot and was never identified or apprehended.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intersection where the collision occurred was just over a block away from Mr. Husseinian's residence. In an interview with ICBC, Mr. Samimifar stated that he was test driving the vehicle because he was planning to buy the vehicle. He was on his way to visit Mr. Husseinian during the test drive when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Approximately four months after the accident, Mr. Husseinian's mother transferred a vehicle to Mr. Naziripour. Although Mr. Samimifar commenced a claim for personal injuries he had suffered in the accident, he did not pursue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Claim No.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At 11:40 p.m. on March 25, 2002, Mr. Rohani was stopped at a stop sign while driving Mr. Husseinian's mother's car when he was rear-ended by a stolen vehicle. Mr. Rohani is a defaulted defendant but during the trial he contacted Mr. Edwards of ICBC and said he wanted to come to the trial to testify that the accident was staged. Mr. Edwards testified that Mr. Rohani provided details of the staged accident. Mr. Rohani had been at Mr. Husseinian's residence and had agreed to use the vehicle of Mr. Husseinian's mother in a staged accident. Four individuals were in the car that struck him, including Mr. Husseinian and his brother, Sammy.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Haner, an ICBC investigator, also testified that in early 2007 Mr. Rohani called him and admitted that the accident was staged.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Antony Kwan testified that he lived at the intersection where the accident occurred. At 11:30 p.m. he heard what sounded like a motor vehicle accident outside. He looked out his window and saw a dark car at the stop sign, as well as a white car sliding through the intersection to the other side of the street. He saw a number of men get out of the dark car and run past the car that had been hit. Mr. Kwan testified that he went outside and observed that the dark car was still running but no one was in it. He went to the car that had been hit to see if the driver was hurt. Mr. Kwan opened the passenger door and noticed that the man was covering his face with his hands. The man would not answer the questions Mr. Kwan asked and turned his face away from Mr. Kwan. Mr. Kwan has lived at the intersection for 18 years and described it as a quiet, residential street. Apart from collision no. 11, he was unaware of any other accidents at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At the trial, Mr. Rohani testified that ICBC had bluffed him and he wanted to bluff ICBC, and that the accident had not been staged. He testified that he had been threatened that if he testified at the trial he would be shot and his children would be injected with an HIV-infected needle.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As a result of Mr. Rohani's testimony that he had been threatened, ICBC made an application to obtain cellular telephone records of various individuals, including Mr. Husseinian. Of note in the records is a text message exchange between Mr. Husseinian and his brother, Sammy Husseinian, which occurred between 1:09:44 p.m. and 1:16:38 p.m. on the day Mr. Rohani was threatened. Some of the exchange was in Farsi but was translated to English.</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1:09:44 from Mr. Husseinian to Sammy Husseinian: "If you are talking don't talk much and hang-up quickly the motherfucker might record it or let the Indian person make the phone call."</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1:11:06 from Sammy Husseinian to Mr. Husseinian: "Don't worry ill call u with the answer."</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1:12:54 from Mr. Husseinian to Sammy Husseinian: "Sure there don't forget tell (him/her) to take back the things (he/she) has said, and say (he/she) was lying. Make the phone call right today thanks buddy, it is very important."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1:15:49 from Sammy Husseinian to Mr. Husseinian: Hi just called our friend and he passed the messeg and he got the right impretion hopefully.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:16:38 from Mr. Husseinian to Sammy Husseinian: "Hopefully thanx Hanji zad?"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1:17:39 from Sammy Husseinian to Mr. Husseinian: "Ya and erase ur messeg."</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1:17:54 from Mr. Husseinian to Sammy Husseinian: "kk."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At 1:21:19 p.m. there was telephone call from Mr. Husseinian to Sammy Husseinian which lasted 4 1/2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After ICBC obtained the records for the various cellular phone numbers, Mr. Husseinian filed an affidavit admitting that he had text messaged his brother. Mr. Husseinian further admits that he asked his brother to contact Mr. Rohani, but says it was not to tell Mr. Rohani to lie to the court, but rather to admit to the court he had lied to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Conclusion regarding Mr. Husseinian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Counsel for Mr. Husseinian argues that all the evidence against Mr. Husseinian is circumstantial and that the circumstantial evidence also implicates Mr. Husseinian's brother, Sammy Husseinian. However, in his examination for discovery, Mr. Husseinian stated that he had no reason to believe that his brother was involved in any staged collisions or stolen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A series of events must be viewed in their entirety when considering whether there is evidence to show a joint enterprise: </w:t>
      </w:r>
      <w:r>
        <w:rPr>
          <w:rFonts w:ascii="arial" w:eastAsia="arial" w:hAnsi="arial" w:cs="arial"/>
          <w:b/>
          <w:i/>
          <w:color w:val="000000"/>
          <w:sz w:val="20"/>
          <w:lang w:val="en-US" w:eastAsia="en-US" w:bidi="ar-SA"/>
        </w:rPr>
        <w:t>R. v. Mota</w:t>
      </w:r>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(1979), 46 C.C.C. (2d) 273</w:t>
        </w:r>
      </w:hyperlink>
      <w:r>
        <w:rPr>
          <w:rFonts w:ascii="arial" w:eastAsia="arial" w:hAnsi="arial" w:cs="arial"/>
          <w:color w:val="000000"/>
          <w:sz w:val="20"/>
          <w:lang w:val="en-US" w:eastAsia="en-US" w:bidi="ar-SA"/>
        </w:rPr>
        <w:t xml:space="preserve">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is apparent from the evidence that Mr. Husseinian was either directly or indirectly involved in all four accidents. The evidence is that it was Mr. Husseinian, not Sammy Husseinian, who was involved in collision no. 2 and who was with Mr. Ahmadi at the time of collision no. 3. In claim no. 10, Mr. Samimifar's statement to ICBC indicates he was going to see Mr. Husseinian at the time he was rear-ended at a stop sign. In claim no. 11, the evidence is that Mr. Rohani was with Mr. Husseinian, as well as Sammy Husseinian, on the night he was rear-ended at a stop sign. Mr. Samimifar's accident and Mr. Rohani's accident occurred less than two weeks apart.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circumstances of all four accidents are unusual. All four accidents involve a fleeing thief who was never identified or apprehended.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evidence is that Mr. Husseinian worked at several used car dealerships in Burnaby after completing high school in 2000, including Canadian Westcoast Auto, Saman Auto, Zodiac Auto, GT Auto, Miracle Auto and Alious Auto. Mr. Husseinian's evidence on his examination for discovery was that he worked as a salesman at Canadian Westcoast Auto in 2001 and 2002. On April 8, 2002, ICBC registered a transfer showing that Canadian Westcoast Auto purchased a vehicle from Samir Saleh, which had been involved in a fleeing thief accident less than three months earlier with a vehicle owned by Mr. Husseinian's sister, Sara.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Although Mr. Husseinian told ICBC he was working for a flight agency named Paraz which was owned by Mr. Ahmadi's father in December 1999, he has never provided any documents indicating he was working for that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Husseinian chose not to testify at trial or to respond to any of the allegations made against him, including the evidence of Mr. Khorasani which directly implicates him in the staging of collision no. 2. There were efforts made to serve the various members of Mr. Husseinian's family with subpoenas. Those family members included Mr. Husseinian's mother Ms. Jamali, his brother Sammy, and his sister Sara, all of whom it would appear have relevant evidence regarding some of the accidents which occurred. There is evidence that there was difficulty effecting service on all of those individuals. None of them came to testify at the trial as required by the subpoenas that were served 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There is evidence that Mr. Husseinian attempted to deceive ICBC in the past. Mr. Husseinian admitted that in May 2003 he attempted to deceive ICBC about another insurance claim which is not part of this lawsuit. In that claim, Mr. Husseinian told ICBC he was driving a vehicle during a collision when it was actually Mr. Saviz Rezai who was driving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Husseinian knew or was connected to defendants in all of the motor vehicle accidents at issue:</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Claim no. 1</w:t>
      </w:r>
      <w:r>
        <w:rPr>
          <w:rFonts w:ascii="arial" w:eastAsia="arial" w:hAnsi="arial" w:cs="arial"/>
          <w:color w:val="000000"/>
          <w:sz w:val="20"/>
          <w:lang w:val="en-US" w:eastAsia="en-US" w:bidi="ar-SA"/>
        </w:rPr>
        <w:t>: Mr. Husseinian is a close family friend of Mr. Rahbar, and Mr. Rahbar gifted Mr. Husseinian a vehicle in November 1998;</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Claim no. 2</w:t>
      </w:r>
      <w:r>
        <w:rPr>
          <w:rFonts w:ascii="arial" w:eastAsia="arial" w:hAnsi="arial" w:cs="arial"/>
          <w:color w:val="000000"/>
          <w:sz w:val="20"/>
          <w:lang w:val="en-US" w:eastAsia="en-US" w:bidi="ar-SA"/>
        </w:rPr>
        <w:t>: Mr. Husseinian was with Mr. Ahmadi at the time of the collision;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Claim no. 3</w:t>
      </w:r>
      <w:r>
        <w:rPr>
          <w:rFonts w:ascii="arial" w:eastAsia="arial" w:hAnsi="arial" w:cs="arial"/>
          <w:color w:val="000000"/>
          <w:sz w:val="20"/>
          <w:lang w:val="en-US" w:eastAsia="en-US" w:bidi="ar-SA"/>
        </w:rPr>
        <w:t>: Mr. Husseinian was with Mr. Ahmadi at the time of the collision, and Mr. John Mohammadi, the owner of the stolen vehicle, was a friend of Mr. Rahbar;</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Claim no. 4</w:t>
      </w:r>
      <w:r>
        <w:rPr>
          <w:rFonts w:ascii="arial" w:eastAsia="arial" w:hAnsi="arial" w:cs="arial"/>
          <w:color w:val="000000"/>
          <w:sz w:val="20"/>
          <w:lang w:val="en-US" w:eastAsia="en-US" w:bidi="ar-SA"/>
        </w:rPr>
        <w:t>: Mr. Husseinian and Mr. Ali Malek were friends;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Claim no. 7</w:t>
      </w:r>
      <w:r>
        <w:rPr>
          <w:rFonts w:ascii="arial" w:eastAsia="arial" w:hAnsi="arial" w:cs="arial"/>
          <w:color w:val="000000"/>
          <w:sz w:val="20"/>
          <w:lang w:val="en-US" w:eastAsia="en-US" w:bidi="ar-SA"/>
        </w:rPr>
        <w:t>: Mr. Husseinian and Mr. Mehr-Abadi were friends;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Claim no. 8</w:t>
      </w:r>
      <w:r>
        <w:rPr>
          <w:rFonts w:ascii="arial" w:eastAsia="arial" w:hAnsi="arial" w:cs="arial"/>
          <w:color w:val="000000"/>
          <w:sz w:val="20"/>
          <w:lang w:val="en-US" w:eastAsia="en-US" w:bidi="ar-SA"/>
        </w:rPr>
        <w:t>: Mr. Husseinian was friends with Mr. Ahmadi and knew Mr. Khorasani;</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Claim no. 9</w:t>
      </w:r>
      <w:r>
        <w:rPr>
          <w:rFonts w:ascii="arial" w:eastAsia="arial" w:hAnsi="arial" w:cs="arial"/>
          <w:color w:val="000000"/>
          <w:sz w:val="20"/>
          <w:lang w:val="en-US" w:eastAsia="en-US" w:bidi="ar-SA"/>
        </w:rPr>
        <w:t>: Mr. Husseinian knew people who were friends with both Mr. Hafez-Ghoran and Mr. Shardi-Manaheji;</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Claim no. 10</w:t>
      </w:r>
      <w:r>
        <w:rPr>
          <w:rFonts w:ascii="arial" w:eastAsia="arial" w:hAnsi="arial" w:cs="arial"/>
          <w:color w:val="000000"/>
          <w:sz w:val="20"/>
          <w:lang w:val="en-US" w:eastAsia="en-US" w:bidi="ar-SA"/>
        </w:rPr>
        <w:t>: Mr. Husseinian and Mr. Samimifar were friends, and Mr. Samimifar was on his way to visit Mr. Husseinian when the accident occurred;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Claim no. 11</w:t>
      </w:r>
      <w:r>
        <w:rPr>
          <w:rFonts w:ascii="arial" w:eastAsia="arial" w:hAnsi="arial" w:cs="arial"/>
          <w:color w:val="000000"/>
          <w:sz w:val="20"/>
          <w:lang w:val="en-US" w:eastAsia="en-US" w:bidi="ar-SA"/>
        </w:rPr>
        <w:t>: Mr. Rohani left Mr. Husseinian's residence in a vehicle owned by Ms. Jamali, Mr. Husseinian's mother;</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Claim no. 12</w:t>
      </w:r>
      <w:r>
        <w:rPr>
          <w:rFonts w:ascii="arial" w:eastAsia="arial" w:hAnsi="arial" w:cs="arial"/>
          <w:color w:val="000000"/>
          <w:sz w:val="20"/>
          <w:lang w:val="en-US" w:eastAsia="en-US" w:bidi="ar-SA"/>
        </w:rPr>
        <w:t>: Mr. Husseinian and Mr. Jafari knew each other;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Claim no. 13</w:t>
      </w:r>
      <w:r>
        <w:rPr>
          <w:rFonts w:ascii="arial" w:eastAsia="arial" w:hAnsi="arial" w:cs="arial"/>
          <w:color w:val="000000"/>
          <w:sz w:val="20"/>
          <w:lang w:val="en-US" w:eastAsia="en-US" w:bidi="ar-SA"/>
        </w:rPr>
        <w:t>: Mr. Ahmadi is Mr. Husseinian's good 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Collision no. 2 is similar to the other fleeing thief accidents and, in particular, to claims no. 4, 10 and 11. All of the accidents involved a car being struck by a stolen vehicle while stopped at a stop sign on a residential street and the thief fleeing on foot. The thieves were never identified or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circumstances of collision no. 2 are similar to the other fleeing thief accidents in claims 1, 3, 4, 7, 9, 10, 11 and 12, and are very similar to collisions no. 4, 10, and 11 where the struck vehicle was stopped at a stop sign on a residential side street when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Husseinian and Mr. Ahmadi were together when collisions no. 2 and 3 occurred. The collisions occurred approximately four months apart and both involved fleeing thieves. Although the location where collision no. 3 occurred was well known to Mr. Husseinian because he had attended a number of appointments at that location, he denied in his examination for discovery that he was familiar with the location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medical report prepared by Mr. Husseinian's doctor, Dr. Wong, for his personal injury claim reported that Mr. Ahmadi and Mr. Husseinian were almost inseparable, that they reported very similar symptoms as a result of collision no. 2 and that Mr. Husseinian wanted to do the same therapy as Mr. Ahmadi.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Husseinian provided a statement to ICBC in respect of collision no. 11. In that statement Mr. Husseinian indicated that he was friends with Mr. Rohani, that he was in the business of car sales, and that from time to time he and Mr. Rohani would exchange cars "for pleasure".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There are close connections between collisions no. 10 and 11. Mr. Samimifar worked with Mr. Rohani. On July 23, 2002, Mr. Husseinian's mother, who was the registered owner of the car that Mr. Rohani was driving in collision no. 11, transferred a 1986 Dodge van to Mr. Naziripour, the registered owner of the vehicle that was struck in collision no. 10. Mr. Samimifar was on his way to see Mr. Husseinian when collision no. 10 occurred and Mr. Rohani was on his way home from Mr. Husseinian's residence when collision no. 11 occurred. Both collisions occurred within two or three blocks of Mr. Husseinian's residence. Both collisions were rear-end collisions at a stop sign in a quiet residential area involving a fleeing thief.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There is evidence that Mr. Husseinian took steps to have Mr. Rohani contacted after he heard that Mr. Rohani was going to give evidence at the trial that Mr. Husseinian was involved in staging collision no. 11. Although counsel for Mr. Husseinian argues that he merely contacted his brother, Sammy, to ask him to advise Mr. Rohani that he should tell the truth, that is not in accord with the text messages and, even if believed, would still be witness tampering.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Having considered the evidence as a whole, I have concluded that Mr. Husseinian was involved in either staging or conspiring to stage collisions 2, 3, 10 and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Abdullah Malek and Ali Malek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ICBC alleges that Mr. Malek Sr. and Mr. Malek Jr. staged collision no. 4. Claim no. 4 involves a motor vehicle accident which occurred on July 6, 2000 at 11:30 p.m. Mr. Malek Sr. was the driver and Mr. Malek Jr. was the passenger. Mr. Malek Sr.'s vehicle was struck at an intersection in a residential area by a stolen vehicle and the driver of the stolen vehicle fled on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Haner testified that he was the investigator on this claim. He pointed to a number of red flags which caught his attention:</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 occurred late at night in a residential area and the driver of the stolen vehicle fled on foot;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interviewed, Mr. Malek Jr. said he was at a party but he could not recall who he was with, apart from his friend Tooraj Namdari, or give the location of the party;</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route was unusual if Mr. Malek Sr. was travelling from Como Lake shopping centre to his home as he claims he was;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Malek Sr. wanted the vehicle written off rather than repaired;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Malek Sr. said he was knocked unconscious, yet he scored 15 out of 15 on the Glasgow Coma Scale which means there were no signs of unconsciousness; 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Malek Jr. was friends with Mr. Jafari, Mr. Husseinian and Mr. Mehr-Abadi, and had gone to high school with Mr. Shardi-Manaheji.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Husereau, the paramedic who attended the scene, used the Glasgow Coma Scale for the initial assessment of Mr. Malek Sr. His evidence is that he did not see any indications of unconsciousness in Mr. Malek Sr.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Constable Oakley's evidence is that he arrived at the scene at 23:28 hrs. He recalled the motor vehicle accident for two reasons: first, he bought a residence about half a block away from the location of the accident three months later; and second, the motor vehicle accident was odd. It was a very quiet area and there was a curve in the road just before the location of the collision, and he was of the view that it would be unusual for a vehicle to be going fast enough to cause the amount of damage the two vehicles sustained in the accident. A police dog attended the scene of the accident but could not pick up any track. Constable Oakley did not observe any signs of unconsciousness in Mr. Malek Sr. In his experience it was unusual for a driver of a stolen vehicle to leave the vehicle and flee on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As well, Cst. Oakley testified that he thought the collision was odd in that it would have been easy for the stolen vehicle to either have avoided the collision or to back up and go around the Maleks' vehicle in order to leave the scene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Both Maleks testified at the trial. They deny that the motor vehicle accident was staged. I did not find either Mr. Malek Sr. or Mr. Malek Jr. to be a credible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Malek Jr.'s evidence is that he called his father to give him a ride home from a party he was attending because he had too much to drink. Mr. Namdari could not drive him home because he had also been drinking.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At trial, Mr. Malek Sr. said he picked up his son near the Como Lake shopping centre and was heading towards Austin Avenue to return home. He was unfamiliar with the area and was trying to get to a main street when the accident occurred. Mr. Malek Sr.'s evidence is that he stopped at the stop sign to let some cars pass and was about to make a left turn onto Linton Street in order to drive to Austin Avenue when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Namdari did not come to trial to testify even though he was under subpoena by ICBC. Although Mr. Malek Jr. said he was in contact with Mr. Namdari during the trial, he did not call him to testify regarding the evening. Mr. Malek Jr. was not able to identify any other people who were at the party he claimed he attended, or the location of the party. He presented no evidence to corroborate his testimony that he attended a party that evening, and he had no explanation as to why he had not been able to obtain the address of the party or names of other people who attended the party from Mr. Namdari.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Both Maleks claim not to have seen the driver of the other vehicle at any time. Mr. Malek Sr. says he did not see the driver of the stolen vehicle because he was unconscious. In his examination for discovery, he said that he was unconscious until he reached the hospital and did not remember the ambulance coming because he was unconscious. However, that evidence conflicts with the evidence of Mr. Husereau and Cst. Oakley who both attended the scene of the accident. Neither Mr. Husereau, nor Cst. Oakley saw any signs of a loss of consciousness on the part of Mr. Malek Sr.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Malek Jr. initially attended an examination for discovery but refused to answer any questions. His evidence at trial that he did not see the driver of the other vehicle does not make sense. He agreed that one of the first things that he thought to do when the collision occurred was to look back and see who had struck the vehicle he was in, yet he testified that he saw no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Malek Sr.'s evidence at trial conflicted with his evidence at his examination for discovery. At his examination for discovery he was asked several times where he picked up his son. He testified that he picked up his son outside a house and his son was coming out of the house. He gave the following evidence at his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pick him up from maybe a parking lot?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Like apartment something are you talking about?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Like a strip mall or mall?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no. No mall. No, no, no. There's no mall or something. It's house 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picked him up from the house?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the house, in the street, beside the sidewalk.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the sidewalk outside of a house?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At the trial, Mr. Malek Sr. testified that he picked up his son close to Como Lake shopping centre. Mr. Malek Jr.'s evidence was that he had arranged to meet his father at the Como Lake shopping centre because it was difficult to give him directions to the house where the party was being held. When asked about the inconsistency between what he had said at his examination for discovery and at the trial, Mr. Malek Sr. became very evasive and tried to explain that he did not understand that a shopping centre was a mall, and became very vague as to where he picked up Mr. Malek Jr.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As well, Mr. Malek Sr. testified at the trial that the ambulance driver gave him tests in the ambulance, which is inconsistent with his evidence at the examination for discovery that he was unconscious until he arrived at the hospital. He also testified at the trial that the ambulance crew got him out of the car and secured him on the stretcher. However, in his examination for discovery he said he did not see the ambulance at the scene of the collision because he was unconscious. In his cross examination at the trial, he confirmed he was unconscious until he got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Malek Sr. asserts that the ambulance driver and Cst. Oakley were wrong when they said he was not unconscious. He argues that they are not doctors and that ICBC can not rely on their evidence to prove that he was not unconscious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However, I accept Mr. Husereau's evidence that when he arrived at the scene he did not see any indications of unconsciousness in Mr. Malek Sr. Mr. Husereau is a basic life paramedic who regularly attends motor vehicle accidents. He was an independent third party who gave his evidence in a forthright manner. He arrived at the scene approximately five minutes after the accident occurred. As part of his assessment of Mr. Malek Sr.'s condition he administered the Glasgow coma test, which is a scale used for the initial assessment and continual monitoring of patient's mental status. Mr. Malek Sr. scored the best possible score, which is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also accept Cst. Oakley's evidence that when he arrived at the scene Mr. Malek Sr. was conscious.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Malek Sr. argues that Cst. Oakley is prejudiced against him and has taken the accident personally. Mr. Malek Sr. submits that Cst. Oakley's evidence is suspect because he did not refer to his notes and yet could remember details about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There is no evidence that Cst. Oakley is prejudiced towards Mr. Malek Sr. He gave his evidence in a forthright manner. His evidence is that he remembered the details of the accident for two reasons: (1) the accident was unusual; and (2) he purchased a home in the area shortly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Malek Sr.'s evidence at trial that he had asked ICBC to write off his car differed from his evidence at his examination for discovery. At his examination for discovery Mr. Malek Sr. gave the following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did you at any time want ICBC to write your car off as a total loss and give you the insurance money for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they fix it. They fix it. They said is not fixed. I said no, I want, I like my car, is good. They said any problems with that? I said no. Say you want to fix it? I say yes, just fix it for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After becoming aware of evidence in ICBC's notes that he had asked to have his car written off, Mr. Malek Sr. gave evidence at the trial that he had asked ICBC whether the car should be written off. When he was asked about the inconsistency, his answers were evasive. He said he did not understand the word "total loss" in the question posed to him at the examination for discovery. He stated at the trial that his car was perfect, which is not consistent with the evidence of the photographs taken of the vehicle following the accident which show old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Malek Sr. submits that the lawyer who conducted the examination for discovery took advantage of him because it was conducted without an interpreter. However, in the portions of the examination for discovery that ICBC has referred to Mr. Malek Sr. was asked questions in a simple manner and was able to answer them. He was given an opportunity at the trial to explain through an interpreter why his answers at the examination for discovery differed from his evidence at trial and his answers were, in my view, evasive. His evidence at the trial itself was inconsistent. At one point he testified that he had picked up his son either before or at the shopping centre on Como Lake Road. He later testified that he had picked him up outside a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evidence is that Mr. Malek Jr. either knew or was friends with a number of the defendants in other fleeing thief accidents, including Mr. Husseinian, Mr. Jafari, Mr. Mehr-Abadi, and Mr. Shardi-Manaheji. Although Mr. Malek Jr. argued that he only knew Mr. Husseinian through other people and that ICBC had failed to connect him with Mr. Husseinian, the cellular records adduced at the trial show calls were made from Mr. Husseinian to Mr. Malek Jr. and from Mr. Malek Jr. to Mr. Husseinian.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circumstances of collision no. 4 are similar to those of the other fleeing thief accidents in claims no. 2, 10 and 11 where a defendant's vehicle was stopped at a stop sign on a quiet residential street when it was rear-ended by a vehicle that was reported stolen and whose occupants fled on foot. In each of collisions no. 2, 4 and 11, the defendants were at a location that was not logical given where they said they were coming from and going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Having considered the evidence as a whole, I have concluded that the Maleks staged the collision in claim no.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Behrouz Hafez-Ghoran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ICBC alleges that Mr. Hafez-Ghoran was involved in claim no. 9. A vehicle owned by Mr. Hafez-Ghoran's mother, Ms. Abdollahzadeh, was stolen and was involved in a collision in which it struck a parked vehicle belonging to Mr. Shardi-Manaheji. Ms. Abdollahzadeh's vehicle was abandoned at the scene by its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Hafez-Ghoran testified at the trial. Ms. Abdollahzadeh did not testify although she was under a subpoena. Mr. Hafez-Ghoran presented evidence that his mother had medical issues which prevented her from attending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Hafez-Ghoran's evidence is that he knew some of the defendants in the other collisions. However, he is younger than the other defendants and at the time of the accident was 16 years old. He denies any involvement in staging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ICBC relies on a conversation about which Mr. Khorasani testified. Mr. Khorasani testified that he had a conversation with Mr. Hafez-Ghoran during which Mr. Hafez-Ghoran asked him if he wanted to purchase, or knew a way of getting rid of his mother's car. However, "getting rid of" could mean selling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There was no evidence presented that Mr. Hafez-Ghoran was at the scene of the collision no. 9 or drove his mother's car on the day of the accident. The evidence is that at the time of the accident Mr. Hafez-Ghoran had an "L" license.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Haner's evidence is that he interviewed Mr. Marlin Saki and Mr. Ali Motamedi regarding claim no. 9, and that both said that Mr. Hafez-Ghoran had told them he had been involved in staging that accident. ICBC called both those individuals, but neither testified the Mr. Hafez-Ghoran told them he had been involved in staging collision no.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Saki's evidence is that he did not remember the vehicle of Mr. Hafez-Ghoran's mother and had never seen Mr. Hafez-Ghoran driving the vehicle. He did not recall having any discussion about a motor vehicle accident with Mr. Hafez-Ghoran and had never heard of anyone staging a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Motamedi's evidence is that he had not been threatened or discouraged about testifying in the case. His evidence is that Mr. Hafez-Ghoran told him about the collision but did not tell him the details of how it had happened, and he could not remember whether Mr. Hafez-Ghoran told him he was present when the accident occurred. Mr. Motamedi testified that he was interviewed by an investigator from ICBC and that he told the investigator he had heard that Mr. Hafez-Ghoran's car had been involved in an accident, and that he had gone to school with Mr. Hafez-Ghoran.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ICBC relies on the fact that Ms. Abdollahzadeh did not pursue her theft claim as evidence that Mr. Hafez-Ghoran was involved in staging that accident. However, that is insufficient in my view to establish that Mr. Hafez-Ghoran was involved in staging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It is my view that the circumstantial evidence looked at as a whole is insufficient to establish that Mr. Hafez-Ghoran had any involvement in staging or conspiring to stage collision no.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Shahin Shardi-Manaheji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ICBC alleges that Mr. Shardi-Manaheji was involved in staging claim no. 9. Mr. Shardi-Manaheji reported that he had parked the car on Whiting Way on December 12, 2001 at 8:30 p.m. His evidence is that he met Mr. Jafari there because it was half way between their houses and they had agreed that Mr. Jafari would drive them downtown to go drinking. They went barhopping downtown, and when Mr. Shardi-Manaheji returned to pick up his car at 1:00 a.m. it was missing. He contacted the police, who advised him that his vehicle had been struck by a stolen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Edwards gave evidence that when interviewed Mr. Shardi-Manaheji could not explain why he parked his vehicle on Whiting Way on the night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At trial, Mr. Shardi-Manaheji admitted to giving false and evasive answers at his examination for discovery. At his examination for discovery he denied knowing Mr. Malek Jr. and Mr. Mehr-Abadi. His evidence at trial was that he gave the false answers because he was angry and did not understand what an examination for discovery was. He admitted that he knew he was under oath at the time he answered the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Although Mr. Shardi-Manaheji stated at trial that he understood he had to tell the truth and was telling the truth, his evidence was not credible. For example, his evidence in cross examination was that he did not realize he was lying when he said he did not know Mr. Malek Jr. and Mr. Mehr-Abadi.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Shardi-Manaheji gave evidence on direct examination that the reason he parked his car on Whiting Way and then drove downtown with Mr. Jafari was that they were going drinking and Mr. Jafari was the designated driver. On cross examination, Mr. Shardi-Manaheji confirmed that Mr. Jafari was the designated driver and he was the designated drinker. He testified that they went to a bar, although he did not know which one, and that he came back drunk from downtown. When questioned about why he went back to his car when he was drunk, he was evasive and said that he may have intended to drive home. He then said the reason he came back to his car drunk was that he was meeting Mr. Jafari halfway between their two houses. This evidence was inconsistent with his direct evidence that he drove downtown with Mr. Jafari because he did not want to drink and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Shardi-Manaheji testified that he did not know that Mr. Mehr-Abadi told ICBC that he was at Mr. Shardi-Manaheji's house when collision no. 7 occurred on March 12, 2001. Mr. Mehr-Abadi reported that he had parked his vehicle on Mott Crescent, and that when he returned his vehicle was no longer at that location and he later discovered it had been hit by a stolen vehicle. The driver of the stolen vehicle fled the scene of collision no. 7 on foot. Mr. Shardi-Manaheji testified that he did not know where Mott Crescent was. However, Mr. Edwards testified that collision no. 7 occurred within walking distance of Mr. Shardi-Manaheji's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Shardi-Manaheji knew the defendants in collisions no. 4, 7 and 12. He was with Mr. Jafari on the nights of both collisions no. 9 and collision no. 12. Collision no. 12, which involved Mr. Jafari's car being hit by a stolen vehicle where the thief fled, occurred on May 16, 2002, approximately 4 1/2 months after collision no. 9. I find Mr. Jafari and Mr. Shardi-Manaheji's evidence that they never discussed the circumstances of their accidents unbelievable. Both testified that they had never discussed the circumstances of their accident with the other even though they were together when their respective accidents occurred, and the accidents were both unusual accidents involving a stolen vehicle and a fleeing thief who was never described or apprehended.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damage caused to Mr. Shardi-Manaheji's car in collision no. 9 is almost identical to the damage caused to Mr. Mehr-Abadi's car in collision no. 7 and to another accident in which a car belonging to Mr. Husseinian's sister, Sara, was hit by a car driven by a fleeing thief. In all three accidents, a reportedly stolen vehicle struck a parked vehicle which was parked against a curb in such a way that the collision bent the wheels and axle of the parked vehicle. As a result, all three parked vehicles had to be written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Having considered the evidence as a whole, I have concluded that Mr. Shardi-Manaheji was involved in staging collision no.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Dawood Jafari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Jafari was involved in collision no. 12 which occurred on May 16, 2002. Mr. Jafari's vehicle was struck by a stolen vehicle at the intersection of Odlum Street and William Street in Vancouver, B.C. Mr. Jafari reported that the Ford vehicle which had struck his car was running and unoccupied when he reached it. In his statement to ICBC, Mr. Jafari said he reached the other vehicle within a matter of seconds, but did not see a driver or any occupants.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Following the accident, Mr. Jafari called 911 on two occasions: the first at 11:31 p.m. to report the accident; and, the second at 12:30 a.m. to enquire if the police would be attending. Mr. Jafari sounded agitated in the second telephone call and told the 911 operator that he would just leave the Ford running in the intersection and take a taxi home. The Ford later slammed into a telephone pole two blocks from the scene of collision no. 12 near the intersection of William Street and Vernon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Winchester of 3W Safari Enterprises reported the Ford stolen on May 17, 2002. He stated that the Ford had been stolen from where he parked it on Esplanade Street near Lonsdale Avenue in North Vancouver,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his direct examination at the trial, Mr. Jafari admitted for the first time that he was the person who caused the Ford to roll down the hill on William Street to where it ended up crashing into a telephone pole. His evidence is that he became frustrated and started kicking the bumper of the Ford and then sat on the bumper and leaned his back on the car. He slipped and the Ford started to roll. He testified that he went alongside the Ford to try to stop it, but then remembered that he could not touch it because it was stolen.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Jafari never volunteered this information to the police or ICBC at the time of the accident. Mr. Jafari tried to excuse the fact that he had not admitted to ICBC or the police that he had caused the second collision in 2002 by saying that he was young and stupid. However, at his examination for discovery on February 13, 2006, he gave the following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Before you left, had the other car moved at all, or was it still in the intersection when you went home?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Still in the intersection, headlights on, running.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Had it moved?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Tough to say, because by that time they had towed my car I - yeah, towed my car. I wouldn't know. I wasn't paying attention to it. I wouldn't want to touch nothing.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see it go down the street a couple of blocks and smash into something else?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The car when it started raining, I just - I got frustrated and I had called the police so many times, like I said, the fire department came and just left. So I just took off.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Jafari admitted that he had lied under oath at his examination for discovery and that he understood he was under oath at the time. He also admitted that those lies under oath came after he was told by a judge that the examination for discovery was part of the court process, and that he had to attend and answer questions put to him. Much like his friends Mr. Shardi-Manaheji and Mr. Malek Jr., Mr. Jafari stated that he had refused to answer questions and lied under oath at the examination for discovery because he did not understand the process and because he was "not himself", and that he was frustrated and agitated by the questioning.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Jafari's vehicle had a great deal of pre-existing damage at the time of collision no. 12. Mr. Haner testified that the presence of old damage could be motive for staging an accident as in his experience ICBC generally pays more than market value for a vehicle that is a total loss. Mr. Khorasani testified that was the case with Mr. Ahmadi's vehicle in collision no.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his statement to ICBC after the accident, Mr. Jafari said he had been out at a restaurant in downtown Vancouver with a friend on the night of the accident and was heading home to Port Moody when the accident occurred. He was interviewed again in 2003 by ICBC and at that time he said the friend he was out with was named Shahin but he could not remember his friend's last name, even though he admitted at the trial that Mr. Shardi-Manaheji was one of his best friends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At his examination for discovery, Mr. Jafari stated that he worked at Payless Auto Sales at 830 Clark Drive in Vancouver for a year or more after he graduated from high school in 1998. The Ford that struck his car was owned by a company that purchased an automobile from Payless Auto Sales in January 1999. The predecessor company, which had the same directors, purchased another automobile from Payless Auto Sales in November 1998. Mr. Winchester, the individual who reported the Ford stolen, was involved in both purchases.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circumstances of collision no. 12 are similar to collision no. 1. Both collisions involved a defendant's vehicle reportedly travelling through an intersection when it was struck on the front fender and wheel on the passenger side by a vehicle that was reported stolen and whose occupants fled the scene of the collision on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Jafari knew or was friends with the defendants or with someone closely related to the defendants in all of the fleeing thief collisions except claim no.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Having considered all of the evidence as a whole, I have concluded that Mr. Jafari was involved in staging collision no.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ICBC is seeking three types of damages:</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for the amount of money ICBC paid out as a result of the collision;</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 for any related losses, including the costs that ICBC incurred in investigating this case; and</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There was no evidence regarding damages other than that adduced by ICBC. None of the defendants took issue with the amount of the special damages or investigative costs being claimed by ICBC. ICBC presented evidence about the monies it paid out following the collisions, which consisted of monies to compensate for personal injuries suffered by the defendants, payments for doctors and treatments, repairs to vehicles, and towing charges. ICBC provided summary sheets of the special damages that ICBC is claiming in regard to each collision. The defendants did not challenge the veracity of the claimed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Haner provided his estimate of the amount that ICBC incurred in investigating these claims. His evidence is that $86,483.25 is a conservative estimate of the costs paid by ICBC to investigate the claims. ICBC submits that this amount should be apportioned between both the defaulting and non-defaulting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Insurance Corp. of British Columbia v. Sanghera</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(1991), 55 B.C.L.R. (2d) 125</w:t>
        </w:r>
      </w:hyperlink>
      <w:r>
        <w:rPr>
          <w:rFonts w:ascii="arial" w:eastAsia="arial" w:hAnsi="arial" w:cs="arial"/>
          <w:color w:val="000000"/>
          <w:sz w:val="20"/>
          <w:lang w:val="en-US" w:eastAsia="en-US" w:bidi="ar-SA"/>
        </w:rPr>
        <w:t xml:space="preserve"> at para. 48 (C.A.), Southin J.A. considered what damages an insurer is entitled to when insureds under separate policies are part of a joint enterprise to file false proofs of loss to receive payments. The types of damages an insurer is entitled to are:</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recovery of all sums paid to those persons;</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of processing the claims;</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of investigating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Southin J.A. noted at para. 58 that the defendants' actions were fraudulent and that a fraud on ICBC is in reality a fraud on all motorists of British Columbia. Such actions were deserving of punishment by way of exemplary 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In my view, it is also appropriate to award damages for the amounts paid out by ICBC to innocent third parties,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those individuals whose vehicles were stolen. As well, ICBC is seeking interest on the special damages from the date of the last payment it made on the claim up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and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Claim No.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Claim no. 1 involves a motor vehicle accident which occurred at 2:30 a.m. on April 12, 1998, at the intersection of Wayburne Drive and Canada Way. Mr. Rahbar was driving a vehicle owned by him with Mohammed Boshrouyeh as a passenger when it was struck by a stolen vehicle. The driver of the stolen vehicle fled on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As a defaulting defendant, Mr. Rahbar is deemed to admit that he initiated a fraudulent insurance claim. Mr. Rahbar admits that he wilfully failed to advise ICBC that the occupants of the stolen vehicle were known to him, and that the motor vehicle accident was staged. Mr. Rahbar admits that ICBC relied on the representations and made payments to him, Mr. Boshrouyeh, and the owner of the stolen vehicle, Esiteri Marama. He admits that the representations were made in furtherance of a fraud and conspiracy and were false and untrue, and that they were made with the intent that ICBC would rely on them. Mr. Boshrouyeh was named as a defendant in this action, but ICBC is not pursuing the action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Between April and November 1998, Mr. Rahbar continued to pursue personal injury claims with ICBC arising out of collision no. 1. ICBC paid out a total of $67,137.55 over the seven month period that Mr. Rahbar and other claimants pursued their claims. Although ICBC is claiming the full amount from Mr. Rahbar, $23,355.29 relates to monies paid out to Mr. Boshrouyeh for his personal injury claim. As indicated above, ICBC is not pursuing its claim against Mr. Boshrouyeh and has provided no authority for the proposition that it can claim against one defendant for monies paid to a defendant it has elected not to pursue. In my view, the special damages payable by Mr. Rahbar should be reduced by the amount of $23,355.29 paid to Mr. Boshrouyeh. The appropriate award of special damages against Mr. Rahbar will be $43,782.26 plus interest from February 16, 1999 to June 11,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ICBC presented evidence that the cost of the investigation into the staged accidents was $86,483.55. It is seeking an apportionment of those damages between the various defendants. In my view, it is appropriate to apportion 5%, or the amount of $4,325.16, of those damages to Mr. Rahbar.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Claim No.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Both Mr. Ahmadi and Mr. Husseinian were involved in claim no. 2, as well as other claims. I have concluded that Mr. Husseinian was involved in staging or conspiring to stage collision no. 2. By his deemed admissions, Mr. Ahmadi admits that he and Mr. Husseinian planned together and agreed to cause collision no. 2, that Mr. Ahmadi planned and intended to cause collision no. 2 in order to present claims to ICBC for insurance money, and that ICBC made certain payments with respect to their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ICBC's evidence is that it paid out $59,115.36 in special damages. The special damages include the damages to the rental car driven by Mr. Ahmadi and to the stolen vehicle, and the personal injuries claimed by Mr. Ahmadi and Mr. Husseinian. There is a claim for joint and several liability against Mr. Ahmadi and Mr. Husseinian. In my view, it is appropriate to award the amount of $59,115.36 plus interest of $12,081.54 for a total of $71,196.90 against Mr. Ahmadi and Mr. Husseinian on a joint and several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Both Mr. Ahmadi and Mr. Husseinian were involved in either staging or conspiring to stage four accidents. Mr. Ahmadi was involved in collisions no. 2, 3, 8 and 13. Mr. Husseinian was involved in collisions no. 2, 3, 10 and 11. In my view, it is appropriate to apportion 20% of the general damages, or the amount of $17,296.65, against both Mr. Ahmadi and Mr. Husseinian.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Claim No.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have found Mr. Husseinian liable for collision no. 2. As a defaulting defendant, Mr. Ahmadi is deemed to admit that he and Mr. Husseinian planned together and agreed to cause collision no. 3, that Mr. Ahmadi planned and intended to cause collision no. 3 in order to present claims to ICBC for insurance money, and that ICBC made certain payments with respect to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evidence is that ICBC paid out $4,832.96 in special damages for the damage to the two vehicles involved in the collision. In my view, it is appropriate to award the amount of $4,832.96 plus interest of $1,073.00 for a total of $5,905.96 against Mr. Ahmadi and Mr. Husseinian on a joint and several basis in respect of claim no.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Claim No.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evidence is that ICBC paid out $40,521.21 in special damages for the damage to Mr. Malek Sr.'s vehicle, towing, incidental costs and for the injury claims of Mr. Malek Sr. and Mr. Malek Jr. ICBC is claiming that both defendants are jointly and severally liable for the damages resulting from claim no. 4. In my view, it is appropriate to award the amount of $40,521.21 plus interest of $7,293.41 for a total of $47,812.62 in special damages on a joint and several basis against Mr. Malek Sr. and Mr. Malek Jr.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As well, ICBC is entitled to an award of $4,324.16 or 5% of its general damages against Mr. Malek Sr. and $4,324.16 or 5% of its general damages against Mr. Malek Jr.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Claim No.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his deemed admissions, Mr. Mehr-Abadi admits that he was involved in collision no. 7 for the purpose of initiating fraudulent insurance claims against ICBC. Mr. Mehr-Abadi admits that he planned and intended to cause collision no. 7 in order to present claims to ICBC for insurance money and that ICBC made certain payments with respect to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evidence is that ICBC paid out $3,293.81 for property damage to Mr. Mehr-Abadi's vehicle and some incidental costs. ICBC is entitled to recover that amount plus interest of $585.87 for a total of $3,879.68 from Mr. Mehr-Abadi.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As well, ICBC is entitled to an award of $4,324.16 or 5% of its general damages against Mr. Mehr-Abadi.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Claim No.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his deemed admissions, Mr. Ahmadi admits that he and Mr. Khorasani planned together and agreed to cause collision no. 8 in order to present claims to ICBC for insurance money and that ICBC made certain payments with respect to their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Khorasani testified at the trial and admitted that he and Mr. Ahmadi had planned together and agreed to cause collision no. 8. The evidence is that Mr. Khorasani has settled with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ICBC's evidence is that it paid out $18,662.02 for the damage to the two vehicles, the personal injuries suffered by Mr. Ahmadi, and legal fees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settlement agreement entered into between Mr. Khorasani and ICBC indicates that as of January 9, 2006, ICBC claimed that it had paid out the amount of $14,708.11 in special damages for claim no. 8. In the settlement agreement, Mr. Khorasani agreed to settle the action for a total of $7,355.00 representing half of the special damages. From the damage summary provided by ICBC, it appears that the difference between what was being claimed in 2006 and date of the trial is legal fees and disbursements. There was no evidence from ICBC as to why those legal fees and disbursements were included in this claim, and to what they relate. Accordingly, ICBC has not satisfied the onus on it of proving the special damages over and above the $14,708.11. ICBC is entitled to an award of special damages against Mr. Ahmadi of $7,353.11, which is the amount of $14,708.11 less the monies paid by Mr. Khorasani of $7,355.00. ICBC is also entitled to court order interest on that amount from September 27, 2002 to June 11,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Claim No.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ICBC paid out $9,897.53 for property damage to the two vehicles involved in collision no. 9. ICBC is entitled to recover that amount plus interest of $1,377.40 for a total of $11,274.93 from Mr. Shardi-Manaheji.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As well, ICBC is entitled to recover the amount of $4,324.16 representing 5% of its special damages from Mr. Shardi-Manaheji.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Claim No.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have found Mr. Husseinian liable for claim no. 10. As a defaulting defendant, Mr. Samimifar is deemed to admit that he conspired with Mr. Husseinian and others to plan and cause collision no. 10 in order to present claims to ICBC for insurance money, and that ICBC made certain payments with respect to his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ICBC paid the amount of $17,925.71 for property damage and personal injuries of Mr. Soheylian, the passenger in Mr. Samimifar's vehicle. The claim includes the amount of $1,185.19 paid for legal fees related to Mr. Soheylian's injuries. As well, there was an amount of $327.07 paid in regards to Mr. Soheylian's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ICBC originally sued Mr. Soheylian in this action and Mr. Soheylian sued ICBC in a separate action for the injuries he said he sustained in the accident. The actions commenced by both ICBC and Mr. Soheylian were discontinued at the commencement of this trial. Having discontinued its action against Mr. Soheylian without costs, ICBC cannot now claim those costs against defendants in this action. Nor has ICBC presented any authority that it can claim against other defendants for monies it has paid out to or on behalf of Mr. Soheylian. Accordingly, any award should be reduced by the amount of $1,512.26 which is the amount paid to Mr. Soheylian.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ICBC is entitled to recover the amount of $16,413.45 against Mr. Samimifar and Mr. Husseinian on a joint and several basis. ICBC is entitled to court order interest on that amount from July 22, 2003 to June 11,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ICBC is also entitled to recover the amount of $4,324.16 or 5% of its general damages from Mr. Samimifar.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Claim No.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his deemed admissions, Mr. Rohani admits that he and Mr. Husseinian planned together and agreed to cause collision no. 11 in order to present claims to ICBC for insurance money and that ICBC made certain payments with respect to their claims. As well, Mr. Haner and Mr. Edwards both testified that Mr. Rohani had admitted to them that accident no. 11 was staged.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ICBC paid out $22,158.70 for property damages, towing charges, incidental costs and the personal injuries claimed by Mr. Rohani, plus interest in the amount of $2,493.68, for a total of $24,652.38. ICBC is entitled to recover that amount from Mr. Rohani and Mr. Husseinian on a joint and several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As well, ICBC is entitled to recover $4,324.16 representing 5% of its general damages from Mr. Rohani.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Claim No.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ICBC paid out $7,894.92 for property damage to the two vehicles involved in the collision and incidental expenses. ICBC is entitled to recover that amount from Mr. Jafari plus interest in the amount of $887.41 for a total of $8,782.33. As well, ICBC is entitled to recover $4,324.16 representing 5% of its general damages from Mr. Jafari.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Claim No.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As a defaulting defendant, Mr. Ahmadi is deemed to admit that he fraudulently represented to ICBC that he was operating the vehicle owned by his mother, Ms. Milvechi, at the time of the accident. ICBC paid out $816.83 for the property damage for two vehicles involved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Mr. Haner's evidence was that Mr. Ahmadi was charged and pled guilty in provincial court to an offence under of s. 42.1 of the </w:t>
      </w:r>
      <w:r>
        <w:rPr>
          <w:rFonts w:ascii="arial" w:eastAsia="arial" w:hAnsi="arial" w:cs="arial"/>
          <w:b/>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Mr. Ahmadi was fined and ordered to pay restitution to ICBC for monies paid out by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ICBC has presented no authority that it is entitled to recover in this action the same amount that Mr. Ahmadi has been ordered to pay in restitution in provincial court. In my view, ICBC is not entitled to double recovery of the amount that it has paid out for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[2002] 1 S.C.R. 595</w:t>
        </w:r>
      </w:hyperlink>
      <w:r>
        <w:rPr>
          <w:rFonts w:ascii="arial" w:eastAsia="arial" w:hAnsi="arial" w:cs="arial"/>
          <w:color w:val="000000"/>
          <w:sz w:val="20"/>
          <w:lang w:val="en-US" w:eastAsia="en-US" w:bidi="ar-SA"/>
        </w:rPr>
        <w:t>, the Supreme Court of Canada stated at para. 94 that the following points are important in determining whether an award of punitive damages is appropriate:</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Punitive damages are very much the exception rather than the rule, (2) imposed </w:t>
      </w:r>
      <w:r>
        <w:rPr>
          <w:rFonts w:ascii="arial" w:eastAsia="arial" w:hAnsi="arial" w:cs="arial"/>
          <w:color w:val="000000"/>
          <w:sz w:val="20"/>
          <w:u w:val="single"/>
          <w:lang w:val="en-US" w:eastAsia="en-US" w:bidi="ar-SA"/>
        </w:rPr>
        <w:t>only</w:t>
      </w:r>
      <w:r>
        <w:rPr>
          <w:rFonts w:ascii="arial" w:eastAsia="arial" w:hAnsi="arial" w:cs="arial"/>
          <w:color w:val="000000"/>
          <w:sz w:val="20"/>
          <w:lang w:val="en-US" w:eastAsia="en-US" w:bidi="ar-SA"/>
        </w:rPr>
        <w:t xml:space="preserve"> if there has been high-handed, malicious, arbitrary or highly reprehensible misconduct that departs to a marked degree from ordinary standards of decent behaviour. (3) Where they are awarded, punitive damages should be assessed in an amount reasonably proportionate to such factors as the harm caused, the degree of the misconduct, the relative vulnerability of the plaintiff and any advantage or profit gained by the defendant, (4) having regard to any other fines or penalties suffered by the defendant for the misconduct in question. (5) Punitive damages are generally given only where the misconduct would otherwise be unpunished or where other penalties are or are likely to be inadequate to achieve the objectives of retribution, deterrence and denunciation. (6) Their purpose is not to compensate the plaintiff, but (7) to give a defendant his or her just desert (retribution), to deter the defendant and others from similar misconduct in the future (deterrence), and to mark the community's collective condemnation (denunciation) of what has happened. (8) Punitive damages are awarded only where compensatory damages, which to some extent are punitive, are insufficient to accomplish these objectives, and (9) they are given in an amount that is no greater than necessary to rationally accomplish their purpose. (10) While normally the state would be the recipient of any fine or penalty for misconduct, the plaintiff will keep punitive damages as a "windfall" in addition to compensatory damages. (11) Judges and juries in our system have usually found that moderate awards of punitive damages, which inevitably carry a stigma in the broader community, are generally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court went on to note at para. 95 that what is essential in determining whether an award of punitive damages should be made and the amount of the award are the particular circumstances of the case, the fact that the remedy is exceptional, and fairness to both sides.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Other factors to consider in determining whether an award of punitive damages should be made and the amount of the award include:</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financial means of the defendant;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 required the plaintiff to proves its claim;</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 has perpetrated a fraud on the public;</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conduct includes criminal conduct;</w:t>
      </w:r>
    </w:p>
    <w:p>
      <w:pPr>
        <w:numPr>
          <w:numId w:val="2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defendant has been charged criminally, that fact should be taken into account;</w:t>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 has abused the court process by conduct such as commencing actions in pursuit of his or her fraudulent claims;</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act was fraudulent, whether it was planned and deliberate; and</w:t>
      </w:r>
    </w:p>
    <w:p>
      <w:pPr>
        <w:numPr>
          <w:numId w:val="3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was one act or multiple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Insurance Corporation of British Columbia v. Akers</w:t>
      </w:r>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2003 BCSC 1407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Insurance Corp. of British Columbia v. Hoang</w:t>
      </w:r>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2002 BCSC 1162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Insurance Corp. of British Columbia v. Hoang</w:t>
      </w:r>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2003 BCSC 1139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Each claim should be considered on an individual basis. However, ICBC submits that there are general factors relating to all of the defendants that should be considered in addition to the factors relating to individual defendants in assessing whether an award of punitive damages is appropriate and, if so, the amount of the award against each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ICBC submits the general factors that relate to all collisions where the thefts of stolen vehicles were legitimate thefts, include the fact that the owners of those vehicles were innocent victims. As well, ICBC argues that all of the collisions caused several of the community's resources to be abused and wasted, including ICBC adjustors and investigators, tow truck drivers, doctors, 911 operators, police officers, fire fighters and ambulance attendants.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In this case there is no evidence that the defendants other than Mr. Ahmadi will face criminal charges. However, there is evidence that ICBC has sanctioned some of the defendants, namely, Mr. Jafari and Mr. Ali Malek, by refusing to provide them with anything other than basic insurance coverage. Both of those defendants testified that they had recently received a letter from ICBC informing them of ICBC's decision. Mr. Seyamak Rohani also testified that ICBC had declined to insure him. It is reasonable to infer that ICBC will advise all the defendants that it will no longer provide anything other than basic insurance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Although ICBC asserts that the defendants can obtain insurance from other carriers, Mr. Malek Jr. says that the effect of ICBC not providing optional insurance to them is that other insurers will not provide coverage. In my view, this is a factor to be taken into consideration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As set out, I have determined that all of the defendants, except Mr. Hafez-Ghoran, have staged one or more accidents and have provided ICBC with fraudulent proofs of loss and false statements in order to obtain insurance monies from ICBC. The conduct of the defendants in deliberately participating in an extensive scheme to defraud ICBC of significant insurance monies is, in my view, the type of reprehensible conduct that calls for an award of punitive damages. An award for punitive damages is not a duplication of the special and general damage awards I have made to compensate ICBC for the losses and the expenses that it has incurred as a result of the defendants' frauds. Those awards do not address the reprehensible aspect or the need for specific and general deterrence and denunciation of the conduct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I turn next to the quantum of the award. ICBC submits that the quantum of the punitive damage awards made in jury awards should be taken into consideration in determining the appropriate amount of the award for punitive damages. However, it is my view that the more appropriate awards to consider are those in the judge decided cases which take into account the factors enunciated by the Supreme Court of Canada in </w:t>
      </w:r>
      <w:r>
        <w:rPr>
          <w:rFonts w:ascii="arial" w:eastAsia="arial" w:hAnsi="arial" w:cs="arial"/>
          <w:b/>
          <w:i/>
          <w:color w:val="000000"/>
          <w:sz w:val="20"/>
          <w:lang w:val="en-US" w:eastAsia="en-US" w:bidi="ar-SA"/>
        </w:rPr>
        <w:t>Whiten v. Pilot Insurance Company</w:t>
      </w:r>
      <w:r>
        <w:rPr>
          <w:rFonts w:ascii="arial" w:eastAsia="arial" w:hAnsi="arial" w:cs="arial"/>
          <w:color w:val="000000"/>
          <w:sz w:val="20"/>
          <w:lang w:val="en-US" w:eastAsia="en-US" w:bidi="ar-SA"/>
        </w:rPr>
        <w:t>, including the consideration that a moderate award is usually sufficient to rationally accomplish the purposes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No evidence of the financial means of the defendants was adduced; however, there is evidence that some of the defendants were either teenagers or very young adults at the time they were involved in the fraudulent activity, and that they have since gone on to complete education and job training and are now gainfully employed. It is my view, that the youth of a defendant at the time of the fraudulent activity is another factor that should be considered in determining the fairness of the award to both sides.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 will deal with each of the defendants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Mr. Ahmadi participated in three staged accidents and made a fraudulent claim in another action. Although he did not require ICBC to prove its claim against him in this action, he commenced an action for the personal injuries he sustained. He was the only defendant who was charged criminally; however he has neither paid the fine, nor reimbursed ICBC for the costs of the accident as required. In the circumstances and taking into account the factors noted above, I assess punitive damages of $50,000 against Mr. Ahmadi.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Mr. Husseinian either staged or conspired with others to stage four accidents. He commenced an action for damages for his personal injuries in claim no. 2. His conduct was more egregious than that of Mr. Ahmadi, particularly his conduct in attempting to influence Mr. Rohani's evidence at the trial of this matter. Having taken all of the circumstances of Mr. Husseinian's conduct into account, I am assessing punitive damages against him in the amount of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Mr. Malek Sr. was involved in staging one accident and commenced a personal injury claim as a result of the injuries he sustained in that accident. Having considered all the circumstances of Mr. Malek Sr.'s conduct into account, I am assessing punitive damages against him in the amount of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Mr. Malek Jr. was involved in staging one accident and commenced a personal injury claim as a result of the injuries he sustained in that accident. Since the accident he has completed his education and is now gainfully employed. In my view, the fact he was young at the time of the accident is a factor to be taken into account. Having taken all of the factors into consideration, I am assessing punitive damages against him in the amount of $7,500.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Mr. Mehr-Abadi is one of the defaulted defendants. He did not require ICBC to prove its case against him. He was young at the time that he was involved in staging the accident. I am assessing punitive damages against him in the amount of $3,500.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Mr. Shardi-Manaheji was involved in one accident involving a parked car. He did not pursue any action against ICBC and the damages paid out were for property damage and were modest compared to some of the other claims, such as those advanced by the Maleks. He was young at the time he participated in staging the accident, and since the accident he has obtained a trade certification and is gainfully employed. I am assessing punitive damages against him in the amount of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Mr. Samimifar is another of the defaulted defendants who did not require ICBC to prove its case against him. He was involved in one accident which resulted in both property damage and personal injury claims. However, he did not commence an action for personal injuries against ICBC. I am assessing punitive damages against him in the amount of $3,500.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Mr. Rohani is another of the defaulted defendants. He commenced an action for the personal injuries he says resulted from the accident which was dismissed. Although he defaulted in this action and admitted to both Mr. Haner and Mr. Edwards that he had staged the accident, he attended the trial and testified that he had bluffed ICBC when he said the accident was staged. His evidence at trial was rambling and internally inconsistent. Rather than answering questions, it appeared that he wanted to give a speech about the unfair treatment he received at the hands of ICBC. Having taken all of the circumstances into account, I am assessing punitive damages against Mr. Rohani in the amount of $7,500.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Mr. Jafari was involved in staging one accident. He did not pursue his claim for personal injuries as a result of the accident, and the only monies paid out by ICBC were for property damage to the vehicles. He was young at the time of the accident, and since the accident he has gone on to obtain a trade certification and is gainfully employed. I am assessing punitive damages against him in the amount of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ICBC is entitled to its costs of the action at Scale B against the defendants, except for Mr. Hafez-Ghoran, subject to submissions. Mr. Hafez-Ghoran is entitled to his costs at scale B against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L.B. GEROW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9" style="position:absolute;z-index:2518517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38"/>
          <w:headerReference w:type="default" r:id="rId739"/>
          <w:footerReference w:type="even" r:id="rId740"/>
          <w:footerReference w:type="default" r:id="rId741"/>
          <w:headerReference w:type="first" r:id="rId742"/>
          <w:footerReference w:type="first" r:id="rId74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28" w:history="1">
        <w:r>
          <w:rPr>
            <w:rFonts w:ascii="arial" w:eastAsia="arial" w:hAnsi="arial" w:cs="arial"/>
            <w:b/>
            <w:bCs/>
            <w:i/>
            <w:color w:val="0077CC"/>
            <w:kern w:val="32"/>
            <w:sz w:val="28"/>
            <w:szCs w:val="32"/>
            <w:u w:val="single"/>
            <w:shd w:val="clear" w:color="auto" w:fill="FFFFFF"/>
            <w:lang w:val="en-US" w:eastAsia="en-US" w:bidi="ar-SA"/>
          </w:rPr>
          <w:t>Insurance Corp. of British Columbia v. Phung, [2003] B.C.J. No. 1936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Harvey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10 - 13, March 17 and 18,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March 20 and 21,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19,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S004631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1936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1281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 C.C.L.I. (4th) 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124 A.C.W.S. (3d) 931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Insurance Corporation of British Columbia, plaintiff, and Van Luong Phung, Van Hien Phung, Tong Van Vu, Soi Thi Le, Paul Hung Doan, Vinh Van Le, Huong Thi Vu, Hung Manh Nguyen, Lien Thi Le, Thanh Son Le, Thanh Phu Trinh, Tuyen Van Do, Van Khai Tang, Tuan Duc Bui, Thi Ha Truong, Van Hong Nguyen, Quoc Nam Tran, Van Dao Nguyen, Quang Dung Tran, Thi Phuong Pham, Van Long Do, Loan Thi Nguyen, and Lin Nguyen and Van Tan Pham,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0"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1" w:name="Keywords_39"/>
      <w:bookmarkEnd w:id="261"/>
      <w:r>
        <w:rPr>
          <w:rFonts w:ascii="arial" w:eastAsia="arial" w:hAnsi="arial" w:cs="arial"/>
          <w:b/>
          <w:color w:val="000000"/>
          <w:sz w:val="20"/>
          <w:lang w:val="en-US" w:eastAsia="en-US" w:bidi="ar-SA"/>
        </w:rPr>
        <w:t>Insurance — Automobile insurance, compulsory government schemes — Recovery by insurer — Overpayment, error or fraud — Damage awards — Exemplary or punitive damages — Fraud.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2" w:name="Case Summary_35"/>
            <w:bookmarkEnd w:id="26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ICBC for recovery of money paid to its insured. Phung and 25 others made claims to the plaintiff insurer ICBC for personal injuries relating to four automobile accidents which occurred between 1993 and 1995. All of the accidents were rear-end collisions, with no liability issues. All of the claims were for soft tissue injuries allegedly sustained in the accidents. The claims were paid, and little investigation was carried out by ICBC at the time of the accidents. However, ICBC later investigated the accidents and determined that three of them were staged, and that the other was a real accident which presented the defendants with opportunities to defraud ICBC. The defendants did not defend the action, except for Phung, who claimed that he had not defrauded ICBC. Witnesses involved in the two genuine accidents testified that in both cases, the defendant vehicles rear-ended their vehicles and presented with injuries. No ICBC investigators questioned them at the time. Phung was involved in all four accidents, as a driver of one of the vehicles. He also knew the defendants and had assisted them in making their claims to ICBC. One of the innocent drivers claimed that the defendants had deliberately struck her vehicle, and then several other people got in the defendant vehicle, in order to make claims. ICBC claimed for all monies paid out to the defendant insured including special damages for monies paid to the innocent drivers as damages. It further sought punitive damages, on the basis of fraud. It alleged that, while Phung was directly involved in only two of the accidents, he was the mastermind of the scheme, and had conspired in a joint enterprise to defraud ICBC.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3" w:name="Holdings of Court_32"/>
            <w:bookmarkEnd w:id="263"/>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Two of the accidents were clearly staged, for the fraudulent purpose of defrauding ICBC. The other two were opportunities which the defendants fraudulently pursued. ICBC was awarded its full damages against the defendants, including all monies paid out to them for personal injuries, and monies paid to the innocent drivers. In addition, in what was a joint enterprise to defraud ICBC, punitive damages were appropriate. Punitive damages for the defendants ranged from $5,000 to $15,000. Because Phung was the mastermind of the scheme, and was involved in all four accidents, he was ordered to pay punitive damages of $25,000.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4" w:name="Legislation Cited_30"/>
      <w:bookmarkEnd w:id="26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1"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19(19).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5" w:name="Counsel_39"/>
      <w:bookmarkEnd w:id="26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2" style="position:absolute;z-index:251801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F.G. Potts and B. Martyniuk, for the plaintiff. D.E. Komori, for the defendant, Van Luong Phung. Thanh Son Le, appeared in person on March 10 - 13 and March 17 and 18, 2003.</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6" w:name="Judgment_39"/>
      <w:bookmarkEnd w:id="266"/>
      <w:r>
        <w:pict>
          <v:line id="_x0000_s1223" style="position:absolute;z-index:25185280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7" w:name="HARVEY J."/>
            <w:bookmarkEnd w:id="267"/>
            <w:r>
              <w:rPr>
                <w:rFonts w:ascii="arial" w:eastAsia="arial" w:hAnsi="arial" w:cs="arial"/>
                <w:b/>
                <w:color w:val="000000"/>
                <w:sz w:val="30"/>
                <w:lang w:val="en-US" w:eastAsia="en-US" w:bidi="ar-SA"/>
              </w:rPr>
              <w:t>HARVEY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fraud and deceit against twenty-six individuals, who were involved in five motor vehicle accidents, four of which were deliberately staged to fraudulently obtain insurance monies. In the fifth motor vehicle accident, an opportunity arose which was acted upon by the defendants involved therein to fraudulently obtain insurance monies.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majority of the defendants, in the words of counsel for the plaintiff, were "defaulted" and damages have been assessed against them, including punitive damages, where considered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relation to certain defendants, leave to discontinue without costs was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During the course of the trial, a settlement of the plaintiff's claims against the defendant Thanh Son Le was reached, the result of which was this defendant consented to judgment being entered against him for the inclusive sum of $20,000 on March 18,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this action, the plaintiff seeks:</w:t>
      </w:r>
      <w:r>
        <w:rPr>
          <w:rFonts w:ascii="arial" w:eastAsia="arial" w:hAnsi="arial" w:cs="arial"/>
          <w:sz w:val="20"/>
          <w:lang w:val="en-US" w:eastAsia="en-US" w:bidi="ar-SA"/>
        </w:rPr>
        <w:cr/>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Quantification of damages in relation to the defendants Lin Nguyen, Van Tan Pham, and Thanh Phu Trinh. In relation to the defendants Lin Nguyen and Van Tan Pham, no appearances having been entered, they were defaulted. In relation to the defendant Thanh Phu Trinh, while an appearance was entered, he was later defaulted, being in breach of the terms of an order of the court and proceeded against as if no appearance had been entered.</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and assessment of damages against the defendant Van Luong Phung in relation to four of the five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named defendants, save and except Van Luong Phung, by reason of having been defaulted, are deemed to have admitted the allegations made against them based on their failure to file either an appearance or statement of defence, or failure to comply with terms of an order of the court, pursuant to Rule 19(19) of the Supreme Court Rules. In this regard, allegations not denied are deemed to be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Insofar as the pleadings are concerned, and particularly the allegations made by the plaintiff against the defendants, I refer to paragraphs 26-30 inclusive of the further amended writ of summons.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scheme to defraud as referred to therein is particularized in paragraph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general terms, the staged motor vehicle accidents involved a collision between two motor vehicles for the purpose of advancing fraudulent material damage and personal injury claims. Those involved in such enterprises (referred to by counsel for the plaintiff as joint enterprises) would stage the motor vehicle accidents in such a manner that:</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was not an issue with the usual form of accident being a rear end collision;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would be in the form of soft tissue injuries wherein the symptomatology of injury would almost entirely be subjective in nature and depend upon the acceptance of such complaints as being genuine;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of the same medical doctor who while not involved in the enterprise would be compliant and would engage in assessment and diagnosis with a reasonably low threshold of disbelief.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turn next to the motor vehicle accidents which are the subject of this litigation. As I have stated supra, when the action was initiated, some five motor vehicle accidents were the subject of the alleged fraudulent conduct on the part of the defendants. This trial involved consideration of four accidents which occurred on the following dates and have been referred to throughout as accidents 1, 2, 3, and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Accident 1 - May 11, 1993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Accident 2 - August 15, 1993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Accident 3 - July 24, 1995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Accident 4 - September 6,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Accidents 2, 3 and 4 were staged motor vehicle accidents involving two motor vehicles car A and car B with passengers therein.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Accident 1 was not a staged motor vehicle accident but rather one which presented itself as a case of opportunistic fraud. It is for this reason that in relation to accident 1 the question of liability for the collision is in issue as well as whether the driver of car A in this accident, the defendant Van Luong Phung, was involved in a joint enterprise with the two passengers in his vehicle, the defendants Van Hien Phung and Tong Van Vu, fraudulently to obtain monies from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course of the trial, the accidents were dealt with sequentially. In this regard, counsel for the plaintiff prepared an aide memoir which was of assistance, not only in relation to indicating which of the defendants were involved in the said accidents, but as well, was of assistance in indicating the disposition of the actions against those defendants save and except the defendant Van Luong Phung.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relation to the defendant Van Luong Phung, he was an actual participant with direct involvement in accidents 1 and 3. In relation to those accidents, he was the driver of one of the two vehicles involved in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accidents 2 and 4, the defendant Van Puong Phung had indirect involvement in that he was not actually in either of the vehicles involved in the staged motor vehicle accidents. In relation to those accidents, however, a motor vehicle owned by him was involved with his brother, the defendant Van Hien Phung, driving the vehicle. In relation to accidents 2 and 4, the defendant Van Luong Phung assisted the defendants in the vehicles advancing their respective claims for damages against the plaintiff. In relation to these accidents, he acted as the translator for the said defendants and in the totality of his involvement, became part of what counsel for the plaintiff alleges was a joint enterprise to defraud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relation to the accidents that Van Luong Phung had a direct involvement in, namely accidents 1 and 3, the issue is whether he perpetrated a fraud on ICBC. In relation to the accidents he was indirectly involved in, namely accidents 2 and 4, the issue is whether he was involved in a joint enterprise to defraud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keeping with the nature of the issues remaining for determination, apart from the assessment of damages related to the defendants Lin Nguyen, Van Tan Pham, and Thanh Phu Trinh, the issue of the credibility of the defendant Van Luong Phung looms large and can be said to be of the utmost significance. Because of its importance to the other issues before me, I propose to address the credibility of the defendant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the commencement of his submissions in argument, Mr. Potts put it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position is, the major issue is Mr. Phung's credibility we say he doesnt have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have reviewed all of the defendant's testimony before me: his cross-examination at discovery conducted in 2002 put in evidence at trial, his testimony at trial in his defence given over the course of three days, and the documentary evidence bearing upon the issues of liability in accident 1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keeping with that review, I have made allowances for a professed difficulty with the English language as a second language, including the relevant times of the accidents under consideration, when he was examined for discovery in 2002 and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the result, I find the defendant Van Luong Phung is lacking entirely in credibility in relation to all of the issues requiring determination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make this finding for the following reasons, not necessarily in order of importance.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Van Luong Phung exhibited an evasiveness under cross-examination which in the circumstances here was lengthy and penetrating. In many instances, when he did answer the cross-examiner's question, the answer was not responsive.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 was argumentative with counsel in the course of cross-examination which I took in substantial part to be an attempt on his part to divert the cross-examiner from pursuing a given line of questioning. I comment in passing that the cross-examiner, Mr. Potts, would not be so deterred.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He demonstrated in the course of his evidence at trial a most selective memory, using the time factors apparent here as the basis for the "I don't remember" answer given to many questions. When it was in his interest, however, he purported to remember events, sometimes with particularity, otherwise he professed not to be able to remember. When he was confronted with documents bearing his signature, such as, for example, a signed statement given by him to investigators, he would recall the statement or statements, but when not in his interest to confirm the statements, he would say they were not complete in that he only answered questions put to him by the investigators and did not at that time tell them all he knew. This will be illustrated further when I deal with accident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His professed inability at times, particularly during cross-examination, to understand the English language was used by him to require interpretation to be implemented to operate to his advantage.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comment in passing he did not require translation of the proceedings at trial until the morning of the second day of his cross-examination. Further, in the course of the trial, it became evident that in relation to accidents 2 and 4, in which Van Luong Phung was not directly involved but a motor vehicle owned by him and driven by his brother, the defendant Van Hien Phung, was one of the two vehicles involved, he became directly involved in assisting those defendants who were passengers in the vehicles in advancing their claims for damages for personal injury from the plaintiff. In relation to those accidents, he "represented" these defendants in the sense of acting as interpreter and translator in part in settlement of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most dramatic use of his purported difficulty with the English language was when, in the course of cross-examination upon certain of his testimony given at discovery in 2002, Van Luong Phung questioned the quality of the interpretation at discovery and the transcript of his testimony. I note that the quality of the interpretation and the transcript were not the subject of challenge up to this point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This position caused counsel for the plaintiff to make arrangements to call the interpreter and the official court reporter used on that occasion to give evidence at a subsequent date. When it was appreciated by the defendant Van Luong Phung that the interpreter at discovery in 2002 was the same interpreter dealing with his cross-examination from the second day forward at trial, this objection was withdrawn.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am satisfied that Van Luong Phungs purported difficulties with the English language and his reversion to the use of an interpreter on the second day of his cross-examination at trial was a tactic to interfere with or impair the effect of cross-examination, particularly when he was confronted with obvious differences in his evidence, whether in the form of previous sworn testimony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my view, the most serious conduct to consider in relation to the issue of credibility is Van Luong Phungs untruthfulness, including that under oath. I will refer to but two examples which came to light during his cross-examination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one point in his cross-examination at trial, Mr. Potts was pursuing the subject of the acquisition by the defendant Van Luong Phung and subsequent sale of a certain Nissan Maxima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pursuit of the defendant on this subject included reference to two Transfer Tax Forms required by the law of this province to be filed upon such transactions taking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At his discovery in 2002, Van Luong Phung stated he purchased the said motor vehicle for $10,000 cash. In May, 1999 he informed investigators employed by the plaintiff that he had received the said motor vehicle from a woman he did not know as a result of a gambling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Transfer Tax Forms indicate the following: on November 26, 1996 one Cam Thi Nguyen gifted the said motor vehicle to the defendant Van Luong Phung. Further, the second Transfer Tax Form dated June 14, 1999 indicates the defendant Van Luong Phung gifted the said motor vehicle to Thanh Phu Trinh. At his discovery in 2002, however, the defendant Van Luong Phung stated he sold the said motor vehicle "to a guy" a person unknown to him for $10,000 cash.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comment in passing that the Cam Thi Nguyen referred to supra is the wife of the defendant Thanh Phu Trinh, the driver of car B in accident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testimony of the defendant Van Luong Phung relevant to this aspect of the matter both at the discovery and at trial is extensive for reasons which will become apparent.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refer first to the testimony of the defendant Van Luong Phung at his discovery conducted at Kamloops, B.C. on June 18 and 19,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1330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am producing to you a photocopy of a transfer tax form dated June 24th, 1999, wherein a brown 1991 Nissan Maxima is transferred from you to Thanh Phu Trinh, have a look at that and tell me whether or not that's your signature where it says seller?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1331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is your signature?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8"/>
        <w:gridCol w:w="185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POTTS:</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Mark that as the next exhibit.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6"/>
        <w:gridCol w:w="1732"/>
        <w:gridCol w:w="236"/>
        <w:gridCol w:w="7232"/>
        <w:gridCol w:w="102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[EXHIBIT NO. 14 FOR IDENTIFICATION: TRANSFER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MR. POTTS:</w:t>
            </w:r>
          </w:p>
        </w:tc>
        <w:tc>
          <w:tcPr>
            <w:tcW w:w="1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1332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This document, sir, refers to the same brown Nissan that you were telling me that you bought from this unidentified woman for $10,000.00, we are agreed on that, aren't we?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1336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this your signature on Exhibit "14"?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that's my signature. 1337 Q Did you see the name Trinh Thanh Phu, the purchaser?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am not sure about it, I remember at that time I sold a car to an Asian person.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1355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did you do with the cash, put it in the bank?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used for gambling.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1356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got $10,000.00 cash and you gambled it all away?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1373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you were starting to tell me why it says on Exhibit "14", that it's a gift from you to Trinh, why is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because that's the buyer request.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1374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buyer told sorry, go ahead?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they didn't want to pay tax.</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1375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didn't want to pay tax?</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don't know because I was the seller, I didnt have to pay tax.</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1376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you were helping him by saying it was a gift so he wouldn't have to pay tax?</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1377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say that he was actually buying the car for $10,000.00?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1378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you put down on Exhibit "14" it was a gift?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1379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 wasn't true, it wasn't a gift?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1380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you put it down so that he could avoid paying the tax he was supposed to pay?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1381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knew that's why he wanted you to say it was a gift, to avoid paying tax?</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1382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were prepared to lie on the form to help him cheat the government out of its tax?</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was his business, not my business.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1383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it was your business that you lied on the form, wasn't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I was only the seller, I did need the money, that's 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1384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Maybe, sir, tell me if you disagree with this, you lied on the form and the reason you lied on the form is so that he wouldn't have to pay tax, is that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This area was revisited at trial. I refer to the following extracts from the cross-examination of the defendant Van Luong Phung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the time did you know that Cam Thi Nguyen was the wife of Mr. Trinh?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didnt even know, how I did know that she was wife or husband, whatever.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know now that she is the wife of Mr. Trinh?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still don't.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new to you, is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you say its just coincidence that Cam Thi Nguyen sold this vehicle to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the sale of that vehicle to Mr. Trinh, was it just a coincidence that he bought the vehicle from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Question. How much did he pay for the car? Answer I took $10,000 for the car, the same as before. Question did he pay you cash? Answer yes. Were you asked those questions, did you give those answers?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Were they true?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Question, what did you do with the cash, put it in the bank? Answer I used for gambling. Question so you got ten thousand cash and you gambled it all away answer yes. Were you asked those questions, did you give those answers?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Were they true?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answer is not.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that the answer you gave?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the answer you gave wasn't true?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know it wasn't true when you said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did.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Then why did you say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I'm an innocent person and you pushed me to the corner. I got very upset.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see. So you knowingly gave an untrue answer because you were pushed in a corner and you were upset, is that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Q Okay. Question so you got $10,000 cash and you gambled it all away? Answer yes. Question none of it made it into a bank account, there is no paper trail of any sort relating to that $10,000 that you received? Answer yes. Were you asked those questions, did you give those answers?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Were they true?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 give that answer, but on my mind, it was not.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sorry, I don't understand that. What do you mean?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 give that answer to your question, but I only said that when I was upset. It was not the truth.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this being pushed into a corner, sir, what do you mean by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didn't say literally pushed to the corner. I said that push me to the dead end, because you push me too much.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Well, what I'm that's what I'm trying to get at sir, what are you referring to, being asked the questions or something else?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I'm innocent, and when an innocent person is pushed that much, and you are purposely suing me, I got so upset, it's not my fault.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You seem to be saying, sir, that because you are an innocent man, being asked questions, that it's okay to lie after you've been affirmed. Is that what you're saying?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it's not what I'm saying.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then I've misunderstood you. You do agree, sir, that you knowingly lied when you answered those two questions. You agreed with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you should understand that when you pushed an innocent person too much, of course that person has to be angry.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question, sir, was do you agree that you knowingly lied when you answered those two questions?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was upset.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is apparent from the thrust of this cross-examination, Mr. Potts pressed the defendant as to why he would lie (state an untruth) on an official document to assist persons he did not know (according to him at the time) to save those persons from a liability for tax. The answer he gave at first was he was not a purchaser and the liability for tax was not his business. When pressed with regard to this form of answer, the defendant had this to 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reason you signed an untrue document was so you wouldn't have to pay the tax?</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not right. It was not my fault. He did it for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You're talking about the agent are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see. So your explanation for your signature on a document which is untrue is that the agent made you do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he says no problem, I just have to sign it and because they needed customers.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Finally, I refer again to testimony of the defendant during his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a transfer of the same vehicle from you to Trinh Thanh Phu?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that your signature as seller?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I may have misunderstood you but in your evidence earlier today I thought you said the reason that showed as a gift was because Mr. Trinh wanted to avoid paying tax. Did I misunderstand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is his business. I don't know, because as a seller, I didnt have to pay tax.</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another occasion, May 12, 1997 the defendant Thanh Phu Trinh, while operating the said motor vehicle owned by the defendant Van Luong Phung received a traffic offence notice a ticket for a driving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When the use of his vehicle at that time was put to the defendant Van Luong Phung in cross-examination, he denied ever loaning the vehicle either at that time or at any other time to the defendant Thanh Phu Trinh, stating to that effect that someone must have taken his keys and returned them to him while he was at "the gambling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find Van Luong Phungs testimony taken as a whole in relation to the acquisition and sale of the said motor vehicle in the circumstances described, does not have any reality to it and seems to me to be a desperate attempt on his part to disassociate himself from the defendant Thanh Phu Trinh and, of course, his involvement with this defendant in accident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Further, the contradictory explanations he gave when pressed on the facts and circumstances of his involvement in these transactions and with whom they were conducted only serve to exemplify the tangled web woven "when first we practice to deceive". The lack of any sense of reality in his explanations is some indication of the contempt he has had and continues to have for the plaintiff and those of us required to receive and consider such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At one point in his cross-examination, not particularly associated with the point in issue, he volunteered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asked me ten questions only six answers were correct and the other four weren't."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turn to the accidents. I will first consider whether Van Luong Phung committed fraud in relation to the accidents he was directly involved in, namely accidents 1 and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Accident 1 occurred on May 11, 1993. The accident involved a collision between car A owned and driven by the defendant Van Luong Phung in which the defendants Van Hien Phung and Tong Van Vu were riding as passengers, and car B owned and driven by Scott Meyer.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This was not a staged motor vehicle accident. Rather, it was an accident which occurred fortuitously and provided an opportunity for the driver and passengers in car A to engage in a joint enterprise to defraud the plaintiff. In this perspective, it was described during the course of the trial as an opportunistic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At trial, there was a direct conflict between the testimony of the defendant Van Luong Phung and Scott Meyer as to not only how the accident occurred, but where it happened and what took place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a statement given to the plaintiff at that time, with the assistance of the defendant Lin Nguyen as interpreter, the defendant Van Luong Phung maintained that while driving his vehicle he was cut off by the Meyer vehicle on Highway 1 in Burnaby. He stated that following the collision between the two vehicles, he followed the Meyer vehicle, attempting to get him to pull over and stop, which efforts were unsuccessful. In this statement, he made no mention of being followed by the Meyer vehicle nor of any activity on the part of the passengers in this vehicle, including the throwing of an object or objects at the windshield of the Meyer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Insofar as the issues of liability for the accident, the two passengers gave statements to the plaintiff at the time that they were sleeping at the time the collision occurred and during the events which occurred shortly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Meyer's testimony at trial was given in a straightforward manner. Essentially, what he stated was the direct opposite of the evidence given by the defendant Van Luong Phung insofar as where and how the accident occurred. In this regard, Mr. Meyer states that he observed a vehicle closing in on his vehicle at a relatively high rate of speed on the Grandview Highway onramp, approaching Highway 1. Mr. Meyer states his vehicle was cut off by the Phung vehicle, resulting in a relatively minor collision occurring. Mr. Meyer states that from that point on, with both vehicles having entered Highway 1, he attempted to get the driver of the other vehicle's attention and to get him to pull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It is in this manner that the two vehicles proceeded along the highway until Mr. Meyer concluded by reason of the activity that occurred on the highway and the incident itself, that he had better report it to the police. Mr. Meyer proceeded to drive his vehicle to the Port Coquitlam detachment office of the police. His vehicle was followed by the Phung vehicle and there was an exchange between the two drivers and a police officer who did not take statements from them or for that matter do much more than direct them to report to the highway patrol detachment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Meyer states that during what may be described as a form of chase along the highway, persons (passengers) in the Phung vehicle threw objects towards his vehicle, one of which struck the windshield of the vehicle. He described the objects being thrown by persons in a standing position within the vehicle, projecting above the roof of the vehicle through its sunroof.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comment in passing there was no reference by the occupants of car A to the throwing of objects at the Meyer vehicle during the chase portion of this incident. At a later date, during his discovery, the defendant Van Luong Phung acknowledged that objects were thrown by the passengers in his vehicle at the Meyer vehicle using the opening of the sunroof to provide an opportunity for standing and throwing the objects. When questioned as to why he did not inform the plaintiff of these facts at the time of giving his initial statement, his answer was to the effect that he only answered questions which were put to him. It was in this way he attempted to explain what I will describe as the non-disclosure aspect of his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due course, the plaintiff received notice of accident 1 and shortly thereafter received claims for injury arising from the accident on the part of the defendants in car A. The plaintiff proceeded to process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keeping with an internal system used to process such claims, including particularly assessment of the question of liability, the plaintiff should have communicated with Mr. Meyer, by providing him with a form confirming the reporting of an accident involving his motor vehicle (he was also insured under the plan) and inviting his response. In keeping with such procedure, Mr. Meyer's response, when received, would be considered together with the statements of the other driver and any witnesses to the accident (the defendant passengers in car A) and a determination of the issue of liability would be made. By way of another form sent to Mr. Meyer, ICBC would invite him to accept or reject as the case may be, such determination. Following such a procedure, particularly for example in the case of rear end collisions, where liability would usually be "accepted" as indicated on the form, settlement of the claimants' claims would be negotiated.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the circumstances of this case, however, the plaintiff's internal system was not followed. The plaintiff has no record of communication with Mr. Meyer in the first instance, nor for that matter at any time thereafter until the fraud investigation giving rise to the advancement of this action was conducted years later, and Mr. Meyer's version of the accident and the surrounding circumstances was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To the extent that it has relevancy, Mr. Meyer did not proceed with a formal reporting of the accident at the time for a number of reasons:</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 to his motor vehicle described by him as a "project vehicle" was minimal;</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shortly thereafter took the vehicle off the road, abandoning the so called project he had earlier had in mind;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Shortly after involvement in this accident, he was diagnosed with cancer and as a result thereof spent the next nine to ten months is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It seems from the point of view of the plaintiff at that time, Mr. Meyer dropped out of sight and its system of determining and allocating fault was not pursued. Essentially, what the plaintiff did was to allocate liability for the motor vehicle accident to Mr. Meyer.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this regard, the occupants of car A in accident 1 were fortunate. What was initially only an opportunity to advance fraudulent claims for compensation from the plaintiff turned into the equivalent of a "sure thing" when Mr. Meyer's version of the accident and related events was not obtained at the relevant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the course of his submissions, Mr. Potts referred to what occurred in certain instances as "bad adjusting", in particular, what occurred in relation to investigation of accidents 1 and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have tried to avoid engaging in wisdom in hindsight in relation to the adjusting which did occur and particularly the circumstances and claims arising from accident 1 and accident 4 which I will refer to in greater detail later in these reasons. However, it is not unfair to say the "adjusting" in relation to those accident was incomplete and inaccurate. If for example the plaintiff's internal system had been followed, even minimally, the claims for damages of the passenger claimants in car B in accident 4 would have been rejected out of hand, and there would at the very least have been a serious issue as to liability for the accident in relation to accident 1. In this regard, it comes as no surprise that two of the passenger claimants in car B in accident 4 consented to judgment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turn next to the facts of accident 3. This was a staged accident in the true sense, where there is no issue as to liability, the at fault driver having "accepted" liability within the plaintiff's internal system. Here, there were no witnesses to derogate away from what appeared to be a conventional rear end collision, leaving the only issue to be the quantification of the damage claims arising therefrom.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relation to this accident, the defendant Van Luong Phung was the owner and driver of car A in which the defendants Thanh Son Le and Van Tan Pham were passengers. The owner and driver of car B was the defendant Thanh Phu Trinh.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All defendants who advanced claims for damages for this accident were defaulted except Van Luong Phung. The defendant Tranh Phu Trinh was also defaulted.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addition to the other circumstances related to this accident, it is of note that two days before the motor vehicle accident occurred, the defendant Thanh Phu Trinh obtained collision coverage for his vehicle a coverage he had never previously obtained for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 turn now to the issue of fraud with respect to these two accidents. The plaintiff ICBC bears the burden of proving that the defendant Van Luong Phung committed a fraud in advancing his claims. The plaintiffs burden of proof is on a balance of probabilities, but where there are allegations of a quasi-criminal act, as here, the degree of proof required is higher than what would be required in proving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Continental Ins. Co. v. Dalton Cartage Co. Ltd. </w:t>
      </w:r>
      <w:hyperlink r:id="rId466" w:history="1">
        <w:r>
          <w:rPr>
            <w:rFonts w:ascii="arial" w:eastAsia="arial" w:hAnsi="arial" w:cs="arial"/>
            <w:i/>
            <w:color w:val="0077CC"/>
            <w:sz w:val="20"/>
            <w:u w:val="single"/>
            <w:shd w:val="clear" w:color="auto" w:fill="FFFFFF"/>
            <w:lang w:val="en-US" w:eastAsia="en-US" w:bidi="ar-SA"/>
          </w:rPr>
          <w:t>(1982), 131 D.L.R. (3d) 559</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accepted test for actual fraud in a civil case is outlined by Lord Herschell in Derry v. Peek [1886-90] All E.R. Rep. 1 (H.L.) at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fraud is proved when it is shown that a false representation has been made (i) knowingly, or (ii) without belief in its truth, or (iii) recklessly, careless whether it be true or false. Although I have treated the second and third as distinct cases, I think the third is but an instance of the second, for one who makes a statement under such circumstances can have no real belief in the truth of what he states. To prevent a false statement being fraudulent, there must, I think, always be an honest belief in its truth. And this probably covers the whole ground, for one who knowingly alleges that which is false has obviously no such belief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Fraud may also be committed by incomplete disclosure. As was said by Chambre J. in his now famous dictum in Tapp v. Lee (1803), 127 All E.R. 200 at 203: "fraud may consist as well in the suppression of what is true as in the representation of what is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return to the issue of liability in accident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accept without reservation the testimony of Mr. Meyer as to where the accident occurred and the manner in which it occurred his vehicle being cut off by the defendant Phung's vehicle and a very minor collision occurring between the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this regard, I find that the defendant Van Luong Phung was entirely responsible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subsequent conduct of the defendant Van Luong Phung and the passengers in the vehicle, while perhaps in the perspective of road rage as suggested by Mr. Potts, is conduct on their part which may have been conducted to support the defendant Phung's position related to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relation to this accident, Van Luong Phung, the driver of the car, made a statement to the ICBC adjuster indicating that he was cut off by the Meyer vehicle. He made no mention of chasing or being chased by the Meyer vehicle, nor did he mention that the occupants of his vehicle were throwing a bottle or jar at the windshield of the Meyer vehicle. He made a claim of injury to the adjustor, but made no such claim when reporting the motor vehicle accident to the police. At discovery, Van Luong Phung said that following the motor vehicle accident he could not attend work. He advised Dr. Chow that he was in a motor vehicle accident where he was rear-ended. He subsequently retained a lawyer to advance a claim against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have no hesitation in finding that Van Luong Phung knowingly made a false representation about the cause of the accident in relation to accident 1 in that he misrepresented to the adjustor that he was cut off, when in fact he cut off the Meyer vehicle. He also made an incomplete disclosure to ICBC; his failure to tell ICBC about the chase and the bottle throwing incident was also fraudulent.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 add that whether there was bad adjusting or incomplete and inaccurate adjustment, as in the case of accidents 1 and 4, is of no moment when allegations of fraud are made against defendants. In this regard, it is no answer for those accused of such fraud, opportunistic or otherwise, to say the plaintiff here might have learned the truth by proper inquiry. The concept of due diligence in the perspective of fraud was rejected many years ago: United Services Funds v. Richardson Greenshields of Canada Ltd., </w:t>
      </w:r>
      <w:hyperlink r:id="rId744" w:history="1">
        <w:r>
          <w:rPr>
            <w:rFonts w:ascii="arial" w:eastAsia="arial" w:hAnsi="arial" w:cs="arial"/>
            <w:i/>
            <w:color w:val="0077CC"/>
            <w:sz w:val="20"/>
            <w:u w:val="single"/>
            <w:shd w:val="clear" w:color="auto" w:fill="FFFFFF"/>
            <w:lang w:val="en-US" w:eastAsia="en-US" w:bidi="ar-SA"/>
          </w:rPr>
          <w:t>[1988] B.C.J. No. 123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relation to accident 3, I also have no hesitation in finding that Van Luong Phung knowingly misrepresented the cause of the accident and the extent of his injuries in order to defraud ICBC and obtain money not properly owing to him. This was clearly a staged accident and Van Luong Phung again made false claims to the adjuster on behalf of himself and the others in his car, including that the passengers were asleep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turn next to the two accidents in which the plaintiff alleges Van Luong Phung was indirectly involved in, in the sense that he participated in a joint enterprise.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Accident 2 was also a true staged accident with no issue as to liability. Car A was rear-ended by car B. In this accident, the defendant Van Luong Phung was the owner of car A in which once again his brother Van Hien Phung was one of the two adult passengers. The defendant Van Hien Phung and the defendant Soi Thi Le, the other passenger, were both defaulted and have had damages assessed against them. The driver of car B, the defendant Vinh Van Le, consented to judgment against him in the sum of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Accident 4 was a staged motor vehicle accident in the form of a rear end collision but involving an innocent victim, Mrs. Larine McLean. Mrs. McLean was operating her vehicle, which at the time was lawfully stopped for a stop sign at an intersection when the vehicle was struck from the rear by a motor vehicle. Mrs. McLean had observed this motor vehicle pull out from the side of the road to travel directly behind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staging of this accident involved some ingenuity. Its planning included what was referred to in the course of the testimony at trial as a "driver switch" and "jump-ins".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As the vehicle driven by Mrs. McLean approached the controlled intersection, car B, allegedly driven by the defendant Van Hien Phung, pulled in behind her vehicle from the side of the highway and closed the distance between the vehicles and then struck the McLean vehicle, which by this time had stopped, heavily from the rear. Mrs. McLean observed the movement of this vehicle and noting that the driver was not decreasing the vehicle's speed, appreciated a collision was going to take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Immediately following the collision, Mrs. McLean got out of her vehicle and went back to speak to the other driver. She observed at that time, as had been her impression earlier, that there were no passengers in the vehicle. When her attempts to speak to the person seated in the driver's position were of no avail, she proceeded to check the damage to the rear of her own vehicle. When she looked back to the other vehicle, to her surprise it was filled with passengers the so-called jump-ins. Additionally, she noted there was a change in the drivers the driver switch.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These events were witnessed by Kathleen Fleming, the proprietor of a nearby corner store at the intersection. Mrs. Fleming not only confirmed what Mrs. McLean stated in her testimony, but, during the police investigation conducted by one police officer, made a point of directing that officer's attention to the driver switch.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It seems apparent, in spite of the ingenuity of the scheme or staging of the motor vehicle accident, that it should have been thwarted at that time by the combined observations of Mrs. McLean and Mrs. Fleming. Unfortunately, such was not the case. Again, internally within the plaintiff's organization, the personal injury adjuster assigned to deal with the claims arising from this accident "missed" the meaning of the coding indicating on a certain report that there were no passengers in car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effect of this mistake, whether as a result of bad adjusting or otherwise, was to allow these claims to be advanced and accepted and monies to be paid to the claimants.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relation to this motor vehicle accident, the defendant Van Luong Phung attended one of the plaintiff's claims centres to advance first his claim for the damage to car B (his vehicle) and to translate for the other claimants in his vehicle, the passenger jump-ins.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relation to this motor vehicle accident, I accept without reservation the testimony of Mrs. McLean and Mrs. Fleming and particularly that related to the driver switch and the jump-ins. The accident was clearly and unequivocally a fraud perpetrated upon the plaintiff for monetary 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remaining issue in relation to these two accidents is whether the defendant Van Luong Phung was involved in a joint enterprise to defraud the plaintiff for monetary gain or to assist others in their fraudulent claims for monetary 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 submits that I should look at all of the accidents together, and find a pattern of behaviour, and that they were joint enterprises.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leading case on joint liability is The "Koursk", </w:t>
      </w:r>
      <w:hyperlink r:id="rId745" w:history="1">
        <w:r>
          <w:rPr>
            <w:rFonts w:ascii="arial" w:eastAsia="arial" w:hAnsi="arial" w:cs="arial"/>
            <w:i/>
            <w:color w:val="0077CC"/>
            <w:sz w:val="20"/>
            <w:u w:val="single"/>
            <w:shd w:val="clear" w:color="auto" w:fill="FFFFFF"/>
            <w:lang w:val="en-US" w:eastAsia="en-US" w:bidi="ar-SA"/>
          </w:rPr>
          <w:t>[1924] P. 140</w:t>
        </w:r>
      </w:hyperlink>
      <w:r>
        <w:rPr>
          <w:rFonts w:ascii="arial" w:eastAsia="arial" w:hAnsi="arial" w:cs="arial"/>
          <w:sz w:val="20"/>
          <w:lang w:val="en-US" w:eastAsia="en-US" w:bidi="ar-SA"/>
        </w:rPr>
        <w:t xml:space="preserve"> </w:t>
      </w:r>
      <w:r>
        <w:pict>
          <v:shape id="_x0000_i1224" type="#_x0000_t75" style="width:11pt;height:10pt">
            <v:imagedata r:id="rId746" o:title=""/>
          </v:shape>
        </w:pict>
      </w:r>
      <w:r>
        <w:rPr>
          <w:rFonts w:ascii="arial" w:eastAsia="arial" w:hAnsi="arial" w:cs="arial"/>
          <w:color w:val="000000"/>
          <w:sz w:val="20"/>
          <w:lang w:val="en-US" w:eastAsia="en-US" w:bidi="ar-SA"/>
        </w:rPr>
        <w:t xml:space="preserve"> (C.A.) where Bankes L.J. held at p. 151: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order to constitute a joint tort there must be some connection between the act of the one alleged tortfeasor and that of the other. It would be unwise to attempt to define the necessary amount of connection. Each case must depend on its own circumstances. The learned authors of Clerk and Lindsell on Torts (7th ed.) say this: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"Persons are said to be joint tortfeasors when their respective shares in the commission of the tort are done in furtherance of a common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Where two or more persons agree on common action, and in the course of or to further that action, one of them commits a tort, that tort will be attributed to the others: ICBC v. The Corp. of the City of Vancouver </w:t>
      </w:r>
      <w:hyperlink r:id="rId729" w:history="1">
        <w:r>
          <w:rPr>
            <w:rFonts w:ascii="arial" w:eastAsia="arial" w:hAnsi="arial" w:cs="arial"/>
            <w:i/>
            <w:color w:val="0077CC"/>
            <w:sz w:val="20"/>
            <w:u w:val="single"/>
            <w:shd w:val="clear" w:color="auto" w:fill="FFFFFF"/>
            <w:lang w:val="en-US" w:eastAsia="en-US" w:bidi="ar-SA"/>
          </w:rPr>
          <w:t>(1997), 38 B.C.L.R. (3d) 213</w:t>
        </w:r>
      </w:hyperlink>
      <w:r>
        <w:rPr>
          <w:rFonts w:ascii="arial" w:eastAsia="arial" w:hAnsi="arial" w:cs="arial"/>
          <w:color w:val="000000"/>
          <w:sz w:val="20"/>
          <w:lang w:val="en-US" w:eastAsia="en-US" w:bidi="ar-SA"/>
        </w:rPr>
        <w:t xml:space="preserve"> (S.C.), aff'd </w:t>
      </w:r>
      <w:hyperlink r:id="rId730" w:history="1">
        <w:r>
          <w:rPr>
            <w:rFonts w:ascii="arial" w:eastAsia="arial" w:hAnsi="arial" w:cs="arial"/>
            <w:i/>
            <w:color w:val="0077CC"/>
            <w:sz w:val="20"/>
            <w:u w:val="single"/>
            <w:shd w:val="clear" w:color="auto" w:fill="FFFFFF"/>
            <w:lang w:val="en-US" w:eastAsia="en-US" w:bidi="ar-SA"/>
          </w:rPr>
          <w:t>(2000) 73 B.C.L.R. (3d) 1</w:t>
        </w:r>
      </w:hyperlink>
      <w:r>
        <w:rPr>
          <w:rFonts w:ascii="arial" w:eastAsia="arial" w:hAnsi="arial" w:cs="arial"/>
          <w:color w:val="000000"/>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2000 BCCA 12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In R. v. Mota </w:t>
      </w:r>
      <w:hyperlink r:id="rId732" w:history="1">
        <w:r>
          <w:rPr>
            <w:rFonts w:ascii="arial" w:eastAsia="arial" w:hAnsi="arial" w:cs="arial"/>
            <w:i/>
            <w:color w:val="0077CC"/>
            <w:sz w:val="20"/>
            <w:u w:val="single"/>
            <w:shd w:val="clear" w:color="auto" w:fill="FFFFFF"/>
            <w:lang w:val="en-US" w:eastAsia="en-US" w:bidi="ar-SA"/>
          </w:rPr>
          <w:t>(1979), 46 C.C.C. (2d) 273</w:t>
        </w:r>
      </w:hyperlink>
      <w:r>
        <w:rPr>
          <w:rFonts w:ascii="arial" w:eastAsia="arial" w:hAnsi="arial" w:cs="arial"/>
          <w:color w:val="000000"/>
          <w:sz w:val="20"/>
          <w:lang w:val="en-US" w:eastAsia="en-US" w:bidi="ar-SA"/>
        </w:rPr>
        <w:t xml:space="preserve"> (C.A.) Martin J.A. for the Court held that a series of events must be viewed in their entirety when considering whether there is evidence to show a joint enterprise.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relation to accidents 2 and 4, Van Luong Phungs co-defendants are guilty of perpetrating a fraud against ICBC pursuant to Rule 19 whereby allegations not denied are deemed to be proved. For the following reasons, I am satisfied that the defendant Van Luong Phung was engaged in a joint enterprise with the others to commit these frauds.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Looking at the total circumstances in this case, accidents 2, 3 and 4 were essentially all staged accidents that occurred in the same way. These rear-end collisions were all staged in such a way so that the injuries of the defendants involve soft tissue injuries. As part of the scheme, the defendants dealt with a doctor who did not speak their language and was not aggressive in his examinations. Claims were then presented to ICBC by someone with a grasp of the English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While Van Luong Phung was only the driver in accident 3, he was the registered owner of the cars involved in all three accidents. Further, his brother was the driver of the vehicle in both accidents 2 and 4. The passengers in all three vehicles were known to Van Luong Phung.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Notably, Van Luong Phung also attended the claims centre after all of the accidents to translate and assist the claims being advanced. There he spoke English and also advanced his own claims for vehicle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staging of these accidents and the subsequent trips to the doctor and ICBC claims centre required preparation and careful planning. The defendants named in this trial, including Van Luong Phung, were part of a well rehearsed group of individuals attempting to deceive ICBC in order to obtain benefits that were not properly owing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Looking at the total circumstances here, it is clear that there was a joint enterprise being conducted. All of the individuals involved had some part to play in the scheme. Although he was not actually in the vehicle when accident 2 or 4 occurred, I am satisfied that Van Luong Phung, with the others, fraudulently and deceitfully conspired and agreed together to cheat and defraud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further find that Van Luong Phung committed fraud in relation to accidents 2 and 4 because he was at least recklessly indifferent as to whether the individuals he was advancing claims on behalf of were making false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plaintiff seeks an order for quantification of damages against Van Luong Phung, Lin Nguyen, Van Tan Pham and Thanh Phu Trinh. In particular, special and punitive damages are claimed against the named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As indicated above, the defendants Nguyen, Pham and Trinh are deemed to have admitted the allegations based on their failure to file either an Appearance or a Statement of Defence pursuant to Rule 19(19) of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named defendants therefore have either admitted, or have been found liable in the case of Van Luong Phung, of wrongfully and maliciously conspiring to cheat and defraud ICBC in order to obtain payments and benefits from ICBC which were not properly owing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will turn first to the issue of special damages. ICBC seeks all amounts paid to the individual defendants, or to third parties on their behalf, as well as the costs of investigating and adjusting these claims. The plaintiff provided a summary of the damages sought against each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Against Van Tan Pham, ICBC seeks $14,540.21 paid to Mr. Pham in relation to accident 3. The amount breaks down as follows: medical payments of $531.92; wage loss payments of $7,561.00; final settlement payments of $6,319.00; and adjusting costs of $128.28. As there was no evidence of bad adjusting in relation to accident 3, I award the full amount of $14,540.21 in special damages against the defendant Pham.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Against Thanh Phu Trinh, ICBC seeks $5,986.06 paid to him in relation to accident 3. The payments made to Mr. Trinh are as follows: towing/storage costs of $125.30; autobody services of $239.30; appraisal payment of $43.47; loss of use payment of $498.20; total loss on vehicle payment of $2,680.37; and payment to third party of $2,399.42. Again, as there was no evidence of bad adjusting in relation to this accident, I award the full amount of $5,986.06 against the defendant Trinh.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ICBC seeks special damages in the amount of $59,357.13 against Lin Nguyen, being the total amount claimed and paid out by ICBC for accidents 1 and 2. I decline to award these special costs against the defendant Lin Nguyen as it would amount to double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ICBC seeks special damages in respect of accidents 1, 2, 3 and 4 against the defendant Phung. The payments Mr. Phung received in relation to accident 1 break down as follows: payments for repairs to 1988 Nissan Maxima of $480.29; settlement of personal injury claim payment of $4,500; reimbursement of deductible payment of $100.00; and adjusting costs of $138.97. The plaintiff has admitted that there was "some bad adjusting" done in relation to accident 1. The adjusters did not follow correct procedure and in particular, a statement was never taken from Mr. Meyer. I therefore decline to make an award for the adjusting costs for accident 1. The plaintiff will receive special damages in respect of the other payments, totalling $5,080.29.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ICBC claims $5,092.21 in relation to accident 2, broken down as follows: payments for repairs to 1986 Honda Accord of $4,971.69; towing costs of $35.00; and adjusting costs of $85.52. I award the total amount of $5,092.21 as there was no evidence of bad adjusting in relation to accident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ICBC claims $27,075.49 in relation to accident 3, broken down as follows: payments for repairs to 1988 Nissan Maxima of $8,320.34; towing costs of $53.35; car rental payment of $535.52; medical payments of $300; wage loss payments of $10,800.00; final settlement payments of $6,938.00; and adjusting costs of $128.28. Again, as there was no evidence of bad adjusting, the full amount of $27,075.49 is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ICBC claims $6,688.51 against Mr. Phung in relation to accident 4, broken down as follows: towing costs of $313.40; repairs to Nissan Maxima of $6,310.97; and adjusting costs of $64.14. There was clearly poor adjusting in relation to this accident, and therefore I decline to make an award for those costs. I award $6,624.37 in special damages against Phung for accident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turn next to the more substantial issue of whether punitive damages should be awarded against these defendants, and if so, the amount of the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The plaintiff referred to the judgment of Arkell J. in ICBC v. Le </w:t>
      </w:r>
      <w:hyperlink r:id="rId747" w:history="1">
        <w:r>
          <w:rPr>
            <w:rFonts w:ascii="arial" w:eastAsia="arial" w:hAnsi="arial" w:cs="arial"/>
            <w:i/>
            <w:color w:val="0077CC"/>
            <w:sz w:val="20"/>
            <w:u w:val="single"/>
            <w:shd w:val="clear" w:color="auto" w:fill="FFFFFF"/>
            <w:lang w:val="en-US" w:eastAsia="en-US" w:bidi="ar-SA"/>
          </w:rPr>
          <w:t>(1997), 40 M.V.R. (3d) 235</w:t>
        </w:r>
      </w:hyperlink>
      <w:r>
        <w:rPr>
          <w:rFonts w:ascii="arial" w:eastAsia="arial" w:hAnsi="arial" w:cs="arial"/>
          <w:color w:val="000000"/>
          <w:sz w:val="20"/>
          <w:lang w:val="en-US" w:eastAsia="en-US" w:bidi="ar-SA"/>
        </w:rPr>
        <w:t xml:space="preserve"> (S.C.). At 18, Arkell J.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punitive damages will be appropriately awarded where fraud is alleged and no statement has been filed. As Madam Justice Southin stated in ICBC v. Sanghera, </w:t>
      </w:r>
      <w:hyperlink r:id="rId733" w:history="1">
        <w:r>
          <w:rPr>
            <w:rFonts w:ascii="arial" w:eastAsia="arial" w:hAnsi="arial" w:cs="arial"/>
            <w:i/>
            <w:color w:val="0077CC"/>
            <w:sz w:val="20"/>
            <w:u w:val="single"/>
            <w:shd w:val="clear" w:color="auto" w:fill="FFFFFF"/>
            <w:lang w:val="en-US" w:eastAsia="en-US" w:bidi="ar-SA"/>
          </w:rPr>
          <w:t>[1991] B.C.J. No. 766</w:t>
        </w:r>
      </w:hyperlink>
      <w:r>
        <w:rPr>
          <w:rFonts w:ascii="arial" w:eastAsia="arial" w:hAnsi="arial" w:cs="arial"/>
          <w:color w:val="000000"/>
          <w:sz w:val="20"/>
          <w:lang w:val="en-US" w:eastAsia="en-US" w:bidi="ar-SA"/>
        </w:rPr>
        <w:t>, at page 139, and I quote: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Corporation is by statute the insurer of all British Columbian motorists. Fraud on the Corporation is, in reality, fraud on all the motorists of British Columbia and deserves such punishment as the civil courts can properly administer."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issue was more recently addressed by Madam Justice Sinclair Prowse in ICBC v. Hoang et al. </w:t>
      </w:r>
      <w:hyperlink r:id="rId736" w:history="1">
        <w:r>
          <w:rPr>
            <w:rFonts w:ascii="arial" w:eastAsia="arial" w:hAnsi="arial" w:cs="arial"/>
            <w:i/>
            <w:color w:val="0077CC"/>
            <w:sz w:val="20"/>
            <w:u w:val="single"/>
            <w:shd w:val="clear" w:color="auto" w:fill="FFFFFF"/>
            <w:lang w:val="en-US" w:eastAsia="en-US" w:bidi="ar-SA"/>
          </w:rPr>
          <w:t>(2002), 29 M.V.R. (4th) 204</w:t>
        </w:r>
      </w:hyperlink>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2002 BCSC 1162</w:t>
        </w:r>
      </w:hyperlink>
      <w:r>
        <w:rPr>
          <w:rFonts w:ascii="arial" w:eastAsia="arial" w:hAnsi="arial" w:cs="arial"/>
          <w:color w:val="000000"/>
          <w:sz w:val="20"/>
          <w:lang w:val="en-US" w:eastAsia="en-US" w:bidi="ar-SA"/>
        </w:rPr>
        <w:t xml:space="preserve"> (S.C.). This case involved facts very similar to the facts in this case. At 50-57 Sinclair Prowse J. succinctly reviewed the law in this area. She set out the purpose of punitive damages and the applicable factors in determining whether such an award is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Punitive damages are a separate head of damages. Their purpose is to punish the defendant through specific and general deterrence and denunciation. See Vorvis v. Insurance Corp. of British Columbia, </w:t>
      </w:r>
      <w:hyperlink r:id="rId748"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color w:val="000000"/>
          <w:sz w:val="20"/>
          <w:lang w:val="en-US" w:eastAsia="en-US" w:bidi="ar-SA"/>
        </w:rPr>
        <w:t xml:space="preserve">; and Huff v. Price </w:t>
      </w:r>
      <w:hyperlink r:id="rId749" w:history="1">
        <w:r>
          <w:rPr>
            <w:rFonts w:ascii="arial" w:eastAsia="arial" w:hAnsi="arial" w:cs="arial"/>
            <w:i/>
            <w:color w:val="0077CC"/>
            <w:sz w:val="20"/>
            <w:u w:val="single"/>
            <w:shd w:val="clear" w:color="auto" w:fill="FFFFFF"/>
            <w:lang w:val="en-US" w:eastAsia="en-US" w:bidi="ar-SA"/>
          </w:rPr>
          <w:t>(1990), 51 B.C.L.R. (2d) 282</w:t>
        </w:r>
      </w:hyperlink>
      <w:r>
        <w:rPr>
          <w:rFonts w:ascii="arial" w:eastAsia="arial" w:hAnsi="arial" w:cs="arial"/>
          <w:color w:val="000000"/>
          <w:sz w:val="20"/>
          <w:lang w:val="en-US" w:eastAsia="en-US" w:bidi="ar-SA"/>
        </w:rPr>
        <w:t xml:space="preserve"> at 298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Punitive damages may be granted in situations in which the defendant has committed an actionable wrong; that wrong has injured the plaintiff; and the conduct of the defendant in committing that wrong is deserving of the condemnation of the court. See Vorvis, supra. Conduct that is deserving of the condemnation of the court includes conduct that is extreme in the sense that it is harsh, malicious, high-handed, oppressive, vindictive, and/or reprehensible. See Vorvis, supra; Hill v. Church of Scientology of Toronto, </w:t>
      </w:r>
      <w:hyperlink r:id="rId750"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Whiten v. Pilot Insurance Co., </w:t>
      </w:r>
      <w:r>
        <w:rPr>
          <w:rFonts w:ascii="arial" w:eastAsia="arial" w:hAnsi="arial" w:cs="arial"/>
          <w:i/>
          <w:color w:val="000000"/>
          <w:sz w:val="20"/>
          <w:lang w:val="en-US" w:eastAsia="en-US" w:bidi="ar-SA"/>
        </w:rPr>
        <w:t>[2002] S.C.J. No. 19</w:t>
      </w:r>
      <w:r>
        <w:rPr>
          <w:rFonts w:ascii="arial" w:eastAsia="arial" w:hAnsi="arial" w:cs="arial"/>
          <w:color w:val="000000"/>
          <w:sz w:val="20"/>
          <w:lang w:val="en-US" w:eastAsia="en-US" w:bidi="ar-SA"/>
        </w:rPr>
        <w:t>, 2002 S.C.C. 18; Huff, supra.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Applying these principles to the facts in this case, all of the 14 Defendants have committed an actionable wrong (namely, they committed fraud) and that wrong injured the Plaintiff as was set out in the preceding 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conduct of these Defendants in deliberately participating in a scheme to defraud their insurer is the type of reprehensible conduct that calls for an award of punitive damages. (Although each case must be addressed separately, this conclusion is in keeping with the conclusions reached in Sanghera, supra, Sam, supra, and Le, supra, which were cases with similar facts to the present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award for punitive damages in the circumstances of this case is not a duplication of the damage awards made in the preceding section. Rather those awards compensate the Plaintiff for the losses and the expenses that it has incurred as a result of these frauds. They do not address the reprehensible aspect of this conduct and or the need for specific and general deterrence and denunciation of the conduct of the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all of these reasons, the Plaintiff is granted an award of punitive damages against all of these 14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far as the determination of the quantum of these punitive damage awards is concerned, the proper approach is to focus on the defendant's misconduct and not the plaintiff's loss. A formulaic approach, such as imposing a fixed ratio between compensatory and punitive damages, does not permit a consideration of the many variables necessary to reach a fair award. The facts of each case should be related to the underlying purposes of punitive damages. The quantum of the damages should be the lowest award that will serve those purposes. Proportionality is the governing rule for quantum. See Whiten v. Pilot Insurance Co., supra at paras. 71-74.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suggested in cases such as Sanghera, supra, Sam, supra and Le, supra, when reviewing the defendants' conduct and the underlying principles of punitive damages, consideration should be given to such factors as:</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claims pertain to a fraud on the public and, if so, the public interest, and, in particular, to the multiplied effect of those fraudulent claims on that public body and the public taxpayers;</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defendant's conduct includes criminal conduct. If it does, the criminal penalty for that conduct and the amount of the punitive damage award should be consistent with it. If the defendant has been charged criminally, that fact should be taken into account;</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of the circumstances of the conduct. If, for example, the conduct is based on the commission of fraudulent acts, consideration should be given to such facts as whether: the acts were planned, organized, and/or deliberate; specialized knowledge was used; persons were recruited for profit; families and children were used; and/or the defendants participated in multiple claims;</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 has abused the court process by such conduct as commencing actions in pursuit of his or her fraudulent claims; and</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financial means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As in Hoang, the conduct of these defendants in deliberately participating in a scheme to defraud their insurer is the type of reprehensible conduct that calls for an award of punitive damages. It is conduct that requires specific deterrence and denunciation. I must therefore determine the appropriate amount of punitive damages to be assessed against each of the four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Before turning to the defendants individually, I note that, as per factor number 1 above, each claim in this case pertains to a fraud on the public. Mr. Wittenshaw, an assistant vice-president of ICBC, gave evidence about the effect of such frauds. He reported that ICBC spends $10 million per year fighting fraud and estimated losses in excess of $150 million a year on account of it. The corporation estimates that fraud costs every rate payer something in the order of $150 per year. In other words, fraud is a significant problem for the corporation, and one that has a direct and serious effect on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would add that I know little of the financial means of all of the named defendants, other than the amounts of special damages I have awarded against each of them above. Further, Mr. Potts submits that since no plea was taken by the defendant that his financial circumstances ought to be taken into account, that factor is neutral.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As well, in determining the appropriate amounts of punitive damages, I am mindful of the parameters of awards made in judge-decided cases including ICBC v. Hoang, supra, ICBC v. Le, supra, ICBC v. Sam </w:t>
      </w:r>
      <w:hyperlink r:id="rId751" w:history="1">
        <w:r>
          <w:rPr>
            <w:rFonts w:ascii="arial" w:eastAsia="arial" w:hAnsi="arial" w:cs="arial"/>
            <w:i/>
            <w:color w:val="0077CC"/>
            <w:sz w:val="20"/>
            <w:u w:val="single"/>
            <w:shd w:val="clear" w:color="auto" w:fill="FFFFFF"/>
            <w:lang w:val="en-US" w:eastAsia="en-US" w:bidi="ar-SA"/>
          </w:rPr>
          <w:t>(1997), 41 C.C.L.I. (2d) 308</w:t>
        </w:r>
      </w:hyperlink>
      <w:r>
        <w:rPr>
          <w:rFonts w:ascii="arial" w:eastAsia="arial" w:hAnsi="arial" w:cs="arial"/>
          <w:color w:val="000000"/>
          <w:sz w:val="20"/>
          <w:lang w:val="en-US" w:eastAsia="en-US" w:bidi="ar-SA"/>
        </w:rPr>
        <w:t xml:space="preserve"> (B.C.S.C.) and more recently ICBC v. Hoang, </w:t>
      </w:r>
      <w:hyperlink r:id="rId737" w:history="1">
        <w:r>
          <w:rPr>
            <w:rFonts w:ascii="arial" w:eastAsia="arial" w:hAnsi="arial" w:cs="arial"/>
            <w:i/>
            <w:color w:val="0077CC"/>
            <w:sz w:val="20"/>
            <w:u w:val="single"/>
            <w:shd w:val="clear" w:color="auto" w:fill="FFFFFF"/>
            <w:lang w:val="en-US" w:eastAsia="en-US" w:bidi="ar-SA"/>
          </w:rPr>
          <w:t>[2003] B.C.J. No. 1743</w:t>
        </w:r>
      </w:hyperlink>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2003 BCSC 1139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turn now to a consideration of each claim on an individual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Turning first to Van Tan Pham, he was involved in a deliberate staged accident and a planned fraud of a public body. Mr. Pham fraudulently told ICBC that there was no relationship between the persons in his vehicle, and the driver of the other vehicle. He made false claims for wage loss and medical payment. However, there was no evidence that Mr. Pham was one of the so-called "masterminds" of the scheme to defraud ICBC. No special knowledge was used; no children were used. He was not involved in a great number of the accidents. I assess punitive damages at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Turning next to Thanh Phu Trinh, again he was involved in a staged accident. The act was planned and deliberate and criminal in nature. Mr. Trinh was involved in the transfer of the Nissan Maxima with Mr. Phung. Like Mr. Pham, he misrepresented to ICBC that there was no relationship between himself and the occupants of the other vehicle. However, like Mr. Pham, Mr. Trinh was not one of the "masterminds" of the scheme, and was not involved in a great number of the accidents. I again assess punitive damages at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circumstances of Lin Nguyen are different. His involvement in a scheme to defraud ICBC was addressed by Arkell J. in ICBC v. Le, supra at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Lin Nguyen was the mastermind and the person that used his knowledge, training and experience as a paralegal in the law firm of Michael Golden and also as a court interpreter to recruit the other defendants and to plan the majority of these fraudulent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Arkell J. assessed punitive damages against Mr. Nguyen in the sum of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Mr. Potts submits that this is a judicial determination of what type of character Mr. Nguyen is and a judicial determination of what involvement he had in the scheme to defraud ICBC. He submits that by virtue of Mr. Nguyen defaulting, he has admitted the allegations in the statement of claim that he developed substantial expertise in the policies and procedures of ICBC, and developed and refined the scheme to defraud and injure the plaintiff. In other words, as in Le, supra, Mr. Nguyen was one of the key masterminds of the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Nguyen had special knowledge. He was utilized as a translator to assist those involved in accidents 1 and 2 in making statements to ICBC. Those persons then retained Mr. Nguyens employer, Mr. Golden, to assist them with their claims. As a paralegal, Mr. Nguyen himself had some knowledge of the legal system. It is clear he was involved in developing and executing the scheme to defraud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However, while there was evidence of Mr. Nguyens involvement in 12 incidents in the Le case, there are only 4 accidents before me. Further, Mr. Potts admitted that Mr. Justice Arkells award of $100,00 in punitive damages was high compared to the relatively low amounts that other judges have seen fit to award as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For the above reasons, I find an award of punitive damages against Mr. Nguyen in the sum of $15,000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Finally, I turn to the defendant Van Luong Phung. He was involved in multiple claims; I have found that he deliberately planned to defraud ICBC in relation to accidents 1, 2, 3 and 4. He was directly involved in two of the accidents and indirectly involved in the other two. His actions for all four accidents resulted in a total loss to ICBC of $44,075.47.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Like Mr. Nguyen, Mr. Phung was clearly a kingpin or mastermind of the operation. He organized, encouraged and assisted various of the defendants. He used his knowledge of English to translate and speak English to ICBC adjustors. His conduct in this whole scheme was very serious.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Taking into account the nature and circumstances of the fraud, and the factors noted above, I assess punitive damages against Mr. Phung in the sum of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question of costs was not addressed in keeping with the circumstances of the other issues requiring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HARVEY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5"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2"/>
          <w:headerReference w:type="default" r:id="rId753"/>
          <w:footerReference w:type="even" r:id="rId754"/>
          <w:footerReference w:type="default" r:id="rId755"/>
          <w:headerReference w:type="first" r:id="rId756"/>
          <w:footerReference w:type="first" r:id="rId75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758" w:history="1">
        <w:r>
          <w:rPr>
            <w:rFonts w:ascii="arial" w:eastAsia="arial" w:hAnsi="arial" w:cs="arial"/>
            <w:b/>
            <w:bCs/>
            <w:i/>
            <w:color w:val="0077CC"/>
            <w:kern w:val="32"/>
            <w:sz w:val="28"/>
            <w:szCs w:val="32"/>
            <w:u w:val="single"/>
            <w:shd w:val="clear" w:color="auto" w:fill="FFFFFF"/>
            <w:lang w:val="en-US" w:eastAsia="en-US" w:bidi="ar-SA"/>
          </w:rPr>
          <w:t>Joba v. Basant Holdings Ltd. (c.o.b. Basant Motors), [2013] B.C.J. No. 1792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P.G. Voith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July 17-18, 2013.</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August 14, 2013.</w:t>
      </w:r>
    </w:p>
    <w:p>
      <w:pPr>
        <w:spacing w:before="120" w:line="260" w:lineRule="atLeast"/>
        <w:jc w:val="center"/>
        <w:rPr>
          <w:lang w:val="en-US" w:eastAsia="en-US" w:bidi="ar-SA"/>
        </w:rPr>
      </w:pPr>
      <w:r>
        <w:rPr>
          <w:rFonts w:ascii="arial" w:eastAsia="arial" w:hAnsi="arial" w:cs="arial"/>
          <w:color w:val="000000"/>
          <w:sz w:val="20"/>
          <w:lang w:val="en-US" w:eastAsia="en-US" w:bidi="ar-SA"/>
        </w:rPr>
        <w:t>Docket: S044955</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[2013] B.C.J. No. 1792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2013 BCSC 1469</w:t>
      </w:r>
    </w:p>
    <w:p>
      <w:pPr>
        <w:spacing w:before="120" w:line="260" w:lineRule="atLeast"/>
        <w:rPr>
          <w:lang w:val="en-US" w:eastAsia="en-US" w:bidi="ar-SA"/>
        </w:rPr>
      </w:pPr>
      <w:r>
        <w:rPr>
          <w:rFonts w:ascii="arial" w:eastAsia="arial" w:hAnsi="arial" w:cs="arial"/>
          <w:color w:val="000000"/>
          <w:sz w:val="20"/>
          <w:lang w:val="en-US" w:eastAsia="en-US" w:bidi="ar-SA"/>
        </w:rPr>
        <w:t>Between Fanta Dolama Joba, Plaintiff, and Basant Holdings Ltd. d.b.a. Basant Motors, and Rapid Finance Inc.,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(39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26" style="position:absolute;z-index:25170022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68" w:name="Keywords_40"/>
      <w:bookmarkEnd w:id="268"/>
      <w:r>
        <w:rPr>
          <w:rFonts w:ascii="arial" w:eastAsia="arial" w:hAnsi="arial" w:cs="arial"/>
          <w:b/>
          <w:color w:val="000000"/>
          <w:sz w:val="20"/>
          <w:lang w:val="en-US" w:eastAsia="en-US" w:bidi="ar-SA"/>
        </w:rPr>
        <w:t>Tort law — Trespass — To goods — Conversion — Against particular party — Lessor — Action by Joba, alleging that the corporate defendants converted a 1999 Chevy Venture that he had leased from them dismissed — Joba leased the 1999 Chevy in June 2003 and leased a 2000 Chevy in October 2003 — Joba left the 1999 Chevy on the defendants' lot and it was sold at auction — Joba submitted that the 1999 Chevy was not part of the consideration for the 2000 Chevy — The defendants submitted that the return of the 1999 Chevy was a fundamental component of the second lease — The relevant documents and other evidence favoured the defendants' position.</w:t>
      </w:r>
    </w:p>
    <w:p>
      <w:pPr>
        <w:jc w:val="both"/>
        <w:rPr>
          <w:lang w:val="en-US" w:eastAsia="en-US" w:bidi="ar-SA"/>
        </w:rPr>
      </w:pPr>
      <w:bookmarkStart w:id="269" w:name="Counsel_40"/>
      <w:bookmarkEnd w:id="269"/>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27" style="position:absolute;z-index:25175142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Appearing on his own behalf: Fanta Dolama Joba.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K.P. Hyde.</w:t>
      </w:r>
      <w:r>
        <w:rPr>
          <w:lang w:val="en-US" w:eastAsia="en-US" w:bidi="ar-SA"/>
        </w:rPr>
        <w:cr/>
      </w:r>
    </w:p>
    <w:p>
      <w:pPr>
        <w:spacing w:after="240"/>
        <w:rPr>
          <w:lang w:val="en-US" w:eastAsia="en-US" w:bidi="ar-SA"/>
        </w:rPr>
      </w:pPr>
      <w:bookmarkStart w:id="270" w:name="Judgment_40"/>
      <w:bookmarkEnd w:id="270"/>
      <w:r>
        <w:pict>
          <v:line id="_x0000_s1228" style="position:absolute;z-index:251802624"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71" w:name="P.G. VOITH J._1"/>
            <w:bookmarkEnd w:id="271"/>
            <w:r>
              <w:rPr>
                <w:rFonts w:ascii="arial" w:eastAsia="arial" w:hAnsi="arial" w:cs="arial"/>
                <w:b/>
                <w:color w:val="000000"/>
                <w:sz w:val="30"/>
                <w:lang w:val="en-US" w:eastAsia="en-US" w:bidi="ar-SA"/>
              </w:rPr>
              <w:t>P.G. VOITH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Mr. Joba, claims that the corporate defendants converted a 1999 Chevy Venture (the "1999 Chevy") that he had leased from them a few months earlier. The matter has an extended and unfortunate history.</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Background and Procedural History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Joba, who was self-represented, is a polite gentleman. At the relevant time he was a cabdriver.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Basant Holdings Ltd., which does business as Basant Motors ("Basant"), is in the business of selling and leasing vehicles. It has been in business, in Surrey, British Columbia, for more than two decades. It sells or leases more than 1,000 vehicles annually and enjoys a good reputation.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Rapid Finance Inc. ("Rapid") is in the business of financing leases for motor vehicles. Basant and Rapid are interrelated both operationally as well as in terms of their management and ownership.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June 18, 2003, Mr. Joba leased the 1999 Chevy from Rapid (the "First Lease"). The documents reflect, and the parties agree, that in order to make the down payment required to lease the 1999 Chevy Mr. Joba traded in another vehicle that he owned and paid a further $3,500 in cash. He entered into a lease contract with Rapid which required that he make monthly payments of $384.44.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No real issues arise from the First Lease. Mr. Joba asserted that he was not provided with any of the documentation that pertained to the transaction notwithstanding his requests for such documentation. The defendants denied this, emphasizing that Mr. Joba signed the relevant lease contract and that, in doing so, Mr. Joba acknowledged he had received the document. However, little turns on this specific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Joba then made the payments that were required of him for the next four months.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October 30, 2003, Mr. Joba went to Basant and leased another vehicle (the "Second Lease"). This time he leased a 2000 Chevy Venture (the "2000 Chevy"). He wished to lease this vehicle because it was longer and would accommodate passengers who used or required a wheelchair.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Joba dealt with an employee of Basant named Tariq Bhurgri. It is here that the evidence of the parties diverges markedly. Mr. Joba says that he made a down payment of $6,000 cash for the 2000 Chevy. He says that this payment was made on two occasions or on two days, though he did not say when the second payment was made. He says he was given no paperwork of any sort in relation to the Second Lease. He says that the 1999 Chevy did not form any part of the consideration for the 2000 Chevy. He says he left the 1999 Chevy on the Basant lot temporarily when he drove the 2000 Chevy away and that he left his keys with Mr. Bhurgri so that the 1999 Chevy could be moved around the Basant car lot if that became necessary.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He says that when he returned to recover the 1999 Chevy the vehicle was gone and that Mr. Bhurgri told him that he did not know where the 1999 Chevy was. Mr. Joba says that he then went to the police who, at a later time, told him that the 1999 Chevy had been sold in an auction.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position of the defendants is fundamentally different. They accept that Mr. Joba wanted to and did lease the 2000 Chevy. They say, however, that the 1999 Chevy was returned to them and that its return formed a fundamental component of the Second Lease. They say that Mr. Joba only made a $1,500 cash deposit on the 2000 Chevy and that the balance of the consideration was a credit for the $3,500 down payment he had paid on the First Lease as well as a credit for a portion of the four payments he had made toward the First Lease before he returned the 1999 Chevy.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matter, thereafter, had a protracted and difficult procedural history. The plaintiff, with the assistance of counsel, filed his claim in September 2004. The defendants filed their defence in November 2004. The defendants assert that, in the latter part of 2007, they reached a settlement with Mr. Joba under which they would pay him $4,000 and he would consent to a dismissal of his action. Thereafter, in February 2009, Mr. Joba filed a Notice of Intention to Act in Person. On October 19, 2009, the plaintiff's claim was struck from the trial list because of a failure on his part to file a Trial Certificate. The defendants say that on October 30, 2009 there was a settlement meeting between the parties and that Mr. Joba now agreed to resolve the dispute for $5,000. Mr. Joba denies that he made that agreement.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July 27, 2010, Justice Kloegman adjourned a trial date that had been set unilaterally by Mr. Joba so that the defendants could bring an application to enforce the settlement they had made. On September 20, 2010, Justice Sigurdson declined to enforce the settlement the defendants relied on but confirmed that the defendants were at liberty to raise the settlement at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January 3, 2012, at a Trial Management Conference, Justice Adair determined that the plaintiff was not ready for trial and adjourned the then-scheduled trial date. She ordered the parties to attend a settlement conference. The settlement conference took place but was unsuccessful. She also directed that the plaintiff amend his pleadings no later than March 5, 2012.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February 27, 2012, Justice Beames dismissed the plaintiff's application to amend his pleadings. The plaintiff's claim, as I have said, simply asserts that the defendants converted the 1999 Chevy and/or were negligent in wrongfully seizing that vehicle. Mr. Joba had sought to include a claim against the defendants for wrongfully reporting his credit worthiness to third parties.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It is worth emphasizing that the only issue before me relates to the 1999 Chevy and whether it was improperly taken by the defendants. The plaintiffs'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advanced in any meaningful way and is conceptually misconceived. The defendants did not seek to enforce the settlement they say they made with Mr. Joba and, accordingly, that issue is not before me either.</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resolution of the issues raised by this case turns on questions of credibility. Multiple factors inform an assessment of credibility;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759"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aff'd </w:t>
      </w:r>
      <w:hyperlink r:id="rId760"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xml:space="preserve">. Amongst these factors is whether a witness' evidence "harmonizes with independent evidence that has been accepted"; </w:t>
      </w:r>
      <w:r>
        <w:rPr>
          <w:rFonts w:ascii="arial" w:eastAsia="arial" w:hAnsi="arial" w:cs="arial"/>
          <w:i/>
          <w:color w:val="000000"/>
          <w:sz w:val="20"/>
          <w:lang w:val="en-US" w:eastAsia="en-US" w:bidi="ar-SA"/>
        </w:rPr>
        <w:t>Bradshaw</w:t>
      </w:r>
      <w:r>
        <w:rPr>
          <w:rFonts w:ascii="arial" w:eastAsia="arial" w:hAnsi="arial" w:cs="arial"/>
          <w:color w:val="000000"/>
          <w:sz w:val="20"/>
          <w:lang w:val="en-US" w:eastAsia="en-US" w:bidi="ar-SA"/>
        </w:rPr>
        <w:t xml:space="preserve"> at para. 186. This test accords with the well-known guidance offered in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at 357 (B.C.C.A.): "the real test of the truth of the story of a witness ... must be its harmony with the preponderance of the probabilities which a practical and informed person would readily recognize as reasonable in that place and in those conditions".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consider that, in this case, the "preponderance of probabilities" significantly favors the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Importantly, the documents which surround and are relevant to the lease of the 2000 Chevy favor the defendants. The vehicle lease contract dated October 30, 2003 (the "Contract") together with the Calculation Worksheet that underlies the Contract is important as it explains some of the confusion that exists.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Contract is a standard form document and is imperfectly suited to the Second Lease. Line 2 of the Contract contemplates the possible inclusion of a value for a "Trade in Allowance". Line 2 on the Contract is blank. Mr. Joba argues that this demonstrates that the return of the 1999 Chevy did not form any part of the Second Lease.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Bath, the current president of Basant, said, and I accept, that line 2 of the Contract is not completed when the car being returned is a leased vehicle. The vehicle, in such circumstances, is not owned by the lessor and accordingly is not properly a "trade 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Instead, in this case, Mr. Joba was given credit for the $3,500 cash payment he made some months earlier in connection with the lease of the 1999 Chevy. He was also given credit for the principal portion of four monthly lease payments he made -- an amount that totals $740. When these amounts - the $3,500 credit and the $740 credit - are added to the $1,500 down payment the defendants say Mr. Joba made, the total is $5,740.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Contract states that Mr. Joba paid $5,800 in "cash" for the 2000 Chevy. This, without more, is confusing and would not assist either party. The $5,800 figure in the Contract does not precisely accord with the $5,740 figure put forward by the defendants, nor is the $5,740 figure calculated by the defendants, strictly speaking, a "cash" payment. Still further, the underlying Calculation Worksheet, which is reviewed with the client, does not specifically identify the three components that the defendants claim make up the $5,740 figure.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 the same time, neither the Contract nor the Calculation Worksheet ever refers to a $6,000 figure -- the amount Mr. Joba says he gave Mr. Bhurgri.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Contract is signed by Mr. Joba. On its face, that signature is said to reflect Mr. Joba's acknowledgment that he received the Contract-- something that he now denies.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following further factors undermine the position of Mr. Joba.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First, the defendants rely on a receipt dated October 31, 2003, which Mr. Bath says he gave Mr. Joba to recognize the $1,500 cash payment that Mr. Joba had made. Mr. Bath recognizes that the date on the receipt should properly be October 30, 2000, but believes that he likely included the October 31 date in error. I accept this explanation.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Joba denies he received the receipt and suggests that the document was an after-the-fact fabrication. I do not accept this. The receipt is a document that is consistent with the defendants' thesis of how the down payment for the 2000 Chevy, as reflected in the Contract, was calculated. Furthermore, it is just one of several documents generated by either the defendants or by parties associated with the defendants that were inconsistent with positions taken by Mr. Joba, and that Mr. Joba argued were fabricated. Thus, though the settlement alleged to have been made by the parties is not squarely before me, Mr. Joba suggested that certain letters, generated by the solicitors for the defendants and addressed to Mr. Joba, were fabricated.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internal paperwork of Basant and Rapid, made on October 30, 2003 and contained on a "Bill of Sale", confirmed that the 1999 Chevy was part of the "trade" or consideration for the 2000 Chevy.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Importantly, on October 30, 2003, Mr. Joba's insurance was transferred from the 1999 Chevy to the 2000 Chevy. The insurer was an entity known as Prime Insurance. That entity is independent of both Basant and Rapid.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When Mr. Joba left the Basant car lot with the 2000 Chevy, he left both sets of keys for the 1999 Chevy behind. Mr. Joba said he did this so that the vehicle could be moved around the lot if necessary. He also gave a somewhat tortured account of why he left both sets of keys for the 1999 Chevy behind. I do not accept this evidence. It does not, again, accord with the objective record or the "preponderance of probabilities" before 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Both Mr. Bhurgri and Mr. Bath testified that it is the policy of Basant to lease only one vehicle at a time to a customer. I accept this evidence. Mr. Bath testified that Basant deals with many clients whose credit is "challenged". The records show that, prior to Mr. Joba entering into the First Lease, his credit rating was at the lowest rating possible. Certainly, under such circumstances, Basant's policy seems prudent.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Joba relied on the evidence from a former co-worker and friend called Mr. Ali. Mr. Ali testified that he attended at the Basant lot with Mr. Joba in early November 2003. He says that he saw Mr. Joba give Mr. Bhurgri $3,000, in cash, and that he saw Mr. Joba ask Mr. Bhurgri for the documentation that related to the Second Lease. I have given little weight to Mr. Ali's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First, Mr. Ali said that the events he witnessed took place in early November 2003. He was adamant about this. This timing does not and cannot accord with what took place. It makes no sense that Mr. Joba would be paying part of his down payment after he had already received and drove the 2000 Chevy away. The evidence before me indicated that Basant's policies required a client to pay his or her down payment in full before the client would be permitted to take a vehicle form the car lot.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Second, it makes no sense that Mr. Joba would be paying Mr. Bhurgri a further $3,000 after he knew, based on his version of the events, that the 1999 Chevy had been improperly taken from him. I also observe that Mr. Bhurgri denied ever receiving $3,000 in cash. He said, and I accept, that he did not, as a salesperson, ever actually handle funds. Such matters were, instead, handled by the Finance Department.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Still further, Mr. Ali said he was aware of the difficulties between Mr. Joba and Basant but said that these difficulties related to the 2000 Chevy and not the 1999 Chevy. He was unaware of any problem that related to the 1999 Chevy. It seems extremely unlikely that, if the 1999 Chevy had been improperly taken from Mr. Joba, that Mr. Joba would not have communicated this fact to Mr. Ali.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last piece of evidence that Mr. Joba relied on was a business card with some handwriting and figures on its reverse side. Mr. Joba said that this was a form of receipt given to him by Mr. Bhurgri. Mr. Bhurgri accepted that the handwriting on the card was his but said he could not, almost a decade later, remember what the figures depicted or were relevant to.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figures on the card make reference to a $1,000 amount--an amount that does not appear relevant to the evidence of either party. The figures also make reference to "$3,000 November 20, 03". November 20, 2003 is not a date, on either parties' evidence, that is relevant. I have accordingly attached little significance to the business card.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Based on the foregoing considerations, I have concluded that the 1999 Chevy properly formed a part of the consideration that Mr. Joba paid for the 2000 Chevy when he leased that vehicle. The burden of proof lies on Mr. Joba to make out the claim he has advanced. He has not satisfied this burden. I do not accept that the defendants stole or converted the 1999 Chevy. The plaintiff's claim is dismissed and the defendants are entitled to receive their costs of this action.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P.G. VOITH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8538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61"/>
          <w:headerReference w:type="default" r:id="rId762"/>
          <w:footerReference w:type="even" r:id="rId763"/>
          <w:footerReference w:type="default" r:id="rId764"/>
          <w:headerReference w:type="first" r:id="rId765"/>
          <w:footerReference w:type="first" r:id="rId76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67" w:history="1">
        <w:r>
          <w:rPr>
            <w:rFonts w:ascii="arial" w:eastAsia="arial" w:hAnsi="arial" w:cs="arial"/>
            <w:b/>
            <w:bCs/>
            <w:i/>
            <w:color w:val="0077CC"/>
            <w:kern w:val="32"/>
            <w:sz w:val="28"/>
            <w:szCs w:val="32"/>
            <w:u w:val="single"/>
            <w:shd w:val="clear" w:color="auto" w:fill="FFFFFF"/>
            <w:lang w:val="en-US" w:eastAsia="en-US" w:bidi="ar-SA"/>
          </w:rPr>
          <w:t>Kashani v. Dhalla, [2001] B.C.J. No. 2880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Stromberg-Stein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December 14,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C962533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2880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1827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114 A.C.W.S. (3d) 855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Fatemeh Kashani, plaintiff, and Fatehali Dhalla,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0"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2" w:name="Keywords_41"/>
      <w:bookmarkEnd w:id="272"/>
      <w:r>
        <w:rPr>
          <w:rFonts w:ascii="arial" w:eastAsia="arial" w:hAnsi="arial" w:cs="arial"/>
          <w:b/>
          <w:color w:val="000000"/>
          <w:sz w:val="20"/>
          <w:lang w:val="en-US" w:eastAsia="en-US" w:bidi="ar-SA"/>
        </w:rPr>
        <w:t>Trusts — Creation of trust — Requirements of — Evidence — Degree, standard or burden of proof — Standard or degree of proof — Proof in civil cases — Burden of proof — Burden of proof in civil actions — Balance of probabilities.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3" w:name="Case Summary_36"/>
            <w:bookmarkEnd w:id="27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Kashani for a declaration that she was entitled to a life estate in a house owned by Dhalla by reason of a series of alleged trust agreements. She also claimed a 35 per cent ownership in the property. Alternatively, she sought rescission and the return of $176,000 in gold bars, which Kashani alleged that she gave Dhalla on the terms of four trust agreements. Kashani claimed that she was induced to enter into the agreements by undue influence and duress. She alleged fraudulent misrepresentations by Dhalla, which she relied upon to her detriment. Dhalla denied the entirety of the alleged transactions. Dhalla bought the property as a short-term investment. He agreed that Kashani, his wife's sister, could live at the property and pay rent at significantly less than the market value. When his marriage failed, Dhalla took steps to obtain a court order for the sale of the property. Kashani filed a caveat alleging an ownership interest in the property but did not appear on the application. Dhalla unsuccessfully attempted to evict Kashani. She remained on the property and had not paid rent since July 1996. Dhalla continued to service two mortgages on the property at a cost of $3,400 per month. Dhalla counterclaimed for $65,000 in estimated losses due to Kashani's wrongful refusal to vacate the property.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4" w:name="Holdings of Court_33"/>
            <w:bookmarkEnd w:id="274"/>
            <w:r>
              <w:rPr>
                <w:rFonts w:ascii="arial" w:eastAsia="arial" w:hAnsi="arial" w:cs="arial"/>
                <w:color w:val="000000"/>
                <w:sz w:val="20"/>
                <w:lang w:val="en-US" w:eastAsia="en-US" w:bidi="ar-SA"/>
              </w:rPr>
              <w:t>HELD: Action dismissed and judgment granted on Dhalla's counterclaim in the amount of $65,000.</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Kashani gave confusing evidence about whom she allegedly made the agreements with. Her evidence regarding the gold bars was also inconsistent, unreliable and implausible. There was no evidence to corroborate her allegation that any gold bars were given to Dhalla. There was no degree of certainty about the dates upon which the trust agreements were supposedly made, the terms of the agreements or her conduct following the making of the alleged agreements. Kashani elected not to cross- examine Dhalla, so his evidence was effectively unchallenged. There was no reason to doubt the credibility of Dhalla. Where Kashani's evidence conflicted with Dhalla's, his evidence was accepted. Kashani did not discharge her burden of proving her claims. There was no foundation to her trust claims or any reliable evidence to support any of her claims. Dhalla had suffered damages which were assessed at $1,000 per month for the 65 months Kashani had wrongfully remained in the property rent free. Dhalla was granted an order for vacant possession effective February 15th, 2002.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5" w:name="Counsel_41"/>
      <w:bookmarkEnd w:id="27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1"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 Kashani appeared on her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Aliperti appeared on behalf of her mother, Mrs. Kashani.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D.J. Taylor and A. Ruff, a/s,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6" w:name="Judgment_41"/>
      <w:bookmarkEnd w:id="276"/>
      <w:r>
        <w:pict>
          <v:line id="_x0000_s1232" style="position:absolute;z-index:25180364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7" w:name="STROMBERG-STEIN J. (orally)"/>
            <w:bookmarkEnd w:id="277"/>
            <w:r>
              <w:rPr>
                <w:rFonts w:ascii="arial" w:eastAsia="arial" w:hAnsi="arial" w:cs="arial"/>
                <w:b/>
                <w:color w:val="000000"/>
                <w:sz w:val="30"/>
                <w:lang w:val="en-US" w:eastAsia="en-US" w:bidi="ar-SA"/>
              </w:rPr>
              <w:t>STROMBERG-STEIN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Mrs. Kashani is Mr. Dhalla's ex-sister-in-law. In her pleadings, Mrs. Kashani claims she was induced to enter into a number of trust agreements for reasons of undue influence and duress exerted upon her by Mr. Dhalla. In addition, she alleges that Mr. Dhalla made various fraudulent misrepresentations that she relied upon to her detriment in entering into the alleged trust agreements. Mrs. Kashani claims that as a result of these trust agreements, she is entitled to a life estate in a house owned by Mr. Dhalla, where she is living, located at 1132 Devonshire Crescent in Vancouver. As well, Mrs. Kashani claims she is entitled to be registered on title as a 35 percent owner of the property. Alternatively, Mrs. Kashani claims rescission of the alleged trust agreements and the return of $176,000 which she says she gave to Mr. Dhalla.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There are four alleged trust agreements described in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the investment trust agreement, Mrs. Kashani alleges that in reliance on fraudulent misrepresentations made by Mr. Dhalla, she entered into an investment agreement wherein she gave Mr. Dhalla eight gold bars in August 1990, and she received nothing in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 trust agreement, Mrs. Kashani alleges that she gave Mr. Dhalla $100,000 US in gold bars that Mr. Dhalla agreed he would hold in trust for her benefit, and he would give her a one-fifth interest and a life estate in the Devonshire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 incremental trust agreement, Mrs. Kashani alleges Mr. Dhalla agreed that any amount she spent for improvements, repairs, and maintenance of the Devonshire property would increase the proportion of her interest in the Devonshire property, and such increased proportion would be held in trust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the mortgage trust agreement, Mrs. Kashani alleges Mr. Dhalla agreed that if she provided $800 per month, later increased to $1,000, to Mr. Dhalla commencing April 1991, her interest in the Devonshire property would increase proportionately which interest Mr. Dhalla would hold in trust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Dhalla denies the entirety of these transactions. Specifically, he denies he made any misrepresentations, or entered into the contracts, or received any gold bars from Mrs. Kashani, or agreed to hold any portion of the Devonshire property in trust for her, or give her any interest in that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Counsel for Mr. Dhalla identified numerous legal issues that arise from the pleadings and the evidence at trial. These are:</w:t>
      </w:r>
      <w:r>
        <w:rPr>
          <w:rFonts w:ascii="arial" w:eastAsia="arial" w:hAnsi="arial" w:cs="arial"/>
          <w:sz w:val="20"/>
          <w:lang w:val="en-US" w:eastAsia="en-US" w:bidi="ar-SA"/>
        </w:rPr>
        <w:cr/>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evidence show that the defendant exercised undue influence on the plaintiff or that the plaintiff was under duress in relation to the various agreements alleged?</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representations alleged by the plaintiff in relation to the investment agreement made at all, or, alternatively, are they actionable?</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sufficient evidence of the investment agreement as alleged?</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if there is evidence of an agreement regarding investment, is it unenforceable on the grounds of vagueness and uncertainty of terms?</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representations alleged by the plaintiff in relation to the trust agreement at all, or, alternatively, are they actionable representations?</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sufficient evidence of the trust agreement alleged?</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is the allegation of a verbal agreement for the purpose of an interest in land actionable in view of the provisions of the Law and Equity Act?</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sufficient evidence of the incremental trust agreement as alleged?</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sufficient evidence of the mortgage trust agreement as alleged?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defendant entitled to recover damages on a counterclaim for loss of rental income resulting from the plaintiff's wrongful refusal to vacate the Devonshire Crescent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Dhalla bought the Devonshire Crescent property as a short-term investment. He had no desire to rent the property for the long term, but to maintain peace in his marriage he agreed that his wife's sister, Mrs. Kashani, could live at the Devonshire Crescent property and pay rent of $800 a month for a three month period only. After that, again in an attempt to keep peace in his marriage, he permitted Mrs. Kashani to extend her tenancy on a month-to-month basis in exchange for $1,000 per month. The market rent was twice this amount. Mr. Dhalla denied any agreement was made about payment for repairs or maintenance required for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When his marriage failed, Mr. Dhalla took steps to obtain a court order for the sale of the Devonshire property. His wife opposed this. Mrs. Kashani was aware of the pending court application. She filed a caveat on March 10, 1996, alleging an ownership interest in the property. On March 11, 1996, a court ordered the Devonshire property sold. Mrs. Kashani did not appear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Dhalla unsuccessfully attempted to evict Mrs. Kashani from the property. Since 1996, Mrs. Kashani has prevented the sale of the property, and since July, 1996, she has remained in the Devonshire property without making any rental payments. Mr. Dhalla has made all payments for mortgages, property taxes and insurance on the property. Mr. Dhalla has continued to service two mortgages on the property at a cost of about $3,400 per month in order to protect his credit rating, which is essential to his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By way of counterclaim, Mr. Dhalla alleges he has suffered losses because of Mrs. Kashani's wrongful refusal to vacate the Devonshire property. He has conservatively estimated his loss at $65,000, representing lost rental income of $1,000 per month for the 65 months Mrs. Kashani has lived in the Devonshire property rent 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Mrs. Kashani gave confusing evidence about whom she allegedly made any agreement or agreements with. For the most part, it is apparent she communicated with her sister, not with Mr. Dhalla.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She claims she told her sister she had eight gold bars to invest. Her sister talked to Mr. Dhalla, who is an astute businessman with real estate investments. Mrs. Kashani claims she gave Mr. Dhalla the eight gold bars after speaking to him at a family gathering. She asked for an investment and he said he would invest it in one of his real estate businesses. There was no discussion about what the nature of the investment was, what her return would be, or when she might expect any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Later, she told her sister she received the rest of the gold bars and wanted to buy a house. Her sister showed her the Devonshire property, which Mrs. Kashani says was in poor condition. Mr. Dhalla told her he would not fix up the house. She provided Mr. Dhalla with 45 gold bars and asked how much interest she could have in the house. He did not say absolutely what interest she could have but assured her she could have an interest. He told her whatever she spent to fix up on the house would be added to her interest. Further, she agreed to help with the mortgage by making monthly payments of $800, which increased to $1,000 in 1994 upon Mr. Dhalla's assurance that the sooner the mortgage was paid off the sooner he could put the property in her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Critical to Mrs. Kashani's claim is proof that she had gold bars valued at $100,000 US. The evidence before the court casts doubt on Mrs. Kashani's assertion that she gave to Mr. Dhalla a total of 53 gold bars, or any gold bars. No documentation at all exists with respect to the alleged transfers of gold bars to Mr. Dhalla or with respect to any agreements between Mrs. Kashani and Mr. Dhalla. Culture and tradition, and the fact she trusted and respected Mr. Dhalla because he was of family are offered as her explanation for the absence of such documentation.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Mrs. Kashani came to Canada as a landed immigrant in 1985. She said she returned to Iran prior to 1990 to sell some property that she owned and some of her belongings. She again returned to Iran in 1990 in order to sell two pieces of property that she said were left as an inheritance for herself and her husband. Her evidence was clear and unequivocal that the gross sale proceeds from these two real estate transactions were used to purchase gold bars in Iran. She was clear that she did not use any of the sale proceeds for any other purpose. The gross sale proceeds amounted to 310,456,200 Persian rial. Mrs. Kashani produced receipts for all the gold bars allegedly purchased using the proceeds from the sale of the property, which amounted to 131,862,000 Persian rial. In direct examination, Mrs. Kashani testified that the gold bars were worth $100,000 US, and this is consistent with the pleadings. However, in direct and cross-examination, Mrs. Kashani gave evidence that at the time of the alleged gold bullion transaction in Iran in 1991 the exchange rate was $1 US to 3,000 Persian rial. Applying that formula, the total value of the gold bars bought in Iran in 1991 would be approximately $44,000 US, not $100,000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Mrs. Kashani's evidence is inconsistent about which gold bars she purchased, and which bars her family friend, Mr. Mehr-Rahimi bought. Mrs. Kashani's evidence is inconsistent with Mr. Mehr-Rahimi's evidence, and with evidence she gave under oath at her examination for discovery. Her evidence at her examination for discovery and in an affidavit is inconsistent with respect to the number of gold bars she says she gave Mr. Dhalla and the dates when she allegedly gave him the gold bars. Other than her daughter, who purports to have witnessed the exchange of eight gold bars with Mr. Dhalla, there is no evidence before this court which corroborates Mrs. Kashani's allegation that she gave any gold bars to Mr. Dhalla. Her daughter's evidence I found to be internally and externally inconsistent.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Mrs. Kashani's evidence about the gold bars was unreliable and implausible. It was internally inconsistent and inconsistent with evidence given under oath at her examination for discovery and in her affidavit. Her evidence is inconsistent with the evidence of other witnesses and with the documentary evidence she relied on to advance her claim. Not only are there internal and external inconsistencies in Mrs. Kashani's evidence, her evidence contradicts her own pleadings in material respects. There is no degree of certainty or conviction about the dates upon which key agreements were supposedly made, the terms of the agreements she says she entered into, or her conduct following the making of such alleged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Mrs. Kashani elected not to cross-examine Mr. Dhalla, so his evidence is effectively unchallenged. In any event, there is no reason to doubt the credibility of Mr. Dhalla. The evidence of Mr. Dhalla is clear, concise and consistent. Where the evidence of Mrs. Kashani is inconsistent with that of Mr. Dhalla, I accept Mr. Dhalla's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would say, however, that this case could have been decided even without any defence evidence since the evidence of Mrs. Kashani and her witnesses was neither cogent nor compelling so as to discharge the burden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Mrs. Kashani bears the burden of proving her claims. The appropriate standard of proof in this case is the high degree of probability commensurate with the seriousness of the allegations. When serious allegations of morally blameworthy conduct are raised in the context of a civil case, as have been made in this case, there must be cogent and compelling evidence offered in proof to establish the allegations with a degree of probability that is commensurate with the occasion. Even though the legal burden of proof remains unchanged, the clear and cogent standard as it is often characterized reflects the need to subject evidence to greater scrutiny where it is offered as proof of allegations that carry serious consequences. This approach was set out by Lord Denning in Bater v. Bater, [1950] 2 All E.R. 458 (C.A.), at 459.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case may be proved by a preponderance of probability, but there may be degrees of probability within that standard. The degree depends on the subject matter. A civil court when considering a charge of fraud will naturally require a higher standard of probability than that which it would require considering whether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established. It does not adopt so high a degree as a criminal court, even when it is considering a charge of a criminal nature, but still it does require a degree of probability which is commensurate with the occasion.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I have said, counsel for Mr. Dhalla has identified numerous legal issues that arise from the pleadings and the evidence at trial. In light of my findings on credibility, I do not have to determine these legal issues. As I have said, Mr. Dhalla denies receiving any gold bars at all from Mrs. Kashani. There is no reliable evidence that such gold bars were provided to Mr. Dhalla. These gold bars are the foundation of Mrs. Kashani's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However, even if I accepted the evidence of Mrs. Kashani and her witnesses entirely, that evidence would be insufficient to prove her complex legal claims. There is no reliable evidence on the other aspects of her claim. There is no evidence that at law would support the allegations of undue influence or duress. There is no evidence that at law would support that Mr. Dhalla made any fraudulent representations or committed fraud with respect to investments of any gold bars or the Devonshire property. There is no evidence that at law would support a finding of any trust agreements. The evidence with respect to any agreements Mrs. Kashani says she made with Mr. Dhalla is so vague and uncertain it cannot discharge her burden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light of my findings, I dismiss all Mrs. Kashani's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Dhalla's counterclaim is allowed. He will have judgment for $65,000, plus court order interest, representing his damages for the failure of Mrs. Kashani to vacate the Devonshire property. Damages are calculated on the basis of $1,000 a month for the 65 months that Mrs. Kashani has lived at the Devonshire property rent 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Dhalla seeks an order for vacant possession of the Devonshire property, but generously concedes that the court, in the circumstances, given the season of the year, should give Mrs. Kashani until February 15, 2002 to vacate the premises. Although this remedy is not specified in the pleadings, if necessary, I would permit an amendment. It is essential to make such an order, having regard to the protracted history of this matter, including the residential tenancy hearings, and the lack of co-operation Mrs. Kashani has demonstrated in the past, to bring this dispute finally to an end. There will be an order requiring Mrs. Kashani to deliver up vacant possession of the Devonshire Crescent property on or before February 15,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Dhalla is entitled to costs. I will hear submissions on costs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STROMBERG-STEIN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3" style="position:absolute;z-index:2518548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68"/>
          <w:headerReference w:type="default" r:id="rId769"/>
          <w:footerReference w:type="even" r:id="rId770"/>
          <w:footerReference w:type="default" r:id="rId771"/>
          <w:headerReference w:type="first" r:id="rId772"/>
          <w:footerReference w:type="first" r:id="rId77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74" w:history="1">
        <w:r>
          <w:rPr>
            <w:rFonts w:ascii="arial" w:eastAsia="arial" w:hAnsi="arial" w:cs="arial"/>
            <w:b/>
            <w:bCs/>
            <w:i/>
            <w:color w:val="0077CC"/>
            <w:kern w:val="32"/>
            <w:sz w:val="28"/>
            <w:szCs w:val="32"/>
            <w:u w:val="single"/>
            <w:shd w:val="clear" w:color="auto" w:fill="FFFFFF"/>
            <w:lang w:val="en-US" w:eastAsia="en-US" w:bidi="ar-SA"/>
          </w:rPr>
          <w:t>Kent v. Translink, [2016] B.C.J. No. 246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G.S. Funt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15-16, 2015; February 12,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12,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S155086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224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Stephen Kent, Plaintiff, and Translink, Coast Mountain Bus Company, Unifor Union 111, West Van Municipal Transit Management (Contractor to Translink), Gareth Rowlands, Michael Kenny, Peter Morris, West Van Municipal Hall Staffer / HR Advisor, Clare Pollock, Amalgamated Transit Union 134 President, Geoffrey Devlin, Calvin Stewart, Andytakhar, West Van Transit Trainers, Scott Boylan, Naresh Sachithanandan, Andy Takhar, West Van Transit Dispatchers, Tammy Unknown, Shawne McCorkell, Karen Krupa, Steve Unknown, Marina Unknown, West Van Transit Operators / Drivers, Peter Cockroft, Daniel Belanger, Alan Donaldson, Robert Bird, Bruce Steel, Kal Kang, Sam Chandi, Cameron Morton, Sara Myer, Brian McNaughton, Lydia Unknown, Roman Unknown, West Van Transit Maintenance Department, Tom Cheung, Dave James, John Unknown, Work Safe BC / Occupational Health and Safety, Anne Jopling, West Van Transit Secret Shoppers, Simon Unknown, John Doe (Bald Iranian), John Doe (Alias Davie St Gym Harasser), Jane Doe (Alias Busy Bee), John Doe (Alias Canada Post Harasser), John Doe (Alias Starbucks Harasser), John Doe (Alias Surgical Mask Guy), Concert Realty Service, Peter Lee, Gregg Unknown, Cecilia Ma, John and Jane Doe (Alias Mr and Mrs Neighbour), Jane Doe (Alias Ms Neighbour # 3), Aquarius Medical, Judith Boyce, Vince Tong, Emma Galloway, Sanja Avinashi, Dr Gordon, West Van Police Department, Vancouver Police Department, Urban Fare (Yaletown), John Doe Manager, Sean Unknown Staff, Steve Nash Fitness World (North Shore), Natalie Unknown, Ken Doe (Ex - Superintendent), Scott Doe (Alias Undercover Scott), Jonn Doe (Alias G35 Guy), Terry Doe (Alias Trigger), John Doe (Alias R and W Hooped Shirt Guy), John Doe (Alias Slim Shady), John Doe (Alias Calf Tattoo Guy),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4"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8" w:name="Keywords_42"/>
      <w:bookmarkEnd w:id="278"/>
      <w:r>
        <w:rPr>
          <w:rFonts w:ascii="arial" w:eastAsia="arial" w:hAnsi="arial" w:cs="arial"/>
          <w:b/>
          <w:color w:val="000000"/>
          <w:sz w:val="20"/>
          <w:lang w:val="en-US" w:eastAsia="en-US" w:bidi="ar-SA"/>
        </w:rPr>
        <w:t>Civil litigation — Civil procedure — Pleadings — Striking out pleadings or allegations — Grounds — Failure to disclose a cause of actions — Applications by defendants to have Kent's Notice of Civil Claim struck allowed — In his Notice of Civil Claim, Kent sought significant damages, including punitive damages, and made serious allegations, including general conspiracy to intentionally harass him — Notice of Civil Claim was struck without leave to amend — Notice of Civil Claim was prolix, convoluted and very difficult to comprehend — Pleading failed to satisfy their basic purpose — Defendants were unable to know the case to be met, which was especially given that significant damages were sought and serious allegations were made — Supreme Court Civil Rules, Rule 9-5(1).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9" w:name="Case Summary_37"/>
            <w:bookmarkEnd w:id="27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Applications by the defendants to have Kent's Notice of Civil Claim struck. In his Notice of Civil Claim, Kent sought significant damages, including punitive damages, and made serious allegations, including a general conspiracy to intentionally harass him.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0" w:name="Holdings of Court_34"/>
            <w:bookmarkEnd w:id="280"/>
            <w:r>
              <w:rPr>
                <w:rFonts w:ascii="arial" w:eastAsia="arial" w:hAnsi="arial" w:cs="arial"/>
                <w:color w:val="000000"/>
                <w:sz w:val="20"/>
                <w:lang w:val="en-US" w:eastAsia="en-US" w:bidi="ar-SA"/>
              </w:rPr>
              <w:t>HELD: Applications allowed -- The Notice of Civil Claim was struck without leave to amend.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Notice of Civil Claim was prolix, convoluted and very difficult to comprehend. The redrafts were similar in measure. If the court did not to strike Kent's claim, the defendants would be forced to try to distill order from the abstract. Such a burden was unfair to each of them. The pleadings failed to satisfy their basic purpose. The defendants were unable to know the case to be met, which was especially given that significant damages were sought and serious allegations were made.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1" w:name="Legislation Cited_31"/>
      <w:bookmarkEnd w:id="28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5"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9-5(1)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2" w:name="Counsel_42"/>
      <w:bookmarkEnd w:id="28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6"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 appearing on his own behalf: S. Kent.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Aquarius Medical Clinic, Drs. Boyce, Tong, Avinashi, Golloway and Germain: D. Reid.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South Coast British Columbia Transportation Authority ("Translink") and Coast Mountain Bus Company Ltd.: A. Ritchie.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Worksafe BC and Anne Jopling: N. Bower.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Urban Fare (Yaletown), John Doe Manager, and Sean Unknown Staff: R. Horn.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Telus Communications Company: R. Coad.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Gareth Rowlands, Michael Kenny, Peter Morris, Clare Pollock, Scott Boylan, Naresh Sachithanandan, Andy Takhar, Shawne McCorkell, Karen Krupa, Peter Cockroft, Daniel Bellanger, Alan Donaldson, Robert Bird, Bruce Steel, Kal Kang, Sam Chandi, Cameron Morton, Sara Myer, Brian McNaughton, Tom Cheung and Dave James: T. Hoogstraten.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3" w:name="Judgment_42"/>
      <w:bookmarkEnd w:id="283"/>
      <w:r>
        <w:pict>
          <v:line id="_x0000_s1237" style="position:absolute;z-index:2518558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4" w:name="G.S. FUNT J."/>
            <w:bookmarkEnd w:id="284"/>
            <w:r>
              <w:rPr>
                <w:rFonts w:ascii="arial" w:eastAsia="arial" w:hAnsi="arial" w:cs="arial"/>
                <w:b/>
                <w:color w:val="000000"/>
                <w:sz w:val="30"/>
                <w:lang w:val="en-US" w:eastAsia="en-US" w:bidi="ar-SA"/>
              </w:rPr>
              <w:t>G.S. FUNT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Before the Court are applications to have the plaintiff's Notice of Civil Claim struck under Rule 9-5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various applications serve to include all of the identifiable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applications first came before the Court on December 15 and 16, 2015. Submissions by the applicants were made and Mr. Kent, who was self-represented, responded.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conclusion of argument, the Court adjourned matters until today in order to provide Mr. Kent with the opportunity to prepare a redraft of his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Kent has prepared two redrafts of his Notice of Civil Claim. The second redraft modifies his first redraft. The redrafts provide no further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his Notice of Civil Claim, Mr. Kent seeks significant damages, including punitive damages, and makes serious allegations, including a general conspiracy to intentionally harass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Rule 9-5(1)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Mohebbi v. North Vancouver RCMP,</w:t>
      </w:r>
      <w:r>
        <w:rPr>
          <w:rFonts w:ascii="arial" w:eastAsia="arial" w:hAnsi="arial" w:cs="arial"/>
          <w:color w:val="000000"/>
          <w:sz w:val="20"/>
          <w:lang w:val="en-US" w:eastAsia="en-US" w:bidi="ar-SA"/>
        </w:rPr>
        <w:t xml:space="preserve"> </w:t>
      </w:r>
      <w:hyperlink r:id="rId775" w:history="1">
        <w:r>
          <w:rPr>
            <w:rFonts w:ascii="arial" w:eastAsia="arial" w:hAnsi="arial" w:cs="arial"/>
            <w:i/>
            <w:color w:val="0077CC"/>
            <w:sz w:val="20"/>
            <w:u w:val="single"/>
            <w:shd w:val="clear" w:color="auto" w:fill="FFFFFF"/>
            <w:lang w:val="en-US" w:eastAsia="en-US" w:bidi="ar-SA"/>
          </w:rPr>
          <w:t>2015 BCSC 2083</w:t>
        </w:r>
      </w:hyperlink>
      <w:r>
        <w:rPr>
          <w:rFonts w:ascii="arial" w:eastAsia="arial" w:hAnsi="arial" w:cs="arial"/>
          <w:color w:val="000000"/>
          <w:sz w:val="20"/>
          <w:lang w:val="en-US" w:eastAsia="en-US" w:bidi="ar-SA"/>
        </w:rPr>
        <w:t xml:space="preserve">, Justice Williams cites with approval the summary of the jurisprudence on Rule 9-5 by Justice Garson (as she then was) in </w:t>
      </w:r>
      <w:r>
        <w:rPr>
          <w:rFonts w:ascii="arial" w:eastAsia="arial" w:hAnsi="arial" w:cs="arial"/>
          <w:i/>
          <w:color w:val="000000"/>
          <w:sz w:val="20"/>
          <w:lang w:val="en-US" w:eastAsia="en-US" w:bidi="ar-SA"/>
        </w:rPr>
        <w:t>Dempsey et al v. Envision Credit Union et al</w:t>
      </w:r>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2006 BCSC 750</w:t>
        </w:r>
      </w:hyperlink>
      <w:r>
        <w:rPr>
          <w:rFonts w:ascii="arial" w:eastAsia="arial" w:hAnsi="arial" w:cs="arial"/>
          <w:color w:val="000000"/>
          <w:sz w:val="20"/>
          <w:lang w:val="en-US" w:eastAsia="en-US" w:bidi="ar-SA"/>
        </w:rPr>
        <w:t xml:space="preserve"> which reads: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255"/>
        <w:gridCol w:w="752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w:t>
            </w:r>
          </w:p>
        </w:tc>
        <w:tc>
          <w:tcPr>
            <w:tcW w:w="737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summary, a pleading will be struck out if: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are unintelligible, confusing and difficult to understand (</w:t>
      </w:r>
      <w:r>
        <w:rPr>
          <w:rFonts w:ascii="arial" w:eastAsia="arial" w:hAnsi="arial" w:cs="arial"/>
          <w:i/>
          <w:color w:val="000000"/>
          <w:sz w:val="20"/>
          <w:lang w:val="en-US" w:eastAsia="en-US" w:bidi="ar-SA"/>
        </w:rPr>
        <w:t>Citizens of Foreign Aid Reform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Inc. v. Canadian Jewish Congress</w:t>
      </w:r>
      <w:r>
        <w:rPr>
          <w:rFonts w:ascii="arial" w:eastAsia="arial" w:hAnsi="arial" w:cs="arial"/>
          <w:color w:val="000000"/>
          <w:sz w:val="20"/>
          <w:lang w:val="en-US" w:eastAsia="en-US" w:bidi="ar-SA"/>
        </w:rPr>
        <w:t xml:space="preserve">, </w:t>
      </w:r>
      <w:hyperlink r:id="rId777" w:history="1">
        <w:r>
          <w:rPr>
            <w:rFonts w:ascii="arial" w:eastAsia="arial" w:hAnsi="arial" w:cs="arial"/>
            <w:i/>
            <w:color w:val="0077CC"/>
            <w:sz w:val="20"/>
            <w:u w:val="single"/>
            <w:shd w:val="clear" w:color="auto" w:fill="FFFFFF"/>
            <w:lang w:val="en-US" w:eastAsia="en-US" w:bidi="ar-SA"/>
          </w:rPr>
          <w:t>1999 CarswellBC 2111</w:t>
        </w:r>
      </w:hyperlink>
      <w:r>
        <w:rPr>
          <w:rFonts w:ascii="arial" w:eastAsia="arial" w:hAnsi="arial" w:cs="arial"/>
          <w:color w:val="000000"/>
          <w:sz w:val="20"/>
          <w:lang w:val="en-US" w:eastAsia="en-US" w:bidi="ar-SA"/>
        </w:rPr>
        <w:t xml:space="preserve"> (S.C.)]);</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do not establish a cause of action and do not advance a claim known in law (</w:t>
      </w:r>
      <w:r>
        <w:rPr>
          <w:rFonts w:ascii="arial" w:eastAsia="arial" w:hAnsi="arial" w:cs="arial"/>
          <w:i/>
          <w:color w:val="000000"/>
          <w:sz w:val="20"/>
          <w:lang w:val="en-US" w:eastAsia="en-US" w:bidi="ar-SA"/>
        </w:rPr>
        <w:t>Citizens for Foreign Aid Reform, supra</w:t>
      </w:r>
      <w:r>
        <w:rPr>
          <w:rFonts w:ascii="arial" w:eastAsia="arial" w:hAnsi="arial" w:cs="arial"/>
          <w:color w:val="000000"/>
          <w:sz w:val="20"/>
          <w:lang w:val="en-US" w:eastAsia="en-US" w:bidi="ar-SA"/>
        </w:rPr>
        <w: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are without substance in that they are groundless, fanciful and trifle with the Court's time (</w:t>
      </w:r>
      <w:r>
        <w:rPr>
          <w:rFonts w:ascii="arial" w:eastAsia="arial" w:hAnsi="arial" w:cs="arial"/>
          <w:i/>
          <w:color w:val="000000"/>
          <w:sz w:val="20"/>
          <w:lang w:val="en-US" w:eastAsia="en-US" w:bidi="ar-SA"/>
        </w:rPr>
        <w:t>Borsato v. Basra</w:t>
      </w:r>
      <w:r>
        <w:rPr>
          <w:rFonts w:ascii="arial" w:eastAsia="arial" w:hAnsi="arial" w:cs="arial"/>
          <w:color w:val="000000"/>
          <w:sz w:val="20"/>
          <w:lang w:val="en-US" w:eastAsia="en-US" w:bidi="ar-SA"/>
        </w:rPr>
        <w:t>, [</w:t>
      </w:r>
      <w:hyperlink r:id="rId177" w:history="1">
        <w:r>
          <w:rPr>
            <w:rFonts w:ascii="arial" w:eastAsia="arial" w:hAnsi="arial" w:cs="arial"/>
            <w:i/>
            <w:color w:val="0077CC"/>
            <w:sz w:val="20"/>
            <w:u w:val="single"/>
            <w:shd w:val="clear" w:color="auto" w:fill="FFFFFF"/>
            <w:lang w:val="en-US" w:eastAsia="en-US" w:bidi="ar-SA"/>
          </w:rPr>
          <w:t>2000 BCSC 28</w:t>
        </w:r>
      </w:hyperlink>
      <w:r>
        <w:rPr>
          <w:rFonts w:ascii="arial" w:eastAsia="arial" w:hAnsi="arial" w:cs="arial"/>
          <w:color w:val="000000"/>
          <w:sz w:val="20"/>
          <w:lang w:val="en-US" w:eastAsia="en-US" w:bidi="ar-SA"/>
        </w:rPr>
        <w:t xml:space="preserve">, rev'd on other grounds </w:t>
      </w:r>
      <w:hyperlink r:id="rId778" w:history="1">
        <w:r>
          <w:rPr>
            <w:rFonts w:ascii="arial" w:eastAsia="arial" w:hAnsi="arial" w:cs="arial"/>
            <w:i/>
            <w:color w:val="0077CC"/>
            <w:sz w:val="20"/>
            <w:u w:val="single"/>
            <w:shd w:val="clear" w:color="auto" w:fill="FFFFFF"/>
            <w:lang w:val="en-US" w:eastAsia="en-US" w:bidi="ar-SA"/>
          </w:rPr>
          <w:t>2000 BCSC 1898</w:t>
        </w:r>
      </w:hyperlink>
      <w:r>
        <w:rPr>
          <w:rFonts w:ascii="arial" w:eastAsia="arial" w:hAnsi="arial" w:cs="arial"/>
          <w:color w:val="000000"/>
          <w:sz w:val="20"/>
          <w:lang w:val="en-US" w:eastAsia="en-US" w:bidi="ar-SA"/>
        </w:rPr>
        <w:t>])</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are not bona fides, are oppressive and are designed to cause the Defendants anxiety, trouble and expense (</w:t>
      </w:r>
      <w:r>
        <w:rPr>
          <w:rFonts w:ascii="arial" w:eastAsia="arial" w:hAnsi="arial" w:cs="arial"/>
          <w:i/>
          <w:color w:val="000000"/>
          <w:sz w:val="20"/>
          <w:lang w:val="en-US" w:eastAsia="en-US" w:bidi="ar-SA"/>
        </w:rPr>
        <w:t>Borsato v. Basra</w:t>
      </w:r>
      <w:r>
        <w:rPr>
          <w:rFonts w:ascii="arial" w:eastAsia="arial" w:hAnsi="arial" w:cs="arial"/>
          <w:color w:val="000000"/>
          <w:sz w:val="20"/>
          <w:lang w:val="en-US" w:eastAsia="en-US" w:bidi="ar-SA"/>
        </w:rPr>
        <w:t>, supra);</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 is brought for an improper purpose, particularly the harassment and oppression of the Defendants (</w:t>
      </w:r>
      <w:r>
        <w:rPr>
          <w:rFonts w:ascii="arial" w:eastAsia="arial" w:hAnsi="arial" w:cs="arial"/>
          <w:i/>
          <w:color w:val="000000"/>
          <w:sz w:val="20"/>
          <w:lang w:val="en-US" w:eastAsia="en-US" w:bidi="ar-SA"/>
        </w:rPr>
        <w:t>Ebrahim v. Ebrahim</w:t>
      </w:r>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2002 BCSC 466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Willow v. Chong</w:t>
      </w:r>
      <w:r>
        <w:rPr>
          <w:rFonts w:ascii="arial" w:eastAsia="arial" w:hAnsi="arial" w:cs="arial"/>
          <w:color w:val="000000"/>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2013 BCSC 1083</w:t>
        </w:r>
      </w:hyperlink>
      <w:r>
        <w:rPr>
          <w:rFonts w:ascii="arial" w:eastAsia="arial" w:hAnsi="arial" w:cs="arial"/>
          <w:color w:val="000000"/>
          <w:sz w:val="20"/>
          <w:lang w:val="en-US" w:eastAsia="en-US" w:bidi="ar-SA"/>
        </w:rPr>
        <w:t>, Justice Fisher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The test for striking a claim as disclosing no reasonable claim under Rule 9-5(1)(a), set out in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and reiterated more recently in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781"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is whether it is "plain and obvious," assuming the facts pleaded are true, that the claim discloses no reasonable cause of action, has no reasonable prospect of success, or if the action is "certain to fail." If there is a chance that the plaintiffs might succeed, then they should not be "driven from the judgment seat." No evidence is admissible on an application under Rule 9-5(1)(a).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The rule that material facts in a notice of civil claim must be taken as true does not mean that allegations based on assumption and speculation must be taken as true. This was discussed in </w:t>
      </w:r>
      <w:r>
        <w:rPr>
          <w:rFonts w:ascii="arial" w:eastAsia="arial" w:hAnsi="arial" w:cs="arial"/>
          <w:i/>
          <w:color w:val="000000"/>
          <w:sz w:val="20"/>
          <w:lang w:val="en-US" w:eastAsia="en-US" w:bidi="ar-SA"/>
        </w:rPr>
        <w:t>Operation Dismantle Inc. v The Queen</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xml:space="preserve">, where Dickson J. (as he then was) stated that "[n]o violence is done to the rule where allegations, incapable of proof, are not taken as proven". In </w:t>
      </w:r>
      <w:r>
        <w:rPr>
          <w:rFonts w:ascii="arial" w:eastAsia="arial" w:hAnsi="arial" w:cs="arial"/>
          <w:i/>
          <w:color w:val="000000"/>
          <w:sz w:val="20"/>
          <w:lang w:val="en-US" w:eastAsia="en-US" w:bidi="ar-SA"/>
        </w:rPr>
        <w:t>Young v Borzoni</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 xml:space="preserve">, the court stated (at paras. 30-31) that great caution must be taken in relying on </w:t>
      </w:r>
      <w:r>
        <w:rPr>
          <w:rFonts w:ascii="arial" w:eastAsia="arial" w:hAnsi="arial" w:cs="arial"/>
          <w:i/>
          <w:color w:val="000000"/>
          <w:sz w:val="20"/>
          <w:lang w:val="en-US" w:eastAsia="en-US" w:bidi="ar-SA"/>
        </w:rPr>
        <w:t>Operation Dismantle</w:t>
      </w:r>
      <w:r>
        <w:rPr>
          <w:rFonts w:ascii="arial" w:eastAsia="arial" w:hAnsi="arial" w:cs="arial"/>
          <w:color w:val="000000"/>
          <w:sz w:val="20"/>
          <w:lang w:val="en-US" w:eastAsia="en-US" w:bidi="ar-SA"/>
        </w:rPr>
        <w:t xml:space="preserve"> as a general authority that allegations in pleadings should be weighed as to their truth, but it is not fundamentally wrong to look behind allegations in some cases, and it may be appropriate to subject the allegations in the pleadings to a sceptical analysis. It was considered appropriate in </w:t>
      </w:r>
      <w:r>
        <w:rPr>
          <w:rFonts w:ascii="arial" w:eastAsia="arial" w:hAnsi="arial" w:cs="arial"/>
          <w:i/>
          <w:color w:val="000000"/>
          <w:sz w:val="20"/>
          <w:lang w:val="en-US" w:eastAsia="en-US" w:bidi="ar-SA"/>
        </w:rPr>
        <w:t>Young</w:t>
      </w:r>
      <w:r>
        <w:rPr>
          <w:rFonts w:ascii="arial" w:eastAsia="arial" w:hAnsi="arial" w:cs="arial"/>
          <w:color w:val="000000"/>
          <w:sz w:val="20"/>
          <w:lang w:val="en-US" w:eastAsia="en-US" w:bidi="ar-SA"/>
        </w:rPr>
        <w:t>, where the plaintiff made sweeping allegations of things like intolerance, deceit, harassment, intimidation and falsifying documents against the defendants, which the court concluded could only be viewed as speculation.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Under Rule 9-5(1)(b), a pleading is unnecessary or vexatious if it does not go to establishing the plaintiff's cause of action, if it does not advance any claim known in law, where it is obvious that an action cannot succeed, or where it would serve no useful purpose and would be a waste of the court's time and public resources: </w:t>
      </w:r>
      <w:r>
        <w:rPr>
          <w:rFonts w:ascii="arial" w:eastAsia="arial" w:hAnsi="arial" w:cs="arial"/>
          <w:i/>
          <w:color w:val="000000"/>
          <w:sz w:val="20"/>
          <w:lang w:val="en-US" w:eastAsia="en-US" w:bidi="ar-SA"/>
        </w:rPr>
        <w:t>Citizens for Foreign Aid Reform Inc. v Canadian Jewish Congress</w:t>
      </w:r>
      <w:r>
        <w:rPr>
          <w:rFonts w:ascii="arial" w:eastAsia="arial" w:hAnsi="arial" w:cs="arial"/>
          <w:color w:val="000000"/>
          <w:sz w:val="20"/>
          <w:lang w:val="en-US" w:eastAsia="en-US" w:bidi="ar-SA"/>
        </w:rPr>
        <w:t xml:space="preserve">, </w:t>
      </w:r>
      <w:hyperlink r:id="rId777" w:history="1">
        <w:r>
          <w:rPr>
            <w:rFonts w:ascii="arial" w:eastAsia="arial" w:hAnsi="arial" w:cs="arial"/>
            <w:i/>
            <w:color w:val="0077CC"/>
            <w:sz w:val="20"/>
            <w:u w:val="single"/>
            <w:shd w:val="clear" w:color="auto" w:fill="FFFFFF"/>
            <w:lang w:val="en-US" w:eastAsia="en-US" w:bidi="ar-SA"/>
          </w:rPr>
          <w:t>[1999] B.C.J. No. 2160</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Skender v Farley</w:t>
      </w:r>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2007 BCCA 629</w:t>
        </w:r>
      </w:hyperlink>
      <w:r>
        <w:rPr>
          <w:rFonts w:ascii="arial" w:eastAsia="arial" w:hAnsi="arial" w:cs="arial"/>
          <w:color w:val="000000"/>
          <w:sz w:val="20"/>
          <w:lang w:val="en-US" w:eastAsia="en-US" w:bidi="ar-SA"/>
        </w:rPr>
        <w:t>. If a pleading is so confusing that it is difficult to understand what is pleaded, it may also be unnecessary, frivolous or vexatious. An application under this sub-rule may be supported by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Abuse of process under Rule 9-5(1)(d) or the court's inherent discretion is a flexible doctrine. It allows the court to prevent a claim from proceeding where to do so would violate principles of judicial economy, consistency, finality and the integrity of the administration of justice. A claim may be struck where it is a collateral attack on an administrative decision that is subject to appeal or judicial review: </w:t>
      </w:r>
      <w:r>
        <w:rPr>
          <w:rFonts w:ascii="arial" w:eastAsia="arial" w:hAnsi="arial" w:cs="arial"/>
          <w:i/>
          <w:color w:val="000000"/>
          <w:sz w:val="20"/>
          <w:lang w:val="en-US" w:eastAsia="en-US" w:bidi="ar-SA"/>
        </w:rPr>
        <w:t>Cimaco International Sales Inc. v British Columbia</w:t>
      </w:r>
      <w:r>
        <w:rPr>
          <w:rFonts w:ascii="arial" w:eastAsia="arial" w:hAnsi="arial" w:cs="arial"/>
          <w:color w:val="000000"/>
          <w:sz w:val="20"/>
          <w:lang w:val="en-US" w:eastAsia="en-US" w:bidi="ar-SA"/>
        </w:rPr>
        <w:t xml:space="preserve">, </w:t>
      </w:r>
      <w:hyperlink r:id="rId783" w:history="1">
        <w:r>
          <w:rPr>
            <w:rFonts w:ascii="arial" w:eastAsia="arial" w:hAnsi="arial" w:cs="arial"/>
            <w:i/>
            <w:color w:val="0077CC"/>
            <w:sz w:val="20"/>
            <w:u w:val="single"/>
            <w:shd w:val="clear" w:color="auto" w:fill="FFFFFF"/>
            <w:lang w:val="en-US" w:eastAsia="en-US" w:bidi="ar-SA"/>
          </w:rPr>
          <w:t>2010 BCCA 342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Stephen v HMTQ</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2008 BCSC 1656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Varzeliotis v British Columbia</w:t>
      </w:r>
      <w:r>
        <w:rPr>
          <w:rFonts w:ascii="arial" w:eastAsia="arial" w:hAnsi="arial" w:cs="arial"/>
          <w:color w:val="000000"/>
          <w:sz w:val="20"/>
          <w:lang w:val="en-US" w:eastAsia="en-US" w:bidi="ar-SA"/>
        </w:rPr>
        <w:t xml:space="preserve">, </w:t>
      </w:r>
      <w:hyperlink r:id="rId785" w:history="1">
        <w:r>
          <w:rPr>
            <w:rFonts w:ascii="arial" w:eastAsia="arial" w:hAnsi="arial" w:cs="arial"/>
            <w:i/>
            <w:color w:val="0077CC"/>
            <w:sz w:val="20"/>
            <w:u w:val="single"/>
            <w:shd w:val="clear" w:color="auto" w:fill="FFFFFF"/>
            <w:lang w:val="en-US" w:eastAsia="en-US" w:bidi="ar-SA"/>
          </w:rPr>
          <w:t>2007 BCSC 620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Gemex Developments Corp. v City of Coquitlam</w:t>
      </w:r>
      <w:r>
        <w:rPr>
          <w:rFonts w:ascii="arial" w:eastAsia="arial" w:hAnsi="arial" w:cs="arial"/>
          <w:color w:val="000000"/>
          <w:sz w:val="20"/>
          <w:lang w:val="en-US" w:eastAsia="en-US" w:bidi="ar-SA"/>
        </w:rPr>
        <w:t xml:space="preserve">, </w:t>
      </w:r>
      <w:hyperlink r:id="rId786" w:history="1">
        <w:r>
          <w:rPr>
            <w:rFonts w:ascii="arial" w:eastAsia="arial" w:hAnsi="arial" w:cs="arial"/>
            <w:i/>
            <w:color w:val="0077CC"/>
            <w:sz w:val="20"/>
            <w:u w:val="single"/>
            <w:shd w:val="clear" w:color="auto" w:fill="FFFFFF"/>
            <w:lang w:val="en-US" w:eastAsia="en-US" w:bidi="ar-SA"/>
          </w:rPr>
          <w:t>2002 BCSC 412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Berscheid v Ensign</w:t>
      </w:r>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[1999] B.C.J. No. 1172</w:t>
        </w:r>
      </w:hyperlink>
      <w:r>
        <w:rPr>
          <w:rFonts w:ascii="arial" w:eastAsia="arial" w:hAnsi="arial" w:cs="arial"/>
          <w:color w:val="000000"/>
          <w:sz w:val="20"/>
          <w:lang w:val="en-US" w:eastAsia="en-US" w:bidi="ar-SA"/>
        </w:rPr>
        <w:t xml:space="preserve"> (SC). A claim may also be struck as an abuse of process where it is an attempt to re-litigate an issue that has already been decided: </w:t>
      </w:r>
      <w:r>
        <w:rPr>
          <w:rFonts w:ascii="arial" w:eastAsia="arial" w:hAnsi="arial" w:cs="arial"/>
          <w:i/>
          <w:color w:val="000000"/>
          <w:sz w:val="20"/>
          <w:lang w:val="en-US" w:eastAsia="en-US" w:bidi="ar-SA"/>
        </w:rPr>
        <w:t>Toronto (City) v Canadian Union of Public Employees (CUPE), Local 79</w:t>
      </w:r>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Simon v. Canada (Attorney General)</w:t>
      </w:r>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2015 BCSC 924</w:t>
        </w:r>
      </w:hyperlink>
      <w:r>
        <w:rPr>
          <w:rFonts w:ascii="arial" w:eastAsia="arial" w:hAnsi="arial" w:cs="arial"/>
          <w:color w:val="000000"/>
          <w:sz w:val="20"/>
          <w:lang w:val="en-US" w:eastAsia="en-US" w:bidi="ar-SA"/>
        </w:rPr>
        <w:t>, in considering an application to strike a notice of civil claim, Justice Donegan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First, the pleadings fail to satisfy their basic purpose. The issues are not defined. There is no concise statement of material facts that are necessary to support any complete cause of action. Instead of pleading material facts, the plaintiffs have filed a lengthy, rambling, at some points bizarre narrative filled with irrelevant information, sweeping allegations against named and unnamed persons based upon assumptions and speculation, with scattered references to legislation bearing no relevance to the remedies that are sought.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 Second, a number of potential causes of action are pleaded that are unknown to the law. They are not, in my view, the type of novel but arguable claims as described in the case law such that they should be allowed to proceed to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Third, insofar as I can identify any potential causes of action known to law against either or both of the defendants, they appear to include a claim in contract, an overall claim in tort, and a claim based upon unjust enrichment. The tort claim involves a complex combination of various "torts", including perhaps,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statutory duty, misfeasance of public office, and conspiracy. I will address all of these, but I will say that overall my conclusions about all of the plaintiffs' claims are similar to those found by Associate Chief Justice Cullen in </w:t>
      </w:r>
      <w:r>
        <w:rPr>
          <w:rFonts w:ascii="arial" w:eastAsia="arial" w:hAnsi="arial" w:cs="arial"/>
          <w:i/>
          <w:color w:val="000000"/>
          <w:sz w:val="20"/>
          <w:lang w:val="en-US" w:eastAsia="en-US" w:bidi="ar-SA"/>
        </w:rPr>
        <w:t>Fowler v. Canada (Attorney General)</w:t>
      </w:r>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2012 BCSC 367</w:t>
        </w:r>
      </w:hyperlink>
      <w:r>
        <w:rPr>
          <w:rFonts w:ascii="arial" w:eastAsia="arial" w:hAnsi="arial" w:cs="arial"/>
          <w:color w:val="000000"/>
          <w:sz w:val="20"/>
          <w:lang w:val="en-US" w:eastAsia="en-US" w:bidi="ar-SA"/>
        </w:rPr>
        <w:t xml:space="preserve">. I find that the plaintiffs have failed to plead material facts in support of each element of these claims. Any of the claims raised rely upon the plaintiffs' lengthy and argumentative narrative in which it is impossible to separate the material from the immaterial, the fabric of one potential cause of action or claim from that of another, or conjecture and opinion from the asserted facts: </w:t>
      </w:r>
      <w:r>
        <w:rPr>
          <w:rFonts w:ascii="arial" w:eastAsia="arial" w:hAnsi="arial" w:cs="arial"/>
          <w:i/>
          <w:color w:val="000000"/>
          <w:sz w:val="20"/>
          <w:lang w:val="en-US" w:eastAsia="en-US" w:bidi="ar-SA"/>
        </w:rPr>
        <w:t>Fowler</w:t>
      </w:r>
      <w:r>
        <w:rPr>
          <w:rFonts w:ascii="arial" w:eastAsia="arial" w:hAnsi="arial" w:cs="arial"/>
          <w:color w:val="000000"/>
          <w:sz w:val="20"/>
          <w:lang w:val="en-US" w:eastAsia="en-US" w:bidi="ar-SA"/>
        </w:rPr>
        <w:t xml:space="preserve"> at para. 54. In my view, none of these claims disclose any reasonable cause of action, specifically a contract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Olenga v. British Columbia</w:t>
      </w:r>
      <w:r>
        <w:rPr>
          <w:rFonts w:ascii="arial" w:eastAsia="arial" w:hAnsi="arial" w:cs="arial"/>
          <w:color w:val="000000"/>
          <w:sz w:val="20"/>
          <w:lang w:val="en-US" w:eastAsia="en-US" w:bidi="ar-SA"/>
        </w:rPr>
        <w:t xml:space="preserve">, </w:t>
      </w:r>
      <w:hyperlink r:id="rId790" w:history="1">
        <w:r>
          <w:rPr>
            <w:rFonts w:ascii="arial" w:eastAsia="arial" w:hAnsi="arial" w:cs="arial"/>
            <w:i/>
            <w:color w:val="0077CC"/>
            <w:sz w:val="20"/>
            <w:u w:val="single"/>
            <w:shd w:val="clear" w:color="auto" w:fill="FFFFFF"/>
            <w:lang w:val="en-US" w:eastAsia="en-US" w:bidi="ar-SA"/>
          </w:rPr>
          <w:t>2015 BCSC 1050</w:t>
        </w:r>
      </w:hyperlink>
      <w:r>
        <w:rPr>
          <w:rFonts w:ascii="arial" w:eastAsia="arial" w:hAnsi="arial" w:cs="arial"/>
          <w:color w:val="000000"/>
          <w:sz w:val="20"/>
          <w:lang w:val="en-US" w:eastAsia="en-US" w:bidi="ar-SA"/>
        </w:rPr>
        <w:t>, Justice Baird in addressing pleadings alleging conspiracy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Pleadings alleging conspiracy must be as specific as possible. The statement of claim should describe who the several parties to the conspiracy are, and their relationship with each other. It should allege the object of the unlawful conspiracy between the defendants, giving the best particulars it can of the dates when or dates between which the unlawful conspiracy was entered into or continued. It should state precisely the objects and means of the alleged conspiracy and the overt acts which are alleged to have been done by each of the alleged conspirators in furtherance of it. It should detail the precise nature of the injury and damage occasioned to the plaintiff: </w:t>
      </w:r>
      <w:r>
        <w:rPr>
          <w:rFonts w:ascii="arial" w:eastAsia="arial" w:hAnsi="arial" w:cs="arial"/>
          <w:i/>
          <w:color w:val="000000"/>
          <w:sz w:val="20"/>
          <w:lang w:val="en-US" w:eastAsia="en-US" w:bidi="ar-SA"/>
        </w:rPr>
        <w:t>Can-Dive Services Ltd v. Pacific Coast Energy Corp.</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[1993] B.C.J. No. 2958</w:t>
        </w:r>
      </w:hyperlink>
      <w:r>
        <w:rPr>
          <w:rFonts w:ascii="arial" w:eastAsia="arial" w:hAnsi="arial" w:cs="arial"/>
          <w:color w:val="000000"/>
          <w:sz w:val="20"/>
          <w:lang w:val="en-US" w:eastAsia="en-US" w:bidi="ar-SA"/>
        </w:rPr>
        <w:t xml:space="preserve"> at paragraphs 8-9. The sweeping, superficial allegations of conspiracy in the present pleadings fail comprehensively to meet these requirements. They do not come close to achieving the level of specificity, clarity or asserted factual content required by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Notice of Civil Claim and the redrafts make serious allegations going to the reputations of the defendants. In this regard, although dishonesty is not pleaded, the reasons of Justice Donald writing for our Court of Appeal in </w:t>
      </w:r>
      <w:r>
        <w:rPr>
          <w:rFonts w:ascii="arial" w:eastAsia="arial" w:hAnsi="arial" w:cs="arial"/>
          <w:i/>
          <w:color w:val="000000"/>
          <w:sz w:val="20"/>
          <w:lang w:val="en-US" w:eastAsia="en-US" w:bidi="ar-SA"/>
        </w:rPr>
        <w:t>The Owners, Strata Plan LMS3259 v. Sze Hang Holding Inc</w:t>
      </w:r>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2015 BCCA 424</w:t>
        </w:r>
      </w:hyperlink>
      <w:r>
        <w:rPr>
          <w:rFonts w:ascii="arial" w:eastAsia="arial" w:hAnsi="arial" w:cs="arial"/>
          <w:color w:val="000000"/>
          <w:sz w:val="20"/>
          <w:lang w:val="en-US" w:eastAsia="en-US" w:bidi="ar-SA"/>
        </w:rPr>
        <w:t xml:space="preserve"> apply: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It remains only to say this. Self-represented litigants have no licence to employ accusations of dishonesty as a feature of their rhetoric unless such accusations are firmly grounded in the evidence, are relevant to the proceedings, and are responsibly made. By "responsibly", I mean measured, careful, and faithful to the evidence. Self-represented litigants must understand that the court is not a free fire zone where anything can be said regardless of the harm to others and their reputations.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case at bar, the Notice of Civil Claim is prolix, convoluted and very difficult to comprehend. The redrafts are similar in measure. If the Court were not to strike the plaintiff's claim, the defendants would be forced to try to distill order from the abstract. Such a burden would be unfair to each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Justice Donegan states, pleadings must contain defined issues with a concise statement of the material facts necessary to support a cause of action. In this case at bar, "the pleading fail to satisfy their basic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 defendant is entitled to know the case to be met, especially where significant damages are sought and serious allegations are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Court strikes, without leave to amend, the plaintiff's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applicants are awarded their respective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G.S. FUNT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8" style="position:absolute;z-index:2518958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92"/>
          <w:headerReference w:type="default" r:id="rId793"/>
          <w:footerReference w:type="even" r:id="rId794"/>
          <w:footerReference w:type="default" r:id="rId795"/>
          <w:headerReference w:type="first" r:id="rId796"/>
          <w:footerReference w:type="first" r:id="rId79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98" w:history="1">
        <w:r>
          <w:rPr>
            <w:rFonts w:ascii="arial" w:eastAsia="arial" w:hAnsi="arial" w:cs="arial"/>
            <w:b/>
            <w:bCs/>
            <w:i/>
            <w:color w:val="0077CC"/>
            <w:kern w:val="32"/>
            <w:sz w:val="28"/>
            <w:szCs w:val="32"/>
            <w:u w:val="single"/>
            <w:shd w:val="clear" w:color="auto" w:fill="FFFFFF"/>
            <w:lang w:val="en-US" w:eastAsia="en-US" w:bidi="ar-SA"/>
          </w:rPr>
          <w:t>Lang v. Lapp, [2009] B.C.J. No. 954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P.J. Pearlman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9-10 and April 27,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12,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S073605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954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638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Kathryn D. Lang, Whatever You Want LLC, O.K.D. Tour, Inc. K.D. US Tour, Inc. D. Tour, Inc., Plaintiffs, and Annabel Lapp and Annabel Lapp Group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9"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5" w:name="Keywords_43"/>
      <w:bookmarkEnd w:id="285"/>
      <w:r>
        <w:rPr>
          <w:rFonts w:ascii="arial" w:eastAsia="arial" w:hAnsi="arial" w:cs="arial"/>
          <w:b/>
          <w:color w:val="000000"/>
          <w:sz w:val="20"/>
          <w:lang w:val="en-US" w:eastAsia="en-US" w:bidi="ar-SA"/>
        </w:rPr>
        <w:t>Conflict of laws — Foreign judgments — Recognition of judgments of foreign state or territory — Application by plaintiffs for recognition and enforcement of California judgment allowed — A California court awarded the plaintiffs damages of US$1.9 million for breach of fiduciary duty and contract — The defendants opposed recognition of the judgment on the basis of fraud going to jurisdiction and the merits of the judgment — The court found that no such fraud was established — All facts related to jurisdiction and merits were within the knowledge of the defendants at the time that their forum non conveniens motion was dismissed, and when judgment and damages were awarded in California.</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6" w:name="Case Summary_38"/>
            <w:bookmarkEnd w:id="28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Lang and her companies, for recognition and enforcement of a foreign judgment against Lapp and her company. The personal plaintiff and corporate plaintiffs resided in California. The personal defendant and corporate defendants resided in British Columbia. The parties were involved in a dispute regarding an oral contract under which the defendants managed the plaintiff, a recording artist. The Superior Court for the State of California dismissed the defendants' forum non conveniens motion and granted judgment in favour of the plaintiffs. They awarded damages of US$1.9 million for breach of fiduciary duty and breach of contract. The defendants opposed recognition and enforcement of the judgment on the basis that it was obtained by fraud. They contended that the plaintiffs misrepresented their place of residence when the contract was made. They submitted that the plaintiffs misrepresented that the contract was made and substantially performed in California rather than British Columbia. They contended that the plaintiffs fraudulently represented that the defendants had deliberately breached their discovery obligations. They contended that the plaintiffs, in proving their damage claim, failed to disclose the manner in which the defendants had agreed to be paid. The plaintiffs denied fraud going to jurisdiction or the merits of the California decision. They submitted that the matters raised by the defendants were within their knowledge and could have been raised during the California proceedings. They submitted that the defendants attorned to the jurisdiction of the California court. They submitted that there was a real and substantial connection between the subject matter of the litigation and California, and thus the judgment should be recognized.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7" w:name="Holdings of Court_35"/>
            <w:bookmarkEnd w:id="287"/>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failed to establish that the plaintiffs made false statements to the California court or deliberately withheld information thereby fraudulently inducing it to take jurisdiction. All of the facts related to the making and performance of the contract were within the knowledge of the defendants when they brought their forum non conveniens motion. In addition, the defendants failed to establish that the plaintiff made false representations that went to the merits of the California judgment and the assessment of damages. No new material facts were adduced that could not have been put before the California court through the exercise of reasonable diligence. The plaintiffs were thus entitled to an order for recognition and enforcement of their judgment.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8" w:name="Legislation Cited_32"/>
      <w:bookmarkEnd w:id="28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0"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 Rule 18A(8),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Foreign Money Claims Act, </w:t>
      </w:r>
      <w:hyperlink r:id="rId799" w:history="1">
        <w:r>
          <w:rPr>
            <w:rFonts w:ascii="arial" w:eastAsia="arial" w:hAnsi="arial" w:cs="arial"/>
            <w:i/>
            <w:color w:val="0077CC"/>
            <w:sz w:val="20"/>
            <w:u w:val="single"/>
            <w:shd w:val="clear" w:color="auto" w:fill="FFFFFF"/>
            <w:lang w:val="en-US" w:eastAsia="en-US" w:bidi="ar-SA"/>
          </w:rPr>
          <w:t>RSBC 1996, CHAPTER 155, s. 1</w:t>
        </w:r>
      </w:hyperlink>
      <w:r>
        <w:rPr>
          <w:rFonts w:ascii="arial" w:eastAsia="arial" w:hAnsi="arial" w:cs="arial"/>
          <w:color w:val="000000"/>
          <w:sz w:val="20"/>
          <w:lang w:val="en-US" w:eastAsia="en-US" w:bidi="ar-SA"/>
        </w:rPr>
        <w:t>(1), s. 1(2)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9" w:name="Counsel_43"/>
      <w:bookmarkEnd w:id="28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1" style="position:absolute;z-index:251805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H.D. Edinger.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C. Roberts.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0" w:name="Judgment_43"/>
      <w:bookmarkEnd w:id="290"/>
      <w:r>
        <w:pict>
          <v:line id="_x0000_s1242" style="position:absolute;z-index:2518568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1" w:name="P.J. PEARLMAN J."/>
            <w:bookmarkEnd w:id="291"/>
            <w:r>
              <w:rPr>
                <w:rFonts w:ascii="arial" w:eastAsia="arial" w:hAnsi="arial" w:cs="arial"/>
                <w:b/>
                <w:color w:val="000000"/>
                <w:sz w:val="30"/>
                <w:lang w:val="en-US" w:eastAsia="en-US" w:bidi="ar-SA"/>
              </w:rPr>
              <w:t>P.J. PEARLMAN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apply pursuant to Rule 18A of the Supreme Court Rules for the recognition and enforcement of a foreign judgment. Specifically, they seek an order granting them:</w:t>
      </w:r>
      <w:r>
        <w:rPr>
          <w:rFonts w:ascii="arial" w:eastAsia="arial" w:hAnsi="arial" w:cs="arial"/>
          <w:sz w:val="20"/>
          <w:lang w:val="en-US" w:eastAsia="en-US" w:bidi="ar-SA"/>
        </w:rPr>
        <w:cr/>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liquidated damages or debt in the amount of the judgment entered in the Los Angeles Superior Court, the State of California on March 22, 2007, in case number SC087550, being $1,921,673 US funds or the equivalent amount in Canadian currency;</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pre-judgment interest from the date of commencement of this action; and,</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Superior Court for the State of California granted the judgment in an action for breach of the defendants' fiduciary duties as business managers for the plaintiffs, and breach of an oral contract, made in or about 1989, by which the defendants agreed to provide business management services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oppose the recognition and enforcement of the California judgment on the ground that it was obtained by fraud. They submit that the plaintiffs: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fraudulently induced the California Court to take jurisdiction by misrepresenting, by words or silence, that the place of residence of Ms. Lang at the time the contract was made was California, and that the contract was made and substantially performed in California, rather than British Columbia;</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fraudulently represented that the defendants had deliberately breached their discovery obligations;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proving their damage claim, failed to disclose to the California Court that the parties had agreed that the defendants would be paid an hourly rate, rather than a fee based on a percentage of gross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first ground is an allegation of fraud going to the jurisdiction of the foreign court. The second and third grounds allege fraud on the merits of the foreign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plaintiffs submit that there was neither fraud going to jurisdiction, nor fraud on the merits. They argue that the facts which the defendants say support their allegations of fraud were either before the foreign court, or were not material, or were matters within the knowledge of the defendants which could have been raised during the California proceedings. The plaintiffs rely upon </w:t>
      </w:r>
      <w:r>
        <w:rPr>
          <w:rFonts w:ascii="arial" w:eastAsia="arial" w:hAnsi="arial" w:cs="arial"/>
          <w:b/>
          <w:i/>
          <w:color w:val="000000"/>
          <w:sz w:val="20"/>
          <w:lang w:val="en-US" w:eastAsia="en-US" w:bidi="ar-SA"/>
        </w:rPr>
        <w:t>Beals v. Saldana</w:t>
      </w:r>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[2003] 3 S.C.R. 416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Beals</w:t>
      </w:r>
      <w:r>
        <w:rPr>
          <w:rFonts w:ascii="arial" w:eastAsia="arial" w:hAnsi="arial" w:cs="arial"/>
          <w:color w:val="000000"/>
          <w:sz w:val="20"/>
          <w:lang w:val="en-US" w:eastAsia="en-US" w:bidi="ar-SA"/>
        </w:rPr>
        <w:t>], for the proposition that the only admissible facts that this court may consider in determining whether the foreign court was misled are new and material facts that the defendants could not have discovered and brought before the foreign court through the exercise of reasonable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also contend that the only relevant issue on an application to enforce a foreign judgment is whether there was a real and substantial connection between the subject matter of the litigation and the foreign jurisdiction. They say that once that issue is resolved in the plaintiffs' favour, the question of whether there was fraud going to jurisdiction is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Finally, the plaintiffs submit that whether or not there was fraud going to jurisdiction, the defendants attorned to the jurisdiction of the California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When this application first came on for hearing on February 9 and 10, 2009, the defendants applied pursuant to Rule 18A (8) for an order dismissing the plaintiffs' application on the grounds that it was not suitable for disposition under Rule 18A, or alternatively, for an order adjourning the plaintiffs' application until examinations for discovery of the plaintiff Kathryn D. Lang ("Ms. Lang") and of her California counsel, as representatives of the corporate plaintiffs, were held.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oral reasons for judgment delivered on February 24, 2009, I found that the issues raised on this application were suitable for disposition under Rule 18A, but ruled that before I determined the merits of this application, the defendants should have the opportunity to discover the plaintiff on jurisdictional facts related to the making of the contract and the place for its performance. Subsequently, by agreement of counsel, the defendants conducted their examination of Ms. Lang by interrogatories. The hearing of the Rule 18A application was adjourned to April 27 to permit the parties to make further submissions following the delivery by Ms. Lang of her answers to the defendants' interrogatories.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Ms. Lang is a recording artist, and the corporate plaintiffs are United States companies with offices in California.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Annabel Lapp resides in Victoria, British Columbia, and is a businesswoman. The defendant Annabel Lapp Group Inc. is a British Columbia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hired Ms. Lapp and later her company as business managers. The defendants claim that their oral contract with the plaintiffs was made and largely performed in British Columbia. The defendants were the plaintiffs' business managers until the fall of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On November 8, 2005, the plaintiffs filed a complaint against the defendants in the Los Angeles Superior Court of the State of California for breach of fiduciary duty, constructive fraud, concealment,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and accounting in respect of the defendants' conduct as business managers for the plaintiffs. On November 9, 2005, the complaint was served on the defendant Lapp.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retained California counsel who on January 9, 2006, delivered a motion to quash service of the complaint. That motion was withdrawn on February 24, 2006, after the defendants retained new California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On March 17, 2006, the defendants' second California counsel filed a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motion which was heard by the California Court on April 11, 2006, before Her Honour Judge Hart Cole. On May 12, 2006, Judge Hart Cole denied the forum non conveniens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Between November 2005 and May 2006 there were numerous exchanges between the parties regarding the production of documents by the defendants. On or about May 31, 2006, the defendants delivered to the plaintiffs' new business agent, Mr. Gary Haber, 200 boxes of documents which had been in the defendants' possession or control and included financial records concerning the plaintiffs. The defendants did not retain copies of any of these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July 19, 2006, the defendants' counsel filed an answer to the complaint, setting out some 28 affirmative defences. On August 7 and 18, 2006, the plaintiffs' California counsel served the defendants' California counsel with various documentary discovery requests and interrogatories. They sought information and document production for the period 1997 through 2005 respecting the fees charged and services performed by the defendants, the information provided to the plaintiffs regarding their net income, and admissions concerning the amounts Annabel Lapp Group Inc. had paid Ms. Lapp from the accounts rendered to the plaintiffs in the years 1997 to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Although the defendants' then California counsel objected to the August 7, 2006 document requests, they did not file any objection to the August 18, 2006 discovery requests.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September 6, 2006, the defendants' California counsel withdrew as counsel of record. The defendants did not have California counsel retained on their behalf after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October 5, 2006, after the defendants failed to respond to the August 18, 2006 discovery requests, the plaintiffs filed a motion to compel answers to those requests, which was served on the defendants in Victoria. They filed no material in opposition to that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November 6, 2006, Judge Hart Cole granted the plaintiffs' motion to compel. The defendants took no steps to apply for a reconsideration of Judge Hart Cole's ruling, although the defendant Lapp and her Victoria solicitor received the Notice of Ruling on or about November 16,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December 18, 2006, plaintiffs' counsel filed and delivered their motion for terminating sanctions. That was a motion to strike out the defendants' answer to the complaint on the grounds that the defendants had failed to respond to Judge Hart Cole's order of November 6, 2006 or to the August 18, 2006 discovery requests. The defendants' motion for terminating sanctions was set for hearing on January 18,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 Lapp was served with that motion. She provided it to her Victoria solicitor who wrote on December 27, 2006 to the plaintiffs' California counsel setting out his understandings of the next steps in the California action, including the January 18, 2007 motion for terminating sanctions.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January 10, 2007, Ms. Lapp delivered a motion to adjourn the trial of the California action then set for February 20, 2007. In support of that motion she swore a declaration describing her difficulties in attempting to retain new counsel in California, and her attempts to comply with the outstanding discovery requests.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Lapp's motion was set over to January 18, 2007, and heard on that date by Judge Hart Cole, together with the plaintiffs' application for terminating sanctions. Despite the fact that Ms. Lapp had not filed any material in response to the plaintiffs' motion for terminating sanctions, the Court heard Ms. Lapp, who was not represented by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January 18, 2007, the Court granted the plaintiffs' application for terminating sanctions. The defendants neither appealed nor applied for reconsideration of Judge Hart Cole's ruling.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next and final step in the California action was the prove-up application whereby the plaintiffs applied to the Court for an assessment of damages. Plaintiffs' counsel prepared the prove-up application and set it down for hearing on March 22,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February 1, 2007, Ms. Lapp was served with that application and its supporting materials, which included the declarations of Gary Haber and Janice Staub. Mr. Haber's declaration set out his opinion that the defendants had overcharged for their services, and his calculation of the defendants' excess billings. He also gave opinion evidence on the standard fees charged by business managers in California. Ms. Staub, a Canadian business manager who provides financial representation to entertainers, gave evidence in her declaration regarding the fees charged by business managers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defendants made no submissions in opposition to the prove-up application, which Judge Hart Cole heard on March 22, 2007. On that date the California Court entered default judgment for damages against the defendants in the amount of $1,921,673 US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May 25, 2007, the plaintiffs commenced this action for recognition and enforcement of the California judgment. The defendants filed a statement of defence, contesting the recognition and enforcement of the California judgment on numerous grounds. The plaintiffs responded by filing a motion under Rule 19(24) to strike out the defence. That motion was heard by Mr. Justice Leask.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September 11, 2008, Leask J. ordered that the following defences were struck as disclosing no reasonable defence to the plaintiffs' claims: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did not attorn to the jurisdiction of the California Court;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real and substantial connection between the California Court and the defendants or the cause of action advanced by the plaintiffs in the California Court;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obtained the judgment from the California Court in a manner contrary to the principles of natural justice and fairness;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judgment of the California Court was contrary to public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Justice Leask did grant leave to the defendants to file a further amended statement of defence raising the defence that the California judgment was obtained by fraud. As a result of Leask J's ruling on the plaintiffs' Rule 19(24) application, fraud was the only ground left to the defendants to oppose enforcement of the California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October 23, 2008, the plaintiffs set this action down for a five-day trial commencing June 1,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November 24, 2008, the plaintiffs delivered their motion for judgment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At the commencement of the hearing of this application on February 9, 2009, the defendants filed their Second Further Amended Statement of Defence, which pleads the allegations of fraud they raise in opposing enforcement of the California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following are the principal issues raised on this application.</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scope of fraud as a defence to the recognition and enforcement of a foreign judgment?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defendant established either fraud going to the jurisdiction of the foreign court, or fraud on the merits?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plaintiffs entitled to an order for the enforcement of the California judgment, and if so, on what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addition, the plaintiffs raise these issues: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domestic court finds a real and substantial connection between the cause of action and the foreign court, is the question of whether there is fraud going to the jurisdiction of the foreign court relevant to the recognition and enforcement of the foreign judgment?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circumstances of this case, is attornment by the defendants to the jurisdiction of the California Court a stand alone ground for recognition of the foreign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Because the defendants' defence to the enforcement of the California judgment is now confined to fraud, I will begin by considering the issues relating to that defence. To the extent necessary, I will then return to the additional issues raised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Fraud as a defence to the enforcement of a foreign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the leading case of </w:t>
      </w:r>
      <w:r>
        <w:rPr>
          <w:rFonts w:ascii="arial" w:eastAsia="arial" w:hAnsi="arial" w:cs="arial"/>
          <w:b/>
          <w:i/>
          <w:color w:val="000000"/>
          <w:sz w:val="20"/>
          <w:lang w:val="en-US" w:eastAsia="en-US" w:bidi="ar-SA"/>
        </w:rPr>
        <w:t>Beals</w:t>
      </w:r>
      <w:r>
        <w:rPr>
          <w:rFonts w:ascii="arial" w:eastAsia="arial" w:hAnsi="arial" w:cs="arial"/>
          <w:color w:val="000000"/>
          <w:sz w:val="20"/>
          <w:lang w:val="en-US" w:eastAsia="en-US" w:bidi="ar-SA"/>
        </w:rPr>
        <w:t xml:space="preserve"> at para. 44, the Supreme Court of Canada explained the narrow scope of fraud as a defence to the enforcement of a foreign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Inherent to the defence of fraud is the concern that defendants may try to use this defence as a means of relitigating an action previously decided and so thwart the finality sought in litigation. The desire to avoid the relitigation of issues previously tried and decided has led the courts to treat the defence of fraud narrowly. It limits the type of evidence of fraud which can be pleaded in response to a judgment. If this Court were to widen the scope of the fraud defence, domestic courts would be increasingly drawn into a re-examination of the merits of foreign judgments. That result would obviously be contrary to the quest for finality.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At para. 47 of </w:t>
      </w:r>
      <w:r>
        <w:rPr>
          <w:rFonts w:ascii="arial" w:eastAsia="arial" w:hAnsi="arial" w:cs="arial"/>
          <w:b/>
          <w:i/>
          <w:color w:val="000000"/>
          <w:sz w:val="20"/>
          <w:lang w:val="en-US" w:eastAsia="en-US" w:bidi="ar-SA"/>
        </w:rPr>
        <w:t>Beals</w:t>
      </w:r>
      <w:r>
        <w:rPr>
          <w:rFonts w:ascii="arial" w:eastAsia="arial" w:hAnsi="arial" w:cs="arial"/>
          <w:color w:val="000000"/>
          <w:sz w:val="20"/>
          <w:lang w:val="en-US" w:eastAsia="en-US" w:bidi="ar-SA"/>
        </w:rPr>
        <w:t xml:space="preserve">, referring to the judgment of the Ontario Court of Appeal in </w:t>
      </w:r>
      <w:r>
        <w:rPr>
          <w:rFonts w:ascii="arial" w:eastAsia="arial" w:hAnsi="arial" w:cs="arial"/>
          <w:b/>
          <w:i/>
          <w:color w:val="000000"/>
          <w:sz w:val="20"/>
          <w:lang w:val="en-US" w:eastAsia="en-US" w:bidi="ar-SA"/>
        </w:rPr>
        <w:t>Jacobs v. Beaver</w:t>
      </w:r>
      <w:r>
        <w:rPr>
          <w:rFonts w:ascii="arial" w:eastAsia="arial" w:hAnsi="arial" w:cs="arial"/>
          <w:color w:val="000000"/>
          <w:sz w:val="20"/>
          <w:lang w:val="en-US" w:eastAsia="en-US" w:bidi="ar-SA"/>
        </w:rPr>
        <w:t xml:space="preserve"> </w:t>
      </w:r>
      <w:hyperlink r:id="rId801" w:history="1">
        <w:r>
          <w:rPr>
            <w:rFonts w:ascii="arial" w:eastAsia="arial" w:hAnsi="arial" w:cs="arial"/>
            <w:i/>
            <w:color w:val="0077CC"/>
            <w:sz w:val="20"/>
            <w:u w:val="single"/>
            <w:shd w:val="clear" w:color="auto" w:fill="FFFFFF"/>
            <w:lang w:val="en-US" w:eastAsia="en-US" w:bidi="ar-SA"/>
          </w:rPr>
          <w:t>(1908), 17 O.L.R. 496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Jacobs</w:t>
      </w:r>
      <w:r>
        <w:rPr>
          <w:rFonts w:ascii="arial" w:eastAsia="arial" w:hAnsi="arial" w:cs="arial"/>
          <w:color w:val="000000"/>
          <w:sz w:val="20"/>
          <w:lang w:val="en-US" w:eastAsia="en-US" w:bidi="ar-SA"/>
        </w:rPr>
        <w:t>], the Court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in </w:t>
      </w:r>
      <w:r>
        <w:rPr>
          <w:rFonts w:ascii="arial" w:eastAsia="arial" w:hAnsi="arial" w:cs="arial"/>
          <w:b/>
          <w:i/>
          <w:color w:val="000000"/>
          <w:sz w:val="20"/>
          <w:lang w:val="en-US" w:eastAsia="en-US" w:bidi="ar-SA"/>
        </w:rPr>
        <w:t>Jacobs,</w:t>
      </w:r>
      <w:r>
        <w:rPr>
          <w:rFonts w:ascii="arial" w:eastAsia="arial" w:hAnsi="arial" w:cs="arial"/>
          <w:color w:val="000000"/>
          <w:sz w:val="20"/>
          <w:lang w:val="en-US" w:eastAsia="en-US" w:bidi="ar-SA"/>
        </w:rPr>
        <w:t xml:space="preserve"> acknowledged that in addition to evidence of extrinsic fraud, evidence of intrinsic fraud was admissible where the defendant could establish "proof of new and material facts" that, not being available at the time of trial, were not before the issuing court and demonstrate that the judgment sought to be enforced was obtained by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Supreme Court of Canada addressed the scope of the defence of fraud in relation to foreign judgments in </w:t>
      </w:r>
      <w:r>
        <w:rPr>
          <w:rFonts w:ascii="arial" w:eastAsia="arial" w:hAnsi="arial" w:cs="arial"/>
          <w:b/>
          <w:i/>
          <w:color w:val="000000"/>
          <w:sz w:val="20"/>
          <w:lang w:val="en-US" w:eastAsia="en-US" w:bidi="ar-SA"/>
        </w:rPr>
        <w:t>Beals</w:t>
      </w:r>
      <w:r>
        <w:rPr>
          <w:rFonts w:ascii="arial" w:eastAsia="arial" w:hAnsi="arial" w:cs="arial"/>
          <w:color w:val="000000"/>
          <w:sz w:val="20"/>
          <w:lang w:val="en-US" w:eastAsia="en-US" w:bidi="ar-SA"/>
        </w:rPr>
        <w:t xml:space="preserve"> at paras. 50 - 52: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What should be the scope of the defence of fraud in relation to foreign judgments? </w:t>
      </w:r>
      <w:r>
        <w:rPr>
          <w:rFonts w:ascii="arial" w:eastAsia="arial" w:hAnsi="arial" w:cs="arial"/>
          <w:b/>
          <w:i/>
          <w:color w:val="000000"/>
          <w:sz w:val="20"/>
          <w:lang w:val="en-US" w:eastAsia="en-US" w:bidi="ar-SA"/>
        </w:rPr>
        <w:t>Jacobs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represents a reasonable approach to that defence. It effectively balances the need to guard against fraudulently obtained judgments with the need to treat foreign judgments as final. I agree with Doherty J.A. for the majority in the Court of Appeal that the "new and material facts" discussed in </w:t>
      </w:r>
      <w:r>
        <w:rPr>
          <w:rFonts w:ascii="arial" w:eastAsia="arial" w:hAnsi="arial" w:cs="arial"/>
          <w:b/>
          <w:i/>
          <w:color w:val="000000"/>
          <w:sz w:val="20"/>
          <w:lang w:val="en-US" w:eastAsia="en-US" w:bidi="ar-SA"/>
        </w:rPr>
        <w:t>Jacobs</w:t>
      </w:r>
      <w:r>
        <w:rPr>
          <w:rFonts w:ascii="arial" w:eastAsia="arial" w:hAnsi="arial" w:cs="arial"/>
          <w:color w:val="000000"/>
          <w:sz w:val="20"/>
          <w:lang w:val="en-US" w:eastAsia="en-US" w:bidi="ar-SA"/>
        </w:rPr>
        <w:t xml:space="preserve"> must be limited to those facts that a defendant could not have discovered and brought to the attention of the foreign court through the exercise of reasonable diligence.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The historic description of and the distinction between intrinsic and extrinsic fraud are of no apparent value and, because of their ability to both complicate and confuse, should be discontinued. It is simpler to say that fraud going to jurisdiction can always be raised before a domestic court to challenge the judgment. On the other hand, the merits of a foreign judgment can be challenged for fraud only where the allegations are new and not the subject of prior adjudication. Where material facts not previously discoverable arise that potentially challenge the evidence that was before the foreign court, the domestic court can decline recognition of the judgment.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Where a foreign judgment was obtained by fraud that was undetectable by the foreign court, it will not be enforced domestically. "Evidence of fraud undetectable by the foreign court" and the mention of "new and material facts" in </w:t>
      </w:r>
      <w:r>
        <w:rPr>
          <w:rFonts w:ascii="arial" w:eastAsia="arial" w:hAnsi="arial" w:cs="arial"/>
          <w:b/>
          <w:i/>
          <w:color w:val="000000"/>
          <w:sz w:val="20"/>
          <w:lang w:val="en-US" w:eastAsia="en-US" w:bidi="ar-SA"/>
        </w:rPr>
        <w:t>Jacobs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demand an element of reasonable diligence on the part of a defendant. To repeat Doherty J.A.'s ruling, in order to raise the defence of fraud, a defendant has the burden of demonstrating that the facts sought to be raised could not have been discovered by the exercise of due diligence prior to the obtaining of the foreign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judgment of the Court in </w:t>
      </w:r>
      <w:r>
        <w:rPr>
          <w:rFonts w:ascii="arial" w:eastAsia="arial" w:hAnsi="arial" w:cs="arial"/>
          <w:b/>
          <w:i/>
          <w:color w:val="000000"/>
          <w:sz w:val="20"/>
          <w:lang w:val="en-US" w:eastAsia="en-US" w:bidi="ar-SA"/>
        </w:rPr>
        <w:t>Beals</w:t>
      </w:r>
      <w:r>
        <w:rPr>
          <w:rFonts w:ascii="arial" w:eastAsia="arial" w:hAnsi="arial" w:cs="arial"/>
          <w:color w:val="000000"/>
          <w:sz w:val="20"/>
          <w:lang w:val="en-US" w:eastAsia="en-US" w:bidi="ar-SA"/>
        </w:rPr>
        <w:t xml:space="preserve"> at para. 51 maintains the distinction between fraud going to jurisdiction and fraud going to the merits of a foreign judgment. Where fraud on the merits is alleged, the defendant clearly bears the onus of showing that the facts sought to be raised could not have been discovered by the exercise of due diligence before the foreign judgment was entered.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What is less clear is what limits, if any, apply to the evidence the defendant may adduce where it contests a foreign judgment on the basis of fraud going to jurisdiction. The Court made the statement in </w:t>
      </w:r>
      <w:r>
        <w:rPr>
          <w:rFonts w:ascii="arial" w:eastAsia="arial" w:hAnsi="arial" w:cs="arial"/>
          <w:b/>
          <w:i/>
          <w:color w:val="000000"/>
          <w:sz w:val="20"/>
          <w:lang w:val="en-US" w:eastAsia="en-US" w:bidi="ar-SA"/>
        </w:rPr>
        <w:t>Beals</w:t>
      </w:r>
      <w:r>
        <w:rPr>
          <w:rFonts w:ascii="arial" w:eastAsia="arial" w:hAnsi="arial" w:cs="arial"/>
          <w:color w:val="000000"/>
          <w:sz w:val="20"/>
          <w:lang w:val="en-US" w:eastAsia="en-US" w:bidi="ar-SA"/>
        </w:rPr>
        <w:t xml:space="preserve"> that fraud going to jurisdiction can always be raised before a domestic court in a case where there was no challenge to the jurisdiction of the foreign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Cabaniss v. Cabaniss</w:t>
      </w:r>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2006 BCSC 1076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Cabaniss</w:t>
      </w:r>
      <w:r>
        <w:rPr>
          <w:rFonts w:ascii="arial" w:eastAsia="arial" w:hAnsi="arial" w:cs="arial"/>
          <w:color w:val="000000"/>
          <w:sz w:val="20"/>
          <w:lang w:val="en-US" w:eastAsia="en-US" w:bidi="ar-SA"/>
        </w:rPr>
        <w:t>] at paras. 21 and 23, Mr. Justice Pitfield considered the scope of a defendant's right to challenge a foreign judgment for fraud going to jurisdiction. He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Fraud that misled a court into taking jurisdiction may be raised at any point in time and may bar enforcement of a foreign judgment: </w:t>
      </w:r>
      <w:r>
        <w:rPr>
          <w:rFonts w:ascii="arial" w:eastAsia="arial" w:hAnsi="arial" w:cs="arial"/>
          <w:b/>
          <w:i/>
          <w:color w:val="000000"/>
          <w:sz w:val="20"/>
          <w:lang w:val="en-US" w:eastAsia="en-US" w:bidi="ar-SA"/>
        </w:rPr>
        <w:t>Beals v. Saldanha</w:t>
      </w:r>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[2003] 3 S.C.R. 416</w:t>
        </w:r>
      </w:hyperlink>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234 D.L.R. (4th) 1</w:t>
        </w:r>
      </w:hyperlink>
      <w:r>
        <w:rPr>
          <w:rFonts w:ascii="arial" w:eastAsia="arial" w:hAnsi="arial" w:cs="arial"/>
          <w:color w:val="000000"/>
          <w:sz w:val="20"/>
          <w:lang w:val="en-US" w:eastAsia="en-US" w:bidi="ar-SA"/>
        </w:rPr>
        <w:t xml:space="preserve"> at p. 20. However, there must be a basis for the allegation. Where the circumstances are such that the defendant was aware of the action against him in the foreign court, aware of the allegations pertaining to jurisdiction, himself the source of evidence that might be introduced to contradict the plaintiff's allegations, intent upon challenging jurisdiction while avoiding attornment, and aware of all that transpired in the proceeding in Virginia, the failure to allege fraud at the outset in that State or on appeal deprives the allegation of fraud that might affect the proceeding in this jurisdiction of any reality.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Mr. Cabaniss was aware of the evidence on which the due diligence ruling was made. He did not appeal the ruling. There is nothing in the evidence adduced on this summary trial that was not known to Mr. Cabaniss at the hearing of the appeal and nothing that would lend any air of reality to his claim that Ms. Cabaniss deceived or misled the court with respect to her efforts to locate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defendant's knowledge of the pertinent facts at the time of the foreign proceedings, his failure to allege fraud before the foreign court and the absence of any new evidence from the defendant in the enforcement proceedings were all factors that Mr. Justice Pitfield took into account in finding that there was no fraud or deception in the case before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Yeager v. Garner</w:t>
      </w:r>
      <w:r>
        <w:rPr>
          <w:rFonts w:ascii="arial" w:eastAsia="arial" w:hAnsi="arial" w:cs="arial"/>
          <w:color w:val="000000"/>
          <w:sz w:val="20"/>
          <w:lang w:val="en-US" w:eastAsia="en-US" w:bidi="ar-SA"/>
        </w:rPr>
        <w:t xml:space="preserve">, </w:t>
      </w:r>
      <w:hyperlink r:id="rId803" w:history="1">
        <w:r>
          <w:rPr>
            <w:rFonts w:ascii="arial" w:eastAsia="arial" w:hAnsi="arial" w:cs="arial"/>
            <w:i/>
            <w:color w:val="0077CC"/>
            <w:sz w:val="20"/>
            <w:u w:val="single"/>
            <w:shd w:val="clear" w:color="auto" w:fill="FFFFFF"/>
            <w:lang w:val="en-US" w:eastAsia="en-US" w:bidi="ar-SA"/>
          </w:rPr>
          <w:t>2007 BCSC 72</w:t>
        </w:r>
      </w:hyperlink>
      <w:r>
        <w:rPr>
          <w:rFonts w:ascii="arial" w:eastAsia="arial" w:hAnsi="arial" w:cs="arial"/>
          <w:color w:val="000000"/>
          <w:sz w:val="20"/>
          <w:lang w:val="en-US" w:eastAsia="en-US" w:bidi="ar-SA"/>
        </w:rPr>
        <w:t>, Madam Justice Humphries considered whether there was any duty of due diligence on a party who seeks to challenge a foreign judgment for fraud going to jurisdiction. Her Ladyship at para. 41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It seems that the courts have opened the door to some extent to allow a challenge to a judgment obtained by fraud on the merits by setting out a due diligence requirement for the party seeking to raise it. However, that is not to say that a challenge to a judgment based on fraud going to jurisdiction is without any restrictions whatsoever.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After referring to the decision of Mr. Justice Pitfield in </w:t>
      </w:r>
      <w:r>
        <w:rPr>
          <w:rFonts w:ascii="arial" w:eastAsia="arial" w:hAnsi="arial" w:cs="arial"/>
          <w:b/>
          <w:i/>
          <w:color w:val="000000"/>
          <w:sz w:val="20"/>
          <w:lang w:val="en-US" w:eastAsia="en-US" w:bidi="ar-SA"/>
        </w:rPr>
        <w:t>Cabaniss</w:t>
      </w:r>
      <w:r>
        <w:rPr>
          <w:rFonts w:ascii="arial" w:eastAsia="arial" w:hAnsi="arial" w:cs="arial"/>
          <w:color w:val="000000"/>
          <w:sz w:val="20"/>
          <w:lang w:val="en-US" w:eastAsia="en-US" w:bidi="ar-SA"/>
        </w:rPr>
        <w:t>, Humphries J. noted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court, even while recognizing the principle in </w:t>
      </w:r>
      <w:r>
        <w:rPr>
          <w:rFonts w:ascii="arial" w:eastAsia="arial" w:hAnsi="arial" w:cs="arial"/>
          <w:b/>
          <w:i/>
          <w:color w:val="000000"/>
          <w:sz w:val="20"/>
          <w:lang w:val="en-US" w:eastAsia="en-US" w:bidi="ar-SA"/>
        </w:rPr>
        <w:t>Beals</w:t>
      </w:r>
      <w:r>
        <w:rPr>
          <w:rFonts w:ascii="arial" w:eastAsia="arial" w:hAnsi="arial" w:cs="arial"/>
          <w:color w:val="000000"/>
          <w:sz w:val="20"/>
          <w:lang w:val="en-US" w:eastAsia="en-US" w:bidi="ar-SA"/>
        </w:rPr>
        <w:t>, has not applied it blindly.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At para. 60 Humphries J. concluded by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 In the result, then, I am not inclined to allow the defendant applicant to raise the issue of fraud going to jurisdiction at first instance in this court for two reasons, and they are somewhat interconnected: first, he was a party to the action in Oregon and was in possession of all the relevant facts and knowledge prior to the trial of the civil action (in fact, counsel for the defendant applicant admits that a challenge should have been made in the probate court prior to the civil trial), and second, the nature of the challenge he now raises is a complicated one involving mixed fact and law as well as Oregon probate practice and procedure, and the question of whether jurisdiction was wrongfully taken as a result of fraud in the Oregon probate court should properly be considered at first instance by that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Thus, Madam Justice Humphries found that in the circumstances before her the court should refuse to allow the defendant to raise fraud going to the jurisdiction of the foreign court where the defendant could have raised that issue in the foreign proceedings but failed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conclude that fraud which misleads a foreign court into taking jurisdiction may be raised by a defendant at any time as a bar to enforcement of the judgment. However, the defendant's knowledge of the proceedings in the foreign court, his or her awareness at the time of the foreign proceedings of facts going to jurisdiction or of other relevant facts, and the presence or absence of new facts that could not have been discovered through the exercise of due diligence prior to the foreign judgment, are in my view, all factors which this court may take into account in adjudicating a defence of fraud going to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defendants' allegations of fraud</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Fraud going to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defendants allege that the plaintiffs made false representations that Ms. Lang was a California resident when she contracted with the defendants, and that the contract was made and performed in California rather than British Columbia. According to the defendants, these alleged misrepresentations induced the California Court to take jurisdiction in a case which ought to have been heard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her declaration of March 23, 2006, Ms. Lang declared that she did not recall ever signing an agreement or discussing the specific terms of the defendants' engagement. She said that she understood that the defendants would look after her financial affairs, and receive fair and reasonable compensation for the work. She did not say where the oral contract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Lang also declared that she had brought her action in California because, in large part, she was a California resident, and had been a California resident for the last 16 years. She explained that she had rented a residence in Los Angeles from 1990 until 1997, when she bought a house there, and that she continued to spend most of her time in California. Ms. Lang also declared that all of her professional advisors were located in California, and that the defendant Lapp had made at least 15 trips to Los Angeles to meet with Ms. Lang, regarding her business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her response to the defendants' interrogatories, sworn April 3, 2009, Ms. Lang deposed that she hired Ms. Lapp as her business manager at a meeting in Vancouver. She reiterated that at their meeting, she and Ms. Lapp agreed only that the defendants would receive fair and reasonable compensation. However, she went on to depose that soon after this meeting an arrangement was made to pay Ms. Lapp on an hourly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Lang's answers to her interrogatories also disclose that she purchased property in Langley, British Columbia in 1990, and resided there from time to time from 1991 to 1994. In 1990 she had also rented a property in Los Angeles. She divided her time between Los Angeles and British Columbia when she was not touring. Ms. Lang also deposed that between 1994 and 2005, she also owned a property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When asked in her interrogatories why she had failed to mention in her declaration that the agreement with the defendants was made in British Columbia, Ms. Lang answered: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had no reason to mention this additional fact in the Declaration. My Declaration was in response to the Declaration of Ms. Lapp which had been sworn and filed in the California proceedings when Ms. Lapp sought to have the California Court declined to hear my case. The facts about where the agreement was reached were well known to Ms. Lapp who elected not to include this information in her Declaration or evidence before the California Court. I left it to my legal counsel in California to determine what information I should include in my Declaration. No one asked me to provide the additional information, including Ms. Lapp's legal counsel, who never asked to cross- examine me to obtain any information in addition to the information provided in my Declaration and Ms. Lapp's Declaration.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her declaration made on March 17, 2006, in support of the defendants'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motion, Ms. Lapp gave evidence that Ms. Lang was a Canadian citizen, and maintained a residence in British Columbia. Ms. Lapp also declared that she made the oral agreement to provide business services to Ms. Lang in Canada in 1989, and that for nearly 10 years she and her company had assisted Ms. Lang with her personal and business affairs in Canada under that oral agreement. She also stated in her declaration that after Ms. Lang purchased property in California in 1998, the defendants continued to provide management services to her under their oral agreement until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Ms. Lang made her declaration of March 23, 2006 in response to the defendants'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motion. She did not dispute the truth of any of the statements in Ms. Lapp's declaration regarding the place where the oral contract was made, or where it was performed. Ms. Lang explained that she spent most of her time in California, and had done so since 1990. She did not dispute Ms. Lapp's assertion that she also continued to maintain a residence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Ms. Lang's answers to her interrogatories disclose additional details respecting the properties she owned, and how she divided her time between British Columbia and California between 1990 and 2006. However, there are no inconsistencies between her declaration of March 23, 2006 and her recent answers to interrogatories on any facts relevant to the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motion that would lead me to conclude that Ms. Lang misled the California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question of whether the parties had agreed that the defendants would be remunerated for their services at an hourly rate was irrelevant to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defendants also ask me to find that during the hearing of that motion, the plaintiffs' California counsel misled the court. Counsel for the defendants based that submission on two passages in the transcript of the hearing of the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First, while arguing that under California law the contract was to be interpreted according to the law of the place where it was made, California counsel for the defendants referred to "Miss Lang's sworn testimony that the contract was made in British Columbia". Counsel for the plaintiffs then replied, "That's totally incorrect. It does not say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Counsel for the defendants submits that that statement was misleading because it suggested to the court that the oral agreement was not made in British Columbia. The statement of the plaintiffs' California counsel was accurate. Ms. Lang's declaration said nothing about the locus of the contract. It was Ms. Lapp who had sworn that the contract was made in British Columbia. Nonetheless, the defendants say this statement by the plaintiffs' California counsel, together with the second misrepresentation, induced the California Court to exercise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defendants submit that plaintiffs' California counsel misled the court a second time by remaining silent when he ought to have corrected a misapprehension of her Honour Judge Hart Cole. In the course of an exchange with counsel, Judge Hart Cole referred to there being "a dispute about where the contract was entered". The defendants argue that the plaintiffs' counsel should have immediately informed the court that his clients agreed that the contract was made in British Columbia, and that his failure to do so amounted to fraud going to the jurisdiction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 bear in mind that even when considering an allegation of jurisdictional fraud, as opposed to fraud going to the merits, the domestic court should be reluctant to make a finding of fraud: </w:t>
      </w:r>
      <w:r>
        <w:rPr>
          <w:rFonts w:ascii="arial" w:eastAsia="arial" w:hAnsi="arial" w:cs="arial"/>
          <w:b/>
          <w:i/>
          <w:color w:val="000000"/>
          <w:sz w:val="20"/>
          <w:lang w:val="en-US" w:eastAsia="en-US" w:bidi="ar-SA"/>
        </w:rPr>
        <w:t>Powell v. Cockburn</w:t>
      </w:r>
      <w:r>
        <w:rPr>
          <w:rFonts w:ascii="arial" w:eastAsia="arial" w:hAnsi="arial" w:cs="arial"/>
          <w:color w:val="000000"/>
          <w:sz w:val="20"/>
          <w:lang w:val="en-US" w:eastAsia="en-US" w:bidi="ar-SA"/>
        </w:rPr>
        <w:t xml:space="preserve">, </w:t>
      </w:r>
      <w:hyperlink r:id="rId804" w:history="1">
        <w:r>
          <w:rPr>
            <w:rFonts w:ascii="arial" w:eastAsia="arial" w:hAnsi="arial" w:cs="arial"/>
            <w:i/>
            <w:color w:val="0077CC"/>
            <w:sz w:val="20"/>
            <w:u w:val="single"/>
            <w:shd w:val="clear" w:color="auto" w:fill="FFFFFF"/>
            <w:lang w:val="en-US" w:eastAsia="en-US" w:bidi="ar-SA"/>
          </w:rPr>
          <w:t>[1977] 2 S.C.R. 218</w:t>
        </w:r>
      </w:hyperlink>
      <w:r>
        <w:rPr>
          <w:rFonts w:ascii="arial" w:eastAsia="arial" w:hAnsi="arial" w:cs="arial"/>
          <w:color w:val="000000"/>
          <w:sz w:val="20"/>
          <w:lang w:val="en-US" w:eastAsia="en-US" w:bidi="ar-SA"/>
        </w:rPr>
        <w:t>. Caution is particularly apt where the defendants ask this court to make findings of fraud, or to draw inferences of misconduct, based on what counsel did and did not say in two brief passages extracted from the transcript of the foreign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defendants have not established that plaintiffs' California counsel made any false statement to the court. The failure of counsel to tell the court that his clients did not dispute that the contract was made in British Columbia is too thin a reed to support a finding of fraud inducing the California Court to take jurisdiction. I am not prepared to infer that plaintiffs' California counsel deliberately withheld information relevant to the California Court's exercise of jurisdiction. Nor have the defendants persuaded me that Judge Hart Cole was likely under a misapprehension regarding the place where the contract was made when she rendered her decision, or that if she were under such a misapprehension, it was material to her decision to deny the defendants'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record before this court of the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motion includes the declarations of Ms. Lapp and Ms. Lang, declarations of the defendants' British Columbia counsel and other witnesses, the transcript of the hearing, and copies of the memoranda of facts and law provided by the parties to her Honour Judge Hart Cole. In support of their argument that a Canadian court was the best forum to hear the dispute, the defendants set out in their written argument and Ms. Lapp's declaration all of the facts they relied upon to assert that the contract was made and performed in British Columbia. The defendants also made submissions that there were parallel proceedings underway in British Columbia, and that the California Court should stay its proceedings pending the outcome of the Canadian actions. Ms. Lang had commenced an action in British Columbia for the recovery of documents, business records and other property then held by the defendants. Ms. Lapp and her company had brought a separate action in British Columbia against Ms. Lang for payment of outstanding fees, and damages allegedly sustained as a result of Ms. Lang's termination of the oral contract in September 2005. Much of the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hearing focused on arguments about the nature of the British Columbia proceedings, and the potential for duplication with the California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Following hearings on April 11 and May 12, 2006, the California Court denied the defendants'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motion. Judge Hart Cole ruled that the proceedings then pending in Canada did not bar the California action because they did not involve all of the same parties, or the same claims. The California Court denied the defendants' request for a stay on the ground that the issues in the British Columbia proceedings were substantially different than the issues in the California action. Judge Hart Cole ruled that the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motion was untimely under California process. She also ruled that even if the request to stay or dismiss had been made in time, the defendants had failed to establish that Canada was a suitable alternative forum, and that the balancing of private and public interest factors weighed in favour of staying the California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defendants have not shown that there was any fraud on the part of either Ms. Lang or her California counsel that induced the California Court to deny the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Furthermore, in this case, all of the facts relating to the making and performance of the contract were within the knowledge of the defendants when they brought their motion. Ms. Lapp also knew, or could have ascertained through the exercise of reasonable diligence in March 2006, where her former client had resided over the course of their relationship, and how she divided her time between California and British Columbia. The defendants filed no evidence in response to Ms. Lang's declaration of March 23, 2006. They made no application to cross examine her in the California proceeding. In these circumstances, the absence of new facts that could not have been discovered through the exercise of due diligence before the denial of the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motion is a bar to the defendants' assertion of fraud going to the jurisdiction of the California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Fraud on the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essence, the defendants allege in their second further amended statement of defence that the plaintiffs misled the California Court by falsely representing that the defendants had deliberately, and without lawful excuse, not complied with their discovery obligations. The defendants say that these representations induced the California Court to grant the terminating sanctions and order default judgment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defendants also submit that the plaintiffs committed fraud in proving their damages on the prove-up application heard by the California Court on March 22,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order to challenge the merits of the California judgment for fraud, the defendants must adduce new and material facts which could not have been discovered through the exercise of reasonable diligence before the foreign judgment was entered: </w:t>
      </w:r>
      <w:r>
        <w:rPr>
          <w:rFonts w:ascii="arial" w:eastAsia="arial" w:hAnsi="arial" w:cs="arial"/>
          <w:b/>
          <w:i/>
          <w:color w:val="000000"/>
          <w:sz w:val="20"/>
          <w:lang w:val="en-US" w:eastAsia="en-US" w:bidi="ar-SA"/>
        </w:rPr>
        <w:t>Beals</w:t>
      </w:r>
      <w:r>
        <w:rPr>
          <w:rFonts w:ascii="arial" w:eastAsia="arial" w:hAnsi="arial" w:cs="arial"/>
          <w:color w:val="000000"/>
          <w:sz w:val="20"/>
          <w:lang w:val="en-US" w:eastAsia="en-US" w:bidi="ar-SA"/>
        </w:rPr>
        <w:t>, at paras. 51,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defendants submit that the plaintiffs, with full knowledge that the defendants had delivered 200 boxes of documents, made groundless document requests, and then applied to the court first to compel further document production, and then for terminating sanctions. Further, the defendants contend that they could not answer interrogatories or deposition questions without access to the documents they had already produced. Ms. Lapp says that plaintiffs' California counsel refused her access to the 200 boxes of documents she had previously delivered, and that she therefore had a lawful excuse for the defendants' failure to respond to the plaintiffs' interrogatories and document requests.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All of the facts relating to the defendants' efforts to produce documents or respond to the plaintiffs' interrogatories were known to Ms. Lapp. She was certainly aware that the defendants had not kept copies of the documents they delivered to the plaintiffs. After she ceased to be represented by California counsel in September 2006, Ms. Lapp had communicated directly with plaintiffs' counsel concerning document production and access to the documents previously delivered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defendants filed no objection to the plaintiffs' August 18, 2006 discovery requests. Ms. Lapp was served with the plaintiffs' motion, filed October 5, 2006, to compel answers to those discovery requests, and, on November 6, 2006, with Judge Hart Cole's order, which granted the order to compel. The defendants filed no materials in response to the motion to compel, and made no application for reconsideration of Judge Hart Cole's ruling. After Ms. Lapp was served with the plaintiff's motion for terminating sanctions, she consulted her Victoria solicitor, but did not engage new counsel in California. Although the defendants did not file any materials in response to the plaintiffs' motion for terminating sanctions, Ms. Lapp did appear in person before Judge Hart Cole on January 18, 2007. On that date, the California Court heard the plaintiffs' motion, as well as the defendants' motion for an adjournment of the trial of the California action - to permit the defendants additional time to retain new counsel and to answer the outstanding document requests.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Judge Hart Cole denied the adjournment, noting that the defendants had taken no steps to respond to either the motion to compel document production or her order of November 6, 2006. The California Court granted the order for terminating sanctions. When she appeared before Judge Hart Cole, Ms. Lapp did not make any assertion that the plaintiffs had made groundless document requests, or that the plaintiffs or their counsel had denied the defendants access to documents. Nor did the defendants seek to appeal the order for terminating sanctions.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recognize that after September 2006 Ms. Lapp did not have counsel retained in California, and that she appeared before Judge Hart Cole on the motion for terminating sanctions as a self-represented litigant. However, the allegations of fraud on the merits which the defendants now make all relate to matters within Ms. Lapp's knowledge at the time of the California proceedings. The defendants have not adduced any new facts which could not have been placed before the California Court with due diligence before that court granted the motion for terminating sanctions.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turn now to the defendants' allegation of fraud on the plaintiffs' application to prove damages. Here, the defendants repeat their assertion that the plaintiffs failed to disclose that the contract was made in British Columbia. The defendants also say that the plaintiffs withheld information that the contract provided for payment on an hourly basis; that Ms. Lang had the opportunity to review and approve their accounts each year; and that there was no evidence that the defendants had not performed all of the services for which they charged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Lapp, as the plaintiffs' business manager, had personal knowledge of the terms of the oral contract, of how she and the corporate defendants were remunerated for their services, and of the scope of the work performed for the plaintiffs. She was served with all of the material in support of the plaintiffs' prove-up application. Those materials included the declarations of Gary Haber and Janice Staub, which set out their opinions regarding a reasonable fee for the performance of similar services to those of the defendants in California and Canada respectively. The defendants filed no materials or submissions in response to the prove-up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Again, the defendants have failed to adduce any new and material facts relating to the prove-up hearing that they could not have put before the California Court through the exercise of reasonable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her Affidavit No. 1, sworn January 19, 2009, after setting out her allegations of fraud with respect to the motion for terminating sanctions of January 17, 2007 and the prove-up motion of March, 22, 2007, Ms. Lapp deposes at para. 69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Despite due diligence, I did not appreciate that Ms. lang's and Ms. lang's counsel's [conduct] constituted fraud until after the time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am unable to attach any weight to this assertion. Ms. Lapp provides no explanation of what due diligence she exercised, or of what steps, if any, she took to obtain advice on whether, and how she might apply to set aside or appeal either the order for terminating sanctions, or the default judgment. She does not explain why she did not engage new counsel in California after September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Again, the facts that the defendants say show fraud on the part of Ms. Lang or her counsel were within Ms. Lapp's knowledge before the California Court entered judgment. The defendants have failed to meet the test in </w:t>
      </w:r>
      <w:r>
        <w:rPr>
          <w:rFonts w:ascii="arial" w:eastAsia="arial" w:hAnsi="arial" w:cs="arial"/>
          <w:b/>
          <w:i/>
          <w:color w:val="000000"/>
          <w:sz w:val="20"/>
          <w:lang w:val="en-US" w:eastAsia="en-US" w:bidi="ar-SA"/>
        </w:rPr>
        <w:t>Beals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To summarize, the defendants have failed to show, on the facts of this case, fraud going to the jurisdiction of the California Court. Furthermore, in the circumstances of this case, I would deny the defences of both fraud going to jurisdiction and fraud on the merits because the defendants have not raised any new and material facts which they could not have placed before the California Court through the exercise of reasonable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and substantial connection test and attornment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light of the conclusion I have reached respecting the defence of fraud, I will do no more than comment briefly on the plaintiffs' submissions respecting the real and substantial connection test, and the defendants' attornment to the foreign jurisdiction as a stand alone ground for recognition and enforcement of the California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plaintiffs submit that once the court finds a real and substantial connection between the subject matter of the litigation and the foreign jurisdiction, the question of whether there was fraud going to the jurisdiction of the foreign court is legally irrelevant. The plaintiffs argue that the real and substantial connection test, which the Supreme Court of Canada adopted for the inter-provincial enforcement of judgments in </w:t>
      </w:r>
      <w:r>
        <w:rPr>
          <w:rFonts w:ascii="arial" w:eastAsia="arial" w:hAnsi="arial" w:cs="arial"/>
          <w:b/>
          <w:i/>
          <w:color w:val="000000"/>
          <w:sz w:val="20"/>
          <w:lang w:val="en-US" w:eastAsia="en-US" w:bidi="ar-SA"/>
        </w:rPr>
        <w:t>Morguard Investments Ltd. v. De Savoye</w:t>
      </w:r>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[1990] 3 S.C.R. 1077</w:t>
        </w:r>
      </w:hyperlink>
      <w:r>
        <w:rPr>
          <w:rFonts w:ascii="arial" w:eastAsia="arial" w:hAnsi="arial" w:cs="arial"/>
          <w:color w:val="000000"/>
          <w:sz w:val="20"/>
          <w:lang w:val="en-US" w:eastAsia="en-US" w:bidi="ar-SA"/>
        </w:rPr>
        <w:t xml:space="preserve">, and applied to foreign judgments in </w:t>
      </w:r>
      <w:r>
        <w:rPr>
          <w:rFonts w:ascii="arial" w:eastAsia="arial" w:hAnsi="arial" w:cs="arial"/>
          <w:b/>
          <w:i/>
          <w:color w:val="000000"/>
          <w:sz w:val="20"/>
          <w:lang w:val="en-US" w:eastAsia="en-US" w:bidi="ar-SA"/>
        </w:rPr>
        <w:t>Beals</w:t>
      </w:r>
      <w:r>
        <w:rPr>
          <w:rFonts w:ascii="arial" w:eastAsia="arial" w:hAnsi="arial" w:cs="arial"/>
          <w:color w:val="000000"/>
          <w:sz w:val="20"/>
          <w:lang w:val="en-US" w:eastAsia="en-US" w:bidi="ar-SA"/>
        </w:rPr>
        <w:t>, overrides and subsumes any question of whether there was fraud inducing the foreign court to take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answer to the plaintiffs' submission on this point is found in </w:t>
      </w:r>
      <w:r>
        <w:rPr>
          <w:rFonts w:ascii="arial" w:eastAsia="arial" w:hAnsi="arial" w:cs="arial"/>
          <w:b/>
          <w:i/>
          <w:color w:val="000000"/>
          <w:sz w:val="20"/>
          <w:lang w:val="en-US" w:eastAsia="en-US" w:bidi="ar-SA"/>
        </w:rPr>
        <w:t>Beals</w:t>
      </w:r>
      <w:r>
        <w:rPr>
          <w:rFonts w:ascii="arial" w:eastAsia="arial" w:hAnsi="arial" w:cs="arial"/>
          <w:color w:val="000000"/>
          <w:sz w:val="20"/>
          <w:lang w:val="en-US" w:eastAsia="en-US" w:bidi="ar-SA"/>
        </w:rPr>
        <w:t xml:space="preserve"> at paras. 39 and 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Once the "real and substantial connection" test is found to apply to a foreign judgment, the court should then examine the scope of the defences available to a domestic defendant in contesting the recognition of such a judgment.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The defences of fraud, public policy and the lack of natural justice were developed before </w:t>
      </w:r>
      <w:r>
        <w:rPr>
          <w:rFonts w:ascii="arial" w:eastAsia="arial" w:hAnsi="arial" w:cs="arial"/>
          <w:i/>
          <w:color w:val="000000"/>
          <w:sz w:val="20"/>
          <w:lang w:val="en-US" w:eastAsia="en-US" w:bidi="ar-SA"/>
        </w:rPr>
        <w:t>Morguard, supra</w:t>
      </w:r>
      <w:r>
        <w:rPr>
          <w:rFonts w:ascii="arial" w:eastAsia="arial" w:hAnsi="arial" w:cs="arial"/>
          <w:color w:val="000000"/>
          <w:sz w:val="20"/>
          <w:lang w:val="en-US" w:eastAsia="en-US" w:bidi="ar-SA"/>
        </w:rPr>
        <w:t>, and still pertain. This Court has to consider whether those defences, when applied internationally, are able to strike the balance required by comity, the balance between order and fairness as well as the real and substantial connection, in respect of enforcing default judgments obtained in foreign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Beals</w:t>
      </w:r>
      <w:r>
        <w:rPr>
          <w:rFonts w:ascii="arial" w:eastAsia="arial" w:hAnsi="arial" w:cs="arial"/>
          <w:color w:val="000000"/>
          <w:sz w:val="20"/>
          <w:lang w:val="en-US" w:eastAsia="en-US" w:bidi="ar-SA"/>
        </w:rPr>
        <w:t>, the parties agreed that the Florida court had a real and substantial connection to the action. The Supreme Court of Canada held that the judgment of the Florida court should be enforced after it found that none of the defences of fraud, natural justice, or public policy were supported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Where the Canadian court finds that a real and substantial connection exists between the foreign court and the action or the parties, then it must recognize and enforce the foreign judgment provided no defences bar its enforcement: </w:t>
      </w:r>
      <w:r>
        <w:rPr>
          <w:rFonts w:ascii="arial" w:eastAsia="arial" w:hAnsi="arial" w:cs="arial"/>
          <w:b/>
          <w:i/>
          <w:color w:val="000000"/>
          <w:sz w:val="20"/>
          <w:lang w:val="en-US" w:eastAsia="en-US" w:bidi="ar-SA"/>
        </w:rPr>
        <w:t>Beals</w:t>
      </w:r>
      <w:r>
        <w:rPr>
          <w:rFonts w:ascii="arial" w:eastAsia="arial" w:hAnsi="arial" w:cs="arial"/>
          <w:color w:val="000000"/>
          <w:sz w:val="20"/>
          <w:lang w:val="en-US" w:eastAsia="en-US" w:bidi="ar-SA"/>
        </w:rPr>
        <w:t>, para.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this case, the defendants are precluded from arguing that there was no real and substantial connection between the litigation, or the parties, and the California Court because that defence, and indeed all of their defences, other than fraud, have been struck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Nonetheless, I am satisfied that the real and substantial connection test is met in this case. The contract between the plaintiffs and the defendants was at least partially performed in California, particularly during the period 1997 through 2005, when California was Ms. Lang's principal place of residence. Ms. Lapp and Ms. Lang met on numerous occasions in California to discuss the management of Ms. Lang's affairs. Ms. Lang has deposed that from 2002 onwards she met with Ms. Lapp only in California, or on the road while she was touring. There is also evidence that the corporate defendants maintained a business address in California. Ms. Lang and the corporate plaintiffs were the defendants' only California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defendants also attorned to the jurisdiction of the California Court when they filed their answer to the plaintiffs' complaint, and defended the action in California: </w:t>
      </w:r>
      <w:r>
        <w:rPr>
          <w:rFonts w:ascii="arial" w:eastAsia="arial" w:hAnsi="arial" w:cs="arial"/>
          <w:b/>
          <w:i/>
          <w:color w:val="000000"/>
          <w:sz w:val="20"/>
          <w:lang w:val="en-US" w:eastAsia="en-US" w:bidi="ar-SA"/>
        </w:rPr>
        <w:t>Beals</w:t>
      </w:r>
      <w:r>
        <w:rPr>
          <w:rFonts w:ascii="arial" w:eastAsia="arial" w:hAnsi="arial" w:cs="arial"/>
          <w:color w:val="000000"/>
          <w:sz w:val="20"/>
          <w:lang w:val="en-US" w:eastAsia="en-US" w:bidi="ar-SA"/>
        </w:rPr>
        <w:t xml:space="preserve">, at para. 34; </w:t>
      </w:r>
      <w:r>
        <w:rPr>
          <w:rFonts w:ascii="arial" w:eastAsia="arial" w:hAnsi="arial" w:cs="arial"/>
          <w:b/>
          <w:i/>
          <w:color w:val="000000"/>
          <w:sz w:val="20"/>
          <w:lang w:val="en-US" w:eastAsia="en-US" w:bidi="ar-SA"/>
        </w:rPr>
        <w:t>South Pacific Import, Inc. et al. v. Ho et al.</w:t>
      </w:r>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2007 BCSC 211</w:t>
        </w:r>
      </w:hyperlink>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Litecubes, L.L.C. v. Northern Light Products Inc.</w:t>
      </w:r>
      <w:r>
        <w:rPr>
          <w:rFonts w:ascii="arial" w:eastAsia="arial" w:hAnsi="arial" w:cs="arial"/>
          <w:color w:val="000000"/>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2009 BCSC 181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Litecubes</w:t>
      </w:r>
      <w:r>
        <w:rPr>
          <w:rFonts w:ascii="arial" w:eastAsia="arial" w:hAnsi="arial" w:cs="arial"/>
          <w:color w:val="000000"/>
          <w:sz w:val="20"/>
          <w:lang w:val="en-US" w:eastAsia="en-US" w:bidi="ar-SA"/>
        </w:rPr>
        <w:t xml:space="preserve">] at para. 59, Griffin J. held that submission to the jurisdiction of the foreign court provides a sufficient ground for recognition and enforcement of a foreign judgment, even where no connection exists between the foreign court and the subject matter of the proceeding, or the defendant. As the court explained in </w:t>
      </w:r>
      <w:r>
        <w:rPr>
          <w:rFonts w:ascii="arial" w:eastAsia="arial" w:hAnsi="arial" w:cs="arial"/>
          <w:b/>
          <w:i/>
          <w:color w:val="000000"/>
          <w:sz w:val="20"/>
          <w:lang w:val="en-US" w:eastAsia="en-US" w:bidi="ar-SA"/>
        </w:rPr>
        <w:t>Litecubes</w:t>
      </w:r>
      <w:r>
        <w:rPr>
          <w:rFonts w:ascii="arial" w:eastAsia="arial" w:hAnsi="arial" w:cs="arial"/>
          <w:color w:val="000000"/>
          <w:sz w:val="20"/>
          <w:lang w:val="en-US" w:eastAsia="en-US" w:bidi="ar-SA"/>
        </w:rPr>
        <w:t>, it would be contrary to the principles of justice and comity to permit a defendant who had attorned to the jurisdiction of the foreign court, and was dissatisfied with the result there, to later raise the defence of no real and substantial connection as a bar to the enforcement of the foreign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Litecubes</w:t>
      </w:r>
      <w:r>
        <w:rPr>
          <w:rFonts w:ascii="arial" w:eastAsia="arial" w:hAnsi="arial" w:cs="arial"/>
          <w:color w:val="000000"/>
          <w:sz w:val="20"/>
          <w:lang w:val="en-US" w:eastAsia="en-US" w:bidi="ar-SA"/>
        </w:rPr>
        <w:t>, the defendant's only defence was the lack of a real and substantial connection with the foreign jurisdiction. There was no allegation of fraud. In this case, the defendants were permitted to advance their defence of fraud, although all of their other defences were struck by the order of Leask J, pronounced September 11, 2008. In these circumstances, and in light of my rejection of the defences of fraud raised in this case, it is unnecessary for me to determine whether a defendant who has attorned to the jurisdiction of a foreign court is thereby precluded from pleading fraud as a defence to the enforcement of the foreign judgment. That is a question that may be left for another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plaintiffs are entitled to an order for the recognition and enforcement of the judgment of the Los Angeles Superior Court of the State of California entered March 22, 2007 in case number SC 087550.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plaintiffs obtained judgment in California, in United States currency. During the hearing of this application on April 27, 2009, the plaintiffs requested that the order go in the form approved by Madam Justice Griffin at para. 5 of her most recent reasons for judgment in </w:t>
      </w:r>
      <w:r>
        <w:rPr>
          <w:rFonts w:ascii="arial" w:eastAsia="arial" w:hAnsi="arial" w:cs="arial"/>
          <w:b/>
          <w:i/>
          <w:color w:val="000000"/>
          <w:sz w:val="20"/>
          <w:lang w:val="en-US" w:eastAsia="en-US" w:bidi="ar-SA"/>
        </w:rPr>
        <w:t>Litecubes, L.L.C. v. Northern Light Products Inc.</w:t>
      </w:r>
      <w:r>
        <w:rPr>
          <w:rFonts w:ascii="arial" w:eastAsia="arial" w:hAnsi="arial" w:cs="arial"/>
          <w:color w:val="000000"/>
          <w:sz w:val="20"/>
          <w:lang w:val="en-US" w:eastAsia="en-US" w:bidi="ar-SA"/>
        </w:rPr>
        <w:t xml:space="preserve">, </w:t>
      </w:r>
      <w:hyperlink r:id="rId808" w:history="1">
        <w:r>
          <w:rPr>
            <w:rFonts w:ascii="arial" w:eastAsia="arial" w:hAnsi="arial" w:cs="arial"/>
            <w:i/>
            <w:color w:val="0077CC"/>
            <w:sz w:val="20"/>
            <w:u w:val="single"/>
            <w:shd w:val="clear" w:color="auto" w:fill="FFFFFF"/>
            <w:lang w:val="en-US" w:eastAsia="en-US" w:bidi="ar-SA"/>
          </w:rPr>
          <w:t>2009 BCSC 427</w:t>
        </w:r>
      </w:hyperlink>
      <w:r>
        <w:rPr>
          <w:rFonts w:ascii="arial" w:eastAsia="arial" w:hAnsi="arial" w:cs="arial"/>
          <w:color w:val="000000"/>
          <w:sz w:val="20"/>
          <w:lang w:val="en-US" w:eastAsia="en-US" w:bidi="ar-SA"/>
        </w:rPr>
        <w:t>. I am satisfied that is appropriate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Section 1(1) of the </w:t>
      </w:r>
      <w:r>
        <w:rPr>
          <w:rFonts w:ascii="arial" w:eastAsia="arial" w:hAnsi="arial" w:cs="arial"/>
          <w:b/>
          <w:i/>
          <w:color w:val="000000"/>
          <w:sz w:val="20"/>
          <w:lang w:val="en-US" w:eastAsia="en-US" w:bidi="ar-SA"/>
        </w:rPr>
        <w:t>Foreign Money Claims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155</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provides that if the court considers that the person in whose favour the enforcement order is made "will be most truly and exactly compensated" if all or part of the money payable under the order is measured in a foreign currency, then the court must order that the money payable under the order will be the amount of Canadian currency necessary to purchase the equivalent amount of the other currency at a chartered bank located in British Columbia on the conversion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Under s. 1(2)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the conversion date is the last day before the day on which a payment under the order is made by the judgment debtor to the judgment creditor.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this case, I consider that the most exact way of ensuring that the plaintiffs will be compensated for the value of a judgment for US funds, which they obtained over two years ago, is to apply the conversion date set out in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See also </w:t>
      </w:r>
      <w:r>
        <w:rPr>
          <w:rFonts w:ascii="arial" w:eastAsia="arial" w:hAnsi="arial" w:cs="arial"/>
          <w:b/>
          <w:i/>
          <w:color w:val="000000"/>
          <w:sz w:val="20"/>
          <w:lang w:val="en-US" w:eastAsia="en-US" w:bidi="ar-SA"/>
        </w:rPr>
        <w:t>Litecubes</w:t>
      </w:r>
      <w:r>
        <w:rPr>
          <w:rFonts w:ascii="arial" w:eastAsia="arial" w:hAnsi="arial" w:cs="arial"/>
          <w:color w:val="000000"/>
          <w:sz w:val="20"/>
          <w:lang w:val="en-US" w:eastAsia="en-US" w:bidi="ar-SA"/>
        </w:rPr>
        <w:t xml:space="preserve"> at paras. 17(a) and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This court orders that the defendants pay to the plaintiffs the amount of Canadian currency that is necessary to purchase US $ 1, 921, 673.00 at a chartered bank located in British Columbia at the close of business on the conversion date, as the conversion date is defined in s. 1 (2)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namely, on the last day before the date on which a payment of this judgment is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plaintiffs will also have an order for prejudgment interest, calculated from May 27, 2007, the date of commencement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plaintiffs will have their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P.J. PEARLMAN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3" style="position:absolute;z-index:251896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09"/>
          <w:headerReference w:type="default" r:id="rId810"/>
          <w:footerReference w:type="even" r:id="rId811"/>
          <w:footerReference w:type="default" r:id="rId812"/>
          <w:headerReference w:type="first" r:id="rId813"/>
          <w:footerReference w:type="first" r:id="rId81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15" w:history="1">
        <w:r>
          <w:rPr>
            <w:rFonts w:ascii="arial" w:eastAsia="arial" w:hAnsi="arial" w:cs="arial"/>
            <w:b/>
            <w:bCs/>
            <w:i/>
            <w:color w:val="0077CC"/>
            <w:kern w:val="32"/>
            <w:sz w:val="28"/>
            <w:szCs w:val="32"/>
            <w:u w:val="single"/>
            <w:shd w:val="clear" w:color="auto" w:fill="FFFFFF"/>
            <w:lang w:val="en-US" w:eastAsia="en-US" w:bidi="ar-SA"/>
          </w:rPr>
          <w:t>Lang v. Lapp, [2015] B.C.J. No. 2187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G.S. Funt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4 and 6,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8,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S073605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2187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1838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Kathryn D. Lang, Whatever You Want LLC, O.K.D. Tour, Inc., KD. US Tour, Inc., D. Tour, Inc., Plaintiffs, and Annabel Lapp and Annabel Lapp Group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4"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2" w:name="Keywords_44"/>
      <w:bookmarkEnd w:id="292"/>
      <w:r>
        <w:rPr>
          <w:rFonts w:ascii="arial" w:eastAsia="arial" w:hAnsi="arial" w:cs="arial"/>
          <w:b/>
          <w:color w:val="000000"/>
          <w:sz w:val="20"/>
          <w:lang w:val="en-US" w:eastAsia="en-US" w:bidi="ar-SA"/>
        </w:rPr>
        <w:t>Bankruptcy and insolvency law — Discharge — Debts not released from discharge — Debts arising from fraud, misconduct or breach of fiduciary duty — Application by plaintiffs for order that defendant's second affidavit be struck entirely allowed — Plaintiffs obtained default California judgment against defendant and obtained recognition and enforcement order by this court — Defendant then filed assignment into bankruptcy and had applied now for discharge — In main application, plaintiffs were seeking to have BC judgment survive discharge from bankruptcy — Defendant's affidavit was summary of events pertaining to California litigation, where she had already had full opportunity to be heard, and financial information not relevant to application under s. 178(1)(d) Bankruptcy and Insolvency Act, so was inadmissible.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Civil evidence — Admissibility — Relevancy — Facts directly in issue — Documentary evidence — Affidavits — Striking out — Application by plaintiffs for order that defendant's second affidavit be struck entirely allowed — Plaintiffs obtained default California judgment against defendant and obtained recognition and enforcement order by this court — Defendant then filed assignment into bankruptcy and had applied now for discharge — In main application, plaintiffs were seeking to have BC judgment survive discharge from bankruptcy — Defendant's affidavit was summary of events pertaining to California litigation, where she had already had full opportunity to be heard, and financial information not relevant to application under s. 178(1)(d) Bankruptcy and Insolvency Act, so was inadmissible.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3" w:name="Case Summary_39"/>
            <w:bookmarkEnd w:id="29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for an order that the defendant's second affidavit be struck entirely. The plaintiffs obtained a default judgment against the defendant in California for $1,921,673 USD. The plaintiffs obtained an order in this court for recognition and enforcement of the judgment (the BC judgment). The defendant then filed an assignment into bankruptcy and had now applied for discharge from bankruptcy. In the main application, the plaintiffs were seeking to have the BC judgment survive discharge from bankruptcy. The plaintiffs argued the second affidavit was an attempt to relitigate matters not otherwise relevant to the main application, or was not compliant with the Rules, scandalous, inflammatory and defamatory. The defendant argued the affidavit simply put forth evidence about her circumstances and circumstances surrounding the California judgment so the court could assess the evidence in determining the main application.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4" w:name="Holdings of Court_36"/>
            <w:bookmarkEnd w:id="294"/>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had full opportunity to be heard in the California action and would be able to argue how it should be characterized for the purpose of s. 178 of the Bankruptcy and Insolvency Act. However, she could not adduce evidence that could have been placed before the California court, or challenge pleaded facts in that action. The defendant's affidavit was a summary of events pertaining to the California litigation, and financial information not within the record. s. 178(1)(d) was not discretionary and the defendant's financial position was not relevant. The affidavit was entirely inadmissible.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5" w:name="Legislation Cited_33"/>
      <w:bookmarkEnd w:id="29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5"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Bankruptcy and Insolvency Act, </w:t>
      </w:r>
      <w:hyperlink r:id="rId816" w:history="1">
        <w:r>
          <w:rPr>
            <w:rFonts w:ascii="arial" w:eastAsia="arial" w:hAnsi="arial" w:cs="arial"/>
            <w:i/>
            <w:color w:val="0077CC"/>
            <w:sz w:val="20"/>
            <w:u w:val="single"/>
            <w:shd w:val="clear" w:color="auto" w:fill="FFFFFF"/>
            <w:lang w:val="en-US" w:eastAsia="en-US" w:bidi="ar-SA"/>
          </w:rPr>
          <w:t>R.S.C. 1985, c. B-3, s. 178</w:t>
        </w:r>
      </w:hyperlink>
      <w:r>
        <w:rPr>
          <w:rFonts w:ascii="arial" w:eastAsia="arial" w:hAnsi="arial" w:cs="arial"/>
          <w:color w:val="000000"/>
          <w:sz w:val="20"/>
          <w:lang w:val="en-US" w:eastAsia="en-US" w:bidi="ar-SA"/>
        </w:rPr>
        <w:t>(1)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22-2(12)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6" w:name="Counsel_44"/>
      <w:bookmarkEnd w:id="29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6" style="position:absolute;z-index:251806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R. Grant, Q.C., F.A. Sheppard.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H.A. Cochran.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7" w:name="Judgment_44"/>
      <w:bookmarkEnd w:id="297"/>
      <w:r>
        <w:pict>
          <v:line id="_x0000_s1247" style="position:absolute;z-index:2518579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8" w:name="G.S. FUNT J._0"/>
            <w:bookmarkEnd w:id="298"/>
            <w:r>
              <w:rPr>
                <w:rFonts w:ascii="arial" w:eastAsia="arial" w:hAnsi="arial" w:cs="arial"/>
                <w:b/>
                <w:color w:val="000000"/>
                <w:sz w:val="30"/>
                <w:lang w:val="en-US" w:eastAsia="en-US" w:bidi="ar-SA"/>
              </w:rPr>
              <w:t>G.S. FUNT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seek an order that the second affidavit of the defendant, Ms. Annabel Lapp, sworn July 5, 2013 and filed July 8, 2013, be struck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March 22, 2007, the plaintiffs obtained a default judgment against the defendant for $1,921,673 USD in the Los Angeles Superior Court of the State of California (the "California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On May 25, 2007, the plaintiffs commenced an action in this Court for the recognition and enforcement of the California Judgment. The plaintiffs were successful: see </w:t>
      </w:r>
      <w:r>
        <w:rPr>
          <w:rFonts w:ascii="arial" w:eastAsia="arial" w:hAnsi="arial" w:cs="arial"/>
          <w:i/>
          <w:color w:val="000000"/>
          <w:sz w:val="20"/>
          <w:lang w:val="en-US" w:eastAsia="en-US" w:bidi="ar-SA"/>
        </w:rPr>
        <w:t>Lang v. Lapp</w:t>
      </w:r>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2010 BCCA 517</w:t>
        </w:r>
      </w:hyperlink>
      <w:r>
        <w:rPr>
          <w:rFonts w:ascii="arial" w:eastAsia="arial" w:hAnsi="arial" w:cs="arial"/>
          <w:color w:val="000000"/>
          <w:sz w:val="20"/>
          <w:lang w:val="en-US" w:eastAsia="en-US" w:bidi="ar-SA"/>
        </w:rPr>
        <w:t xml:space="preserve"> upholding </w:t>
      </w:r>
      <w:hyperlink r:id="rId798" w:history="1">
        <w:r>
          <w:rPr>
            <w:rFonts w:ascii="arial" w:eastAsia="arial" w:hAnsi="arial" w:cs="arial"/>
            <w:i/>
            <w:color w:val="0077CC"/>
            <w:sz w:val="20"/>
            <w:u w:val="single"/>
            <w:shd w:val="clear" w:color="auto" w:fill="FFFFFF"/>
            <w:lang w:val="en-US" w:eastAsia="en-US" w:bidi="ar-SA"/>
          </w:rPr>
          <w:t>2009 BCSC 638</w:t>
        </w:r>
      </w:hyperlink>
      <w:r>
        <w:rPr>
          <w:rFonts w:ascii="arial" w:eastAsia="arial" w:hAnsi="arial" w:cs="arial"/>
          <w:color w:val="000000"/>
          <w:sz w:val="20"/>
          <w:lang w:val="en-US" w:eastAsia="en-US" w:bidi="ar-SA"/>
        </w:rPr>
        <w:t>. I will refer to the judgment obtained in this Court as the BC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After the plaintiffs obtained the BC Judgment, Ms. Lapp filed an assignment in bankruptcy. She has since filed an application for discharge from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current application is preliminary to the main relief they will be seeking, which is a declaration that the BC Judgment will survive Ms. Lapp's discharge from bankruptcy if she is discharged (the "Main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For the reasons that follow, the Court will strike Ms. Lapp's second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note that the application describes the second affidavit as filed on July 9, 2013 rather than July 8,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CALIFORNIA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judicial history leading to the California Judgment is summarized in the plaintiffs' notice of application:</w:t>
      </w:r>
      <w:r>
        <w:rPr>
          <w:rFonts w:ascii="arial" w:eastAsia="arial" w:hAnsi="arial" w:cs="arial"/>
          <w:sz w:val="20"/>
          <w:lang w:val="en-US" w:eastAsia="en-US" w:bidi="ar-SA"/>
        </w:rPr>
        <w:cr/>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November 8, 2005, the Plaintiffs filed a Complaint (the equivalent to a Notice of Civil Claim in British Columbia) in the California Court alleging that Lapp and her company, Annabel Lapp Group Inc. ("ALG"),had committed breach of fiduciary duty, constructive fraud, concealment,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breach of contract, in relation to their conduct in their capacity as business managers for the creditors.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March 17, 2006, Lapp's then California legal counsel filed a motion to stay or dismiss the action on the grounds that California was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On May 12, 2006, the California Court, after considering full submissions from all parties, including Lapp's legal counsel, denied the application to decline jurisdiction.</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July 19, 2006, Lapp filed an Answer to the Complaint (the equivalent to a Response to Notice of Civil Claim in British Columbia). Shortly thereafter, the trial of the action was set for February 20, 2007.</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request for admissions, interrogatories and document production requests were served on Lapp's then-counsel in August, 2006. The interrogatories requested, among other things, that Lapp (a) provide particulars of the services performed by ALG for the Plaintiffs during the calendar years 1997 to 2005 outside of those services customarily performed by a business manager in the entertainment industry, (b) identify any requests that the Plaintiffs or their representatives made to perform those services, (c) identify when Lapp had informed the Plaintiffs or their representatives of the total net income received by the Plaintiffs and the total amount of fees charged by Lapp and ALG for that same period, and (d) produce or identify documents relevant to the answers given to the interrogatories.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Lapp did not respond to those interrogatories or document production requests in any way. Accordingly, on or about October 5, 2006, Lapp was served with a Motion to Compel seeking responses to the request for admissions and answers to the interrogatories and document requests. Lapp did not respond to the Motion in any way.</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was made on November 6, 2006 deeming the requests for admission admitted and requiring Lapp to provide answers to the interrogatories and document requests within thirty days. The order also required Lapp to pay monetary sanctions of $1,050 within thirty days.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November 17,2006, Lapp was served with the November 6,2006 Order which resulted from the Motion to Compel, by mail and UPS and a copy was faxed and mailed to Mr. Velletta, her British Columbia legal counsel. She did not respond to it in any way and failed to pay the monetary sanctions. She did not appeal or apply to set aside or vary the Order, on, for example, the basis that it was burdensome or that she had somehow already complied with the requests.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18, 2006, Lapp was served with the Motion for Terminating Sanctions by overnight courier. She did not respond to it in any way until she appeared in court on January 18, 2007, the date that motion was heard. Specifically, she did not file any evidence or argument prior to that date indicating that she intended to oppose the motion.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18, 2007, the Motion for Terminating Sanctions was heard by Judge Lisa Hart Cole of the California Court. The California Court struck the Defendants' Answer and ordered default judgment be entered, following consideration of the declarations of Lapp and Ms. Stoker (one of her legal counsel in British Columbia) tendered by Lapp in relation to her application to continue (i.e., adjourn) the trial, which was heard the same day, and her oral submissions.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1, 2007, an application to prove damages was filed and served on Lapp by mail. She did not respond to it in any way.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22, 2007, Judge Hart Cole granted judgment against Lapp and her company, ALG, in the amount of U.S. $1,921,673.00 (the "California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KEY STATUTORY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key statutory provision is section 178(1)(d) of the </w:t>
      </w:r>
      <w:r>
        <w:rPr>
          <w:rFonts w:ascii="arial" w:eastAsia="arial" w:hAnsi="arial" w:cs="arial"/>
          <w:i/>
          <w:color w:val="000000"/>
          <w:sz w:val="20"/>
          <w:lang w:val="en-US" w:eastAsia="en-US" w:bidi="ar-SA"/>
        </w:rPr>
        <w:t>Bankruptcy and Insolvency Act</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R.S.C. 1985, c. B-3</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BIA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of discharge does not release the</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debt or liability arising out of fraud, embezzlement, misappropriation or defalcation while acting in a fiduciary capacity or, in the Province of Quebec, as a trustee or administrator of the property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PLAINTIFFS'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plaintiffs have made two arguments for striking Ms. Lapp's second affidavit. First, the affidavit serves an improper purpose in that it attempts to relitigate matters and is not otherwise relevant to the Main Application. Accordingly, the affidavit is not admissible evidence for the Main Application. Second, in the alternative, the affidavit is not in proper form as set forth in Rule 22-2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it is also scandalous, inflammatory, and defamatory, including defamatory statements regarding persons not party to the litigation. In particular, the plaintiffs refer to Exhibit "A" to the affidavit which plaintiffs' counsel describes as a "stream of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MS. LAPP'S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Lapp says that that her affidavit serves a proper purpose in that her affidavit "is simply putting forward her evidence regarding her circumstances and the circumstances surrounding the California Judgment so this Court may assess that evidence when determining" the Main Application. Ms. Lapp views Exhibit "A" as a summary of the history of her work with the plaintiffs and the events "leading up to and during the California litigation". She submits that her evidence is both relevant and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understand that neither Ms. Lapp's counsel at the hearing nor other counsel from her firm were involved in the preparation of the affidavit or in taking Ms. Lapp's oath.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CONSIDERING THE PLAINTIFFS' APPLICATION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say that the Court should consider their current application at this time and not wait until the hearing of the Main Application to determine the admissibility of the second affidavit for two reasons. First, the California Judgment, which was a default judgment, as a matter of law is treated like any other judgment recognized in British Columbia. When a default judgment is granted the pleaded facts are deemed to be admitted. Accordingly, these aspects are no longer open to Ms. Lapp to contest, which the plaintiffs say Ms. Lapp is attempting to do in her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Second, the improper form of the affidavit places the plaintiffs in a difficult position in terms of responding or refuting Exhibit "A". Plaintiffs' counsel states that much of Exhibit "A" is inappropriate, as described, and otherwise would never be accepted as evidence at trial. However, the result of an objection is never certain and it may be prudent to prepare for all known eventualities. Plaintiffs' counsel states that Ms. Lapp has made no attempt to extract from Exhibit "A" that which may conceivably be relevant for the Main Application. As plaintiffs' counsel describes, it would be a "significant undertaking" to prepare responding material that, in all likelihood, would prove to be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Improper Purpose, Relevance, and Admissibility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argument is that the affidavit serves an improper purpose in that it attempts to relitigate the California action and cannot otherwise be viewed as relevant and admissible as evidence for the Main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Reviewing the rules regarding the finality of judgments, including foreign default judgments, shows the prohibition on attempts to relitigate.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 foreign default judgment, once recognized, has the same force as any other judgment: </w:t>
      </w:r>
      <w:r>
        <w:rPr>
          <w:rFonts w:ascii="arial" w:eastAsia="arial" w:hAnsi="arial" w:cs="arial"/>
          <w:i/>
          <w:color w:val="000000"/>
          <w:sz w:val="20"/>
          <w:lang w:val="en-US" w:eastAsia="en-US" w:bidi="ar-SA"/>
        </w:rPr>
        <w:t>CLE Owners Inc. v. Wanlass</w:t>
      </w:r>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2004 MBQB 43</w:t>
        </w:r>
      </w:hyperlink>
      <w:r>
        <w:rPr>
          <w:rFonts w:ascii="arial" w:eastAsia="arial" w:hAnsi="arial" w:cs="arial"/>
          <w:color w:val="000000"/>
          <w:sz w:val="20"/>
          <w:lang w:val="en-US" w:eastAsia="en-US" w:bidi="ar-SA"/>
        </w:rPr>
        <w:t xml:space="preserve"> at paras. 8, 19, 34 and 39; upheld </w:t>
      </w:r>
      <w:hyperlink r:id="rId819" w:history="1">
        <w:r>
          <w:rPr>
            <w:rFonts w:ascii="arial" w:eastAsia="arial" w:hAnsi="arial" w:cs="arial"/>
            <w:i/>
            <w:color w:val="0077CC"/>
            <w:sz w:val="20"/>
            <w:u w:val="single"/>
            <w:shd w:val="clear" w:color="auto" w:fill="FFFFFF"/>
            <w:lang w:val="en-US" w:eastAsia="en-US" w:bidi="ar-SA"/>
          </w:rPr>
          <w:t>2005 MBCA 32</w:t>
        </w:r>
      </w:hyperlink>
      <w:r>
        <w:rPr>
          <w:rFonts w:ascii="arial" w:eastAsia="arial" w:hAnsi="arial" w:cs="arial"/>
          <w:color w:val="000000"/>
          <w:sz w:val="20"/>
          <w:lang w:val="en-US" w:eastAsia="en-US" w:bidi="ar-SA"/>
        </w:rPr>
        <w:t xml:space="preserve">; leave refused </w:t>
      </w:r>
      <w:hyperlink r:id="rId820" w:history="1">
        <w:r>
          <w:rPr>
            <w:rFonts w:ascii="arial" w:eastAsia="arial" w:hAnsi="arial" w:cs="arial"/>
            <w:i/>
            <w:color w:val="0077CC"/>
            <w:sz w:val="20"/>
            <w:u w:val="single"/>
            <w:shd w:val="clear" w:color="auto" w:fill="FFFFFF"/>
            <w:lang w:val="en-US" w:eastAsia="en-US" w:bidi="ar-SA"/>
          </w:rPr>
          <w:t>[2005] S.C.C.A. No. 224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Lang v. Lapp</w:t>
      </w:r>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Beals v. Saldanha</w:t>
      </w:r>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2003 SCC 72</w:t>
        </w:r>
      </w:hyperlink>
      <w:r>
        <w:rPr>
          <w:rFonts w:ascii="arial" w:eastAsia="arial" w:hAnsi="arial" w:cs="arial"/>
          <w:color w:val="000000"/>
          <w:sz w:val="20"/>
          <w:lang w:val="en-US" w:eastAsia="en-US" w:bidi="ar-SA"/>
        </w:rPr>
        <w:t xml:space="preserve"> at paras. 31 and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pleaded facts leading to a default judgment are deemed to be admitted: </w:t>
      </w:r>
      <w:r>
        <w:rPr>
          <w:rFonts w:ascii="arial" w:eastAsia="arial" w:hAnsi="arial" w:cs="arial"/>
          <w:i/>
          <w:color w:val="000000"/>
          <w:sz w:val="20"/>
          <w:lang w:val="en-US" w:eastAsia="en-US" w:bidi="ar-SA"/>
        </w:rPr>
        <w:t>National Shoring Ltd. (Trustee of) v. Dextras Engineering &amp; Construction Ltd</w:t>
      </w:r>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2008 BCSC 1809</w:t>
        </w:r>
      </w:hyperlink>
      <w:r>
        <w:rPr>
          <w:rFonts w:ascii="arial" w:eastAsia="arial" w:hAnsi="arial" w:cs="arial"/>
          <w:color w:val="000000"/>
          <w:sz w:val="20"/>
          <w:lang w:val="en-US" w:eastAsia="en-US" w:bidi="ar-SA"/>
        </w:rPr>
        <w:t>, paras. 34-35.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determining whether the California Judgment would survive Ms. Lapp's discharge from bankruptcy, the Court may consider the pleadings and the record in the California action in order to characterize and assess the nature of the California Judgment: </w:t>
      </w:r>
      <w:r>
        <w:rPr>
          <w:rFonts w:ascii="arial" w:eastAsia="arial" w:hAnsi="arial" w:cs="arial"/>
          <w:i/>
          <w:color w:val="000000"/>
          <w:sz w:val="20"/>
          <w:lang w:val="en-US" w:eastAsia="en-US" w:bidi="ar-SA"/>
        </w:rPr>
        <w:t>Toban v. Nijjar</w:t>
      </w:r>
      <w:r>
        <w:rPr>
          <w:rFonts w:ascii="arial" w:eastAsia="arial" w:hAnsi="arial" w:cs="arial"/>
          <w:color w:val="000000"/>
          <w:sz w:val="20"/>
          <w:lang w:val="en-US" w:eastAsia="en-US" w:bidi="ar-SA"/>
        </w:rPr>
        <w:t xml:space="preserve">, </w:t>
      </w:r>
      <w:hyperlink r:id="rId822" w:history="1">
        <w:r>
          <w:rPr>
            <w:rFonts w:ascii="arial" w:eastAsia="arial" w:hAnsi="arial" w:cs="arial"/>
            <w:i/>
            <w:color w:val="0077CC"/>
            <w:sz w:val="20"/>
            <w:u w:val="single"/>
            <w:shd w:val="clear" w:color="auto" w:fill="FFFFFF"/>
            <w:lang w:val="en-US" w:eastAsia="en-US" w:bidi="ar-SA"/>
          </w:rPr>
          <w:t>2005 BCSC 891</w:t>
        </w:r>
      </w:hyperlink>
      <w:r>
        <w:rPr>
          <w:rFonts w:ascii="arial" w:eastAsia="arial" w:hAnsi="arial" w:cs="arial"/>
          <w:color w:val="000000"/>
          <w:sz w:val="20"/>
          <w:lang w:val="en-US" w:eastAsia="en-US" w:bidi="ar-SA"/>
        </w:rPr>
        <w:t>, paras. 26 and 40,</w:t>
      </w:r>
      <w:r>
        <w:rPr>
          <w:rFonts w:ascii="arial" w:eastAsia="arial" w:hAnsi="arial" w:cs="arial"/>
          <w:i/>
          <w:color w:val="000000"/>
          <w:sz w:val="20"/>
          <w:lang w:val="en-US" w:eastAsia="en-US" w:bidi="ar-SA"/>
        </w:rPr>
        <w:t>CLE Owners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the California action, Ms. Lapp had full opportunity to be heard. On the Main Application she will be able to argue how the California Judgment should be characterized and assessed for the purposes of s. 178 of the </w:t>
      </w:r>
      <w:r>
        <w:rPr>
          <w:rFonts w:ascii="arial" w:eastAsia="arial" w:hAnsi="arial" w:cs="arial"/>
          <w:i/>
          <w:color w:val="000000"/>
          <w:sz w:val="20"/>
          <w:lang w:val="en-US" w:eastAsia="en-US" w:bidi="ar-SA"/>
        </w:rPr>
        <w:t>BIA</w:t>
      </w:r>
      <w:r>
        <w:rPr>
          <w:rFonts w:ascii="arial" w:eastAsia="arial" w:hAnsi="arial" w:cs="arial"/>
          <w:color w:val="000000"/>
          <w:sz w:val="20"/>
          <w:lang w:val="en-US" w:eastAsia="en-US" w:bidi="ar-SA"/>
        </w:rPr>
        <w:t>. However, at this stage, she cannot attempt to adduce further evidence which was available to her and which she could have placed before the Los Angeles Superior Court of the State of California to challenge the pleaded facts in the California action. Accordingly, any such material is not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foregoing is consistent with the recent decision of the Supreme Court of Canada in </w:t>
      </w:r>
      <w:r>
        <w:rPr>
          <w:rFonts w:ascii="arial" w:eastAsia="arial" w:hAnsi="arial" w:cs="arial"/>
          <w:i/>
          <w:color w:val="000000"/>
          <w:sz w:val="20"/>
          <w:lang w:val="en-US" w:eastAsia="en-US" w:bidi="ar-SA"/>
        </w:rPr>
        <w:t>Chevron Corp. v. Yaiguaje</w:t>
      </w:r>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2015 SCC 42</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Chevron</w:t>
      </w:r>
      <w:r>
        <w:rPr>
          <w:rFonts w:ascii="arial" w:eastAsia="arial" w:hAnsi="arial" w:cs="arial"/>
          <w:color w:val="000000"/>
          <w:sz w:val="20"/>
          <w:lang w:val="en-US" w:eastAsia="en-US" w:bidi="ar-SA"/>
        </w:rPr>
        <w:t>, the Court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As this review of the Court's statements on comity shows, the need to acknowledge and show respect for the legal acts of other states has consistently remained one of the principle's core components. Comity in this regard, militates in favour of recognition and enforcement. Legitimate judicial acts should be respected and enforced, not sidetracked or ignored.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By Ms. Lapp's own description, Exhibit "A" is a historical summary of her work with the plaintiffs and of the events leading up to and during the California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Any summary of events pertaining to the California litigation not within the record of the California proceedings is not admissible for the Main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Similarly, any financial information not within the record of the California proceedings is not admissible for the Main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Section 178(1)(d) is not a discretionary provision. If a debt or liability arises from fraud, embezzlement, misappropriation or defalcation of the bankrupt while he or she was acting in a fiduciary capacity, the bankrupt, on discharge from bankruptcy, will not be released from such debt or liability. Accordingly, any statement as to Ms. Lapp's current financial position is not relevant to the Main Application because s. 178(1)(d) is not a discretionary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For the foregoing reasons, the affidavit is struck. I will add some comments on the form of the affidavit to address the plaintiffs' alternative argument.</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Affidavit not in proper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Rule 22-2(12)reads:</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subrule (13), an affidavit must state only what a person swearing or affirming the affidavit would be permitted to state in evidence at a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Lapp's counsel argues that Exhibit "A" is simply a summary of Ms. Lapp's views of the events leading up to and during the California litigation. Ms. Lapp's counsel describes Exhibit "A" as akin to a diary.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Exhibit "A" is 20 pages 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Exhibit "A" consists, in large measure, of argument, hearsay, third person accounts, views, opinions, scurrilous comments, and defamatory statements, including statements involving persons who are not party to the litigation. The Court agrees with plaintiffs' counsel that the offending portions are so "inextricably intertwined" within the affidavit that it is neither possible nor reasonable to expect the Court or the plaintiffs to separate the offending portions.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Justice N. Smith in </w:t>
      </w:r>
      <w:r>
        <w:rPr>
          <w:rFonts w:ascii="arial" w:eastAsia="arial" w:hAnsi="arial" w:cs="arial"/>
          <w:i/>
          <w:color w:val="000000"/>
          <w:sz w:val="20"/>
          <w:lang w:val="en-US" w:eastAsia="en-US" w:bidi="ar-SA"/>
        </w:rPr>
        <w:t>6180 Fraser Holdings Inc. v. Ali</w:t>
      </w:r>
      <w:r>
        <w:rPr>
          <w:rFonts w:ascii="arial" w:eastAsia="arial" w:hAnsi="arial" w:cs="arial"/>
          <w:color w:val="000000"/>
          <w:sz w:val="20"/>
          <w:lang w:val="en-US" w:eastAsia="en-US" w:bidi="ar-SA"/>
        </w:rPr>
        <w:t xml:space="preserve">, </w:t>
      </w:r>
      <w:hyperlink r:id="rId824" w:history="1">
        <w:r>
          <w:rPr>
            <w:rFonts w:ascii="arial" w:eastAsia="arial" w:hAnsi="arial" w:cs="arial"/>
            <w:i/>
            <w:color w:val="0077CC"/>
            <w:sz w:val="20"/>
            <w:u w:val="single"/>
            <w:shd w:val="clear" w:color="auto" w:fill="FFFFFF"/>
            <w:lang w:val="en-US" w:eastAsia="en-US" w:bidi="ar-SA"/>
          </w:rPr>
          <w:t>2012 BCSC 247</w:t>
        </w:r>
      </w:hyperlink>
      <w:r>
        <w:rPr>
          <w:rFonts w:ascii="arial" w:eastAsia="arial" w:hAnsi="arial" w:cs="arial"/>
          <w:color w:val="000000"/>
          <w:sz w:val="20"/>
          <w:lang w:val="en-US" w:eastAsia="en-US" w:bidi="ar-SA"/>
        </w:rPr>
        <w:t xml:space="preserve"> at para. 41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A further matter raised on this application concerns the propriety of some of the affidavit material filed by the defendants. I agree with counsel for the plaintiffs that some allegations made against various individuals in those affidavits are embarrassing and scandalous while having absolutely nothing to do with any of the issues on this application. Rule 9-5(1)(b) permits the court to order the striking out of the whole or any part of a "pleading, petition or other document" that is unnecessary, scandalous, frivolous or vexatious.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If Ms. Lapp were in the witness box at trial for the purpose of testifying to the matters in Exhibit "A", undoubtedly there would be objections to many of the views, assertions, statements, and recollections set forth in Exhibit "A". In an orderly manner, the Court would be able to rule on the objections avoiding the admission into the Court record of inadmissible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sum, Exhibit "A" circumvents Rule 22-2(12).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If it were it not already inadmissible, I would strike Exhibit "A" to the affidavit on the ground that it offends Rule 22-2(12). As noted, this argument is in the alternative. In the case at bar, the affidavit has already been struck in its entirety as not admissible for the Main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SEALING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At the hearing, on my invitation and at the plaintiffs' request, the affidavit was ordered to be sealed. In accordance with the Order made at the hearing, the affidavit will remain sealed, subject to further order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second affidavit of Ms. Lapp sworn July 5, 2015 and filed July 8, 2013 is struck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plaintiffs are awarded their costs of their application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G.S. FUNT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8" style="position:absolute;z-index:2518978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25"/>
          <w:headerReference w:type="default" r:id="rId826"/>
          <w:footerReference w:type="even" r:id="rId827"/>
          <w:footerReference w:type="default" r:id="rId828"/>
          <w:headerReference w:type="first" r:id="rId829"/>
          <w:footerReference w:type="first" r:id="rId83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31" w:history="1">
        <w:r>
          <w:rPr>
            <w:rFonts w:ascii="arial" w:eastAsia="arial" w:hAnsi="arial" w:cs="arial"/>
            <w:b/>
            <w:bCs/>
            <w:i/>
            <w:color w:val="0077CC"/>
            <w:kern w:val="32"/>
            <w:sz w:val="28"/>
            <w:szCs w:val="32"/>
            <w:u w:val="single"/>
            <w:shd w:val="clear" w:color="auto" w:fill="FFFFFF"/>
            <w:lang w:val="en-US" w:eastAsia="en-US" w:bidi="ar-SA"/>
          </w:rPr>
          <w:t>Longva v. Phan, [2007] B.C.J. No. 1035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Bolton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25,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15,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M05338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1035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690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42 C.P.C. (6th) 385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157 A.C.W.S. (3d) 275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1085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Robert Wayne Longva, Plaintiff, and Van Tai Phan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9"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9" w:name="Keywords_45"/>
      <w:bookmarkEnd w:id="299"/>
      <w:r>
        <w:rPr>
          <w:rFonts w:ascii="arial" w:eastAsia="arial" w:hAnsi="arial" w:cs="arial"/>
          <w:b/>
          <w:color w:val="000000"/>
          <w:sz w:val="20"/>
          <w:lang w:val="en-US" w:eastAsia="en-US" w:bidi="ar-SA"/>
        </w:rPr>
        <w:t>Civil procedure — Discovery — Physical or psychological examination — When available — Application by the defendant for the plaintiff to attend a medical examination by an orthopaedic specialist, dismissed — Plaintiff had been examined by a different orthopaedic specialist — Special circumstances did not exist for the subsequent orthopaedic examination to be conducted by a different specialist.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0" w:name="Case Summary_40"/>
            <w:bookmarkEnd w:id="30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Phan for Longva to attend a medical examination by an orthopaedic specialist named Thompson -- Longva was injured in a motor vehicle accident -- He reported the accident to his insurer, Insurance Corporation of British Columbia, and attended a claims centre for an interview -- ICBC also represented the defendant Phan -- An ICBC claims representative reviewed the file and obtained approval for a medical examination of Longva -- Longva attended for the examination and the physician, an orthopaedic specialist named Hawk, prepared a comprehensive report -- Hawk concluded that there were no objective physical findings to support Longva's claim that he was physically impaired, other than some mild residual stiffness in his neck and back -- After this examination Longva commenced his action -- ICBC arranged for Longva to be examined by Thompson -- Longva's solicitors consented to him being re-examined by Hawk -- They submitted that no special circumstances existed that would warrant Longva being examined by a second doctor with the same expertise as Hawk -- HELD: Application dismissed -- Hawk had to conduct the second examination because there were no special circumstances that required the examination to be conducted by Thompson -- Reason was that the referral to Hawk dealt with some issues that were exclusively referable to the tort claim.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1" w:name="Counsel_45"/>
      <w:bookmarkEnd w:id="30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0"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R.S. Watts.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B.A. McIntosh.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2" w:name="Judgment_45"/>
      <w:bookmarkEnd w:id="302"/>
      <w:r>
        <w:pict>
          <v:line id="_x0000_s1251" style="position:absolute;z-index:2518077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Decision</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3" w:name="MASTER BOLTON"/>
            <w:bookmarkEnd w:id="303"/>
            <w:r>
              <w:rPr>
                <w:rFonts w:ascii="arial" w:eastAsia="arial" w:hAnsi="arial" w:cs="arial"/>
                <w:b/>
                <w:color w:val="000000"/>
                <w:sz w:val="30"/>
                <w:lang w:val="en-US" w:eastAsia="en-US" w:bidi="ar-SA"/>
              </w:rPr>
              <w:t>MASTER BOLTON</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application concerns medical examinations of a plaintiff by a defendant in motor vehicle accident litigation, and whether a medical report, allegedly obtained by I.C.B.C. solely with reference to a Part 7 benefits claim, should be considered to be a first report for the purpose of the practice that limits the availability or sourcing of second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was injured in a motor vehicle accident on November 2, 2003. He reported the accident to his insurer, I.C.B.C., on the same date, and attended an I.C.B.C. claims centre on November 6, 2003 for an interview.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No evidence has been led as to claims made by the defendant with regard to his own insurance, but it is common ground that he, too, is insured under a valid policy of insurance with I.C.B.C. It is in its capacity as the defendant's insurer that I.C.B.C. is defending the present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Two months after the accident, an I.C.B.C. claims representative, Trevor Carmont, reviewed the file. The nature of Mr. Carmont's involvement in the file has not been explained; specifically, whether he was dealing only with the plaintiff's Part 7 claim, with the plaintiff's Part 7 claim and his anticipated tort claim, or with both or either of those plus claims for indemnity and his own losses sustained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January 6, 2004 Mr. Carmont e-mailed another I.C.B.C. employee, presumably a supervisor, noting that the plaintiff was saying he could hardly walk and there was no return-to-work date in sight, and requesting approval for a medical examination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Approval must have been given, because on March 9th, Mr. Carmont wrote to the plaintiff,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help me assess your claim, I have made an appointment for you to have a medical examination with a medical specialist [Dr. Hawk]. The doctor will examine you regarding your injuries from the motor vehicle accident and will provide a medical report to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the same date, Mr. Carmont wrote to Dr. Hawk to confirm the particulars of the appointment. He also gave a thumb-nail sketch of the circumstances of the accident and the plaintiff's subsequent medical history, so far as he knew it. He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provided information pertaining to this claimant's occupation and job duties. We would ask that you obtain information, from the claimant, of his/her specific duties. We would ask that you include this information, as described by the claimant, in your return report.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you have examined this patient, please provide us with a report of your findings including the following information:</w:t>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summary of your qualifications and experience.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facts and assumptions on which this opinion is based.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history of the accident and the patient's complaints as related to you.</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Your diagnosis and prognosis.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Whether the patient had any prior or existing problems which are relevant to his job duties.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Whether his complaints have been caused by this motor vehicle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Your opinion as to how much time off work would be reasonable considering the patient's injury and his job duties.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Your opinion as to whether there will be any permanent disability and, if not, your estimate of the length of any temporary disability.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Recommendations you may have with respect to current treatment and the need for any future treatment.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Whether there will be a need for surgery in the future and, if so, how much time off work will be required.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Whether the patient requires or has required additional household help and, if so, how much assistance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of the date of these letters, March 9, 2004, I.C.B.C. had not been notified that the plaintiff had retained counsel. Nor had I.C.B.C. appointed counsel themselves. On March 23, 2004, I.C.B.C. did receive written notification that the plaintiff had retained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attended for his medical examination on March 31, and Dr. Hawk provided his report the same day. This was a thorough, eight-page report describing the plaintiff's pre- and post- accident health and employment. It concluded with Dr. Hawk's opinion, where he found "... no objective physical findings to support his being physically impaired other than mild residual stiffness of his neck and back. He appears to be capable of continuing with his longshoreman's work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He further recorded his belief, "that he has largely recovered from the soft-tissue injuries he sustained in the motor vehicle accident" and recommended a program of exercises which he believed would lead to further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June 21, 2004, another I.C.B.C. claims representative, Vivian Wilson, wrote to Dr. Hawk to ask his opinion about further treatment. What had prompted this concern is not clear from the material before me. Again, there is no evidence as to the capacity in which Ms. Wilson was dealing with the matter. Dr. Hawk's reply is included in the evidence, but it is not particularly relevant to the current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July 28, 2005, the plaintiff filed a statement of claim in which his injuries were particularized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injuries to the neck;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injuries to the back;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injuries to the shoulders;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injuries to the head;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injuries to the left leg;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aggravation of pre-existing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headaches;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fatigue;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insomnia;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anxiety;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claim seems to have proceeded in a fairly desultory fashion for the next two years or so. In November 2006, counsel who were by now acting for I.C.B.C. wrote to the plaintiff's counsel advising that they had scheduled a medical examination of the plaintiff with a Dr. Thompson in February 2007. Dr. Thompson is an orthopaedic specialist. So is Dr. Hawk.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solicitors agreed that an orthopaedic examination was appropriate and were prepared to consent to a second examination by Dr. Hawk, but objected to the examination by Dr. Thompson on the basis that no special circumstances existed to warrant an examination by a second doctor professing the same type of expertise as another doctor who had already examined their client at the behest of the defendant. The defendant has joined issue with the plaintiff on this point, and it therefore becomes necessary to determine whether the report by Dr. Hawk is a "first report" for the purposes of this tort claim and the rules of practice that have developed in this frequently litigated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Notwithstanding the more or less passing references to it in the parties' submissions, the leading case in this area is unquestionably the decision of the Court of Appeal in </w:t>
      </w:r>
      <w:r>
        <w:rPr>
          <w:rFonts w:ascii="arial" w:eastAsia="arial" w:hAnsi="arial" w:cs="arial"/>
          <w:b/>
          <w:i/>
          <w:color w:val="000000"/>
          <w:sz w:val="20"/>
          <w:lang w:val="en-US" w:eastAsia="en-US" w:bidi="ar-SA"/>
        </w:rPr>
        <w:t>Vorasarn v. Manning</w:t>
      </w:r>
      <w:r>
        <w:rPr>
          <w:rFonts w:ascii="arial" w:eastAsia="arial" w:hAnsi="arial" w:cs="arial"/>
          <w:color w:val="000000"/>
          <w:sz w:val="20"/>
          <w:lang w:val="en-US" w:eastAsia="en-US" w:bidi="ar-SA"/>
        </w:rPr>
        <w:t xml:space="preserve"> </w:t>
      </w:r>
      <w:hyperlink r:id="rId832" w:history="1">
        <w:r>
          <w:rPr>
            <w:rFonts w:ascii="arial" w:eastAsia="arial" w:hAnsi="arial" w:cs="arial"/>
            <w:i/>
            <w:color w:val="0077CC"/>
            <w:sz w:val="20"/>
            <w:u w:val="single"/>
            <w:shd w:val="clear" w:color="auto" w:fill="FFFFFF"/>
            <w:lang w:val="en-US" w:eastAsia="en-US" w:bidi="ar-SA"/>
          </w:rPr>
          <w:t>(1997), 30 B.C.L.R. (3d) 63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That case was first considered by a master. The plaintiff had retained counsel before the "first" medical report had been obtained, and indeed plaintiff's counsel had discussed with representatives of I.C.B.C.'s rehabilitation department the selection of specialists to assess and treat the plaintiff. The doctor in question provided a written report to the I.C.B.C. rehabilitation department on July 13, 1994. Counsel for the plaintiff received a copy of the report on October 1994, but counsel for the defendants on the tort claim did not request or obtain a copy until April 1995. This latter fact presumably resulted from an explicit agreement between the rehabilitation department and counsel for the plaintiff that no reports were to be provided to counsel for the defendants in the tort action or to the examiner or adjuster handling the tort claim. After receiving this report in April 1995 the defendant's solicitors applied for an order for an independent assessment by a doctor with similar qualifications to the doctor who had provided the report to the rehabilitation department. The plaintiffs objected, but the master held that the first doctor had not been selected by the defendant, and ruled that the defendant was entitled to the examination as the first examination by a defence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plaintiff appealed this order to a judge of the Supreme Court, </w:t>
      </w:r>
      <w:hyperlink r:id="rId833" w:history="1">
        <w:r>
          <w:rPr>
            <w:rFonts w:ascii="arial" w:eastAsia="arial" w:hAnsi="arial" w:cs="arial"/>
            <w:i/>
            <w:color w:val="0077CC"/>
            <w:sz w:val="20"/>
            <w:u w:val="single"/>
            <w:shd w:val="clear" w:color="auto" w:fill="FFFFFF"/>
            <w:lang w:val="en-US" w:eastAsia="en-US" w:bidi="ar-SA"/>
          </w:rPr>
          <w:t>[1995] B.C.J. No. 3020</w:t>
        </w:r>
      </w:hyperlink>
      <w:r>
        <w:rPr>
          <w:rFonts w:ascii="arial" w:eastAsia="arial" w:hAnsi="arial" w:cs="arial"/>
          <w:color w:val="000000"/>
          <w:sz w:val="20"/>
          <w:lang w:val="en-US" w:eastAsia="en-US" w:bidi="ar-SA"/>
        </w:rPr>
        <w:t xml:space="preserve">, who concluded that the master's decision, </w:t>
      </w:r>
      <w:hyperlink r:id="rId834" w:history="1">
        <w:r>
          <w:rPr>
            <w:rFonts w:ascii="arial" w:eastAsia="arial" w:hAnsi="arial" w:cs="arial"/>
            <w:i/>
            <w:color w:val="0077CC"/>
            <w:sz w:val="20"/>
            <w:u w:val="single"/>
            <w:shd w:val="clear" w:color="auto" w:fill="FFFFFF"/>
            <w:lang w:val="en-US" w:eastAsia="en-US" w:bidi="ar-SA"/>
          </w:rPr>
          <w:t>[1995] B.C.J. No. 3014</w:t>
        </w:r>
      </w:hyperlink>
      <w:r>
        <w:rPr>
          <w:rFonts w:ascii="arial" w:eastAsia="arial" w:hAnsi="arial" w:cs="arial"/>
          <w:color w:val="000000"/>
          <w:sz w:val="20"/>
          <w:lang w:val="en-US" w:eastAsia="en-US" w:bidi="ar-SA"/>
        </w:rPr>
        <w:t>, was clearly wrong. The decision turned on the agreement between what the judge characterized as "the defendants' insurers" and plaintiffs' counsel with the respect to disclosure of the medical report. The court concluded, essentially, that disclosure to the defendant's insurers was tantamount to disclosure to counsel acting for the defendant in the tort claim, and that accordingly the existing medical report was a "first report", with all the limitations as to second reports stemming from that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matter was then appealed to the Court of Appeal, which allowed the appeal and restored the decision of the master. The court concluded that the learned chambers judge on appeal had been in error when she described the I.C.B.C. rehabilitation department representatives as agents of "the defendants' insurers". Legg J.A. held that the chambers judge had failed to distinguish the role of first-party no-fault and third-party liability representatives at I.C.B.C. Consequently, as a result of failing to distinguish the separate roles of the I.C.B.C. rehabilitation department, which was dealing with the plaintiff's own Part 7 claim, and other adjusters dealing with the plaintiff's claim against I.C.B.C as the insurer of the defendant, the chambers judge had been wrong to reverse the master's decision to order a medical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paragraph 22, Legg J.A. summed up the case and the law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The evidence before the master established that neither defendants' counsel nor the I.C.B.C. examiner handling the claim on behalf of the defendants were consulted regarding the appointment of Dr. Schmidt or had any involvement in the preparation of his report. This can be contrasted sharply with the situation addressed in </w:t>
      </w:r>
      <w:r>
        <w:rPr>
          <w:rFonts w:ascii="arial" w:eastAsia="arial" w:hAnsi="arial" w:cs="arial"/>
          <w:i/>
          <w:color w:val="000000"/>
          <w:sz w:val="20"/>
          <w:lang w:val="en-US" w:eastAsia="en-US" w:bidi="ar-SA"/>
        </w:rPr>
        <w:t xml:space="preserve">Harmada </w:t>
      </w:r>
      <w:r>
        <w:rPr>
          <w:rFonts w:ascii="arial" w:eastAsia="arial" w:hAnsi="arial" w:cs="arial"/>
          <w:color w:val="000000"/>
          <w:sz w:val="20"/>
          <w:lang w:val="en-US" w:eastAsia="en-US" w:bidi="ar-SA"/>
        </w:rPr>
        <w:t>where there is no suggestion that the adjuster or counsel defending the tort action were excluded from participating and selecting and contacting the physician chosen by I.C.B.C. for the no-fault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Vorasarn</w:t>
      </w:r>
      <w:r>
        <w:rPr>
          <w:rFonts w:ascii="arial" w:eastAsia="arial" w:hAnsi="arial" w:cs="arial"/>
          <w:color w:val="000000"/>
          <w:sz w:val="20"/>
          <w:lang w:val="en-US" w:eastAsia="en-US" w:bidi="ar-SA"/>
        </w:rPr>
        <w:t xml:space="preserve">case can be usefully contrasted with the more recent decision in </w:t>
      </w:r>
      <w:r>
        <w:rPr>
          <w:rFonts w:ascii="arial" w:eastAsia="arial" w:hAnsi="arial" w:cs="arial"/>
          <w:b/>
          <w:i/>
          <w:color w:val="000000"/>
          <w:sz w:val="20"/>
          <w:lang w:val="en-US" w:eastAsia="en-US" w:bidi="ar-SA"/>
        </w:rPr>
        <w:t>Robertson v. Grist</w:t>
      </w:r>
      <w:r>
        <w:rPr>
          <w:rFonts w:ascii="arial" w:eastAsia="arial" w:hAnsi="arial" w:cs="arial"/>
          <w:color w:val="000000"/>
          <w:sz w:val="20"/>
          <w:lang w:val="en-US" w:eastAsia="en-US" w:bidi="ar-SA"/>
        </w:rPr>
        <w:t xml:space="preserve">, </w:t>
      </w:r>
      <w:hyperlink r:id="rId835" w:history="1">
        <w:r>
          <w:rPr>
            <w:rFonts w:ascii="arial" w:eastAsia="arial" w:hAnsi="arial" w:cs="arial"/>
            <w:i/>
            <w:color w:val="0077CC"/>
            <w:sz w:val="20"/>
            <w:u w:val="single"/>
            <w:shd w:val="clear" w:color="auto" w:fill="FFFFFF"/>
            <w:lang w:val="en-US" w:eastAsia="en-US" w:bidi="ar-SA"/>
          </w:rPr>
          <w:t>[2006] B.C.J. No. 1873</w:t>
        </w:r>
      </w:hyperlink>
      <w:r>
        <w:rPr>
          <w:rFonts w:ascii="arial" w:eastAsia="arial" w:hAnsi="arial" w:cs="arial"/>
          <w:color w:val="000000"/>
          <w:sz w:val="20"/>
          <w:lang w:val="en-US" w:eastAsia="en-US" w:bidi="ar-SA"/>
        </w:rPr>
        <w:t>. Again, a master had to decide whether a medical report which the defendant alleged was obtained pursuant to a Part 7 claim was in fact a "first report" for the purposes of a tort claim. In that claim, the adjuster was acknowledged to be handling "both aspects" - presumably both a Part 7 claim and a prospective tort claim. At paragraph 15 of his oral reasons, the master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take the meaning of </w:t>
      </w:r>
      <w:r>
        <w:rPr>
          <w:rFonts w:ascii="arial" w:eastAsia="arial" w:hAnsi="arial" w:cs="arial"/>
          <w:i/>
          <w:color w:val="000000"/>
          <w:sz w:val="20"/>
          <w:lang w:val="en-US" w:eastAsia="en-US" w:bidi="ar-SA"/>
        </w:rPr>
        <w:t>Vorasarn</w:t>
      </w:r>
      <w:r>
        <w:rPr>
          <w:rFonts w:ascii="arial" w:eastAsia="arial" w:hAnsi="arial" w:cs="arial"/>
          <w:color w:val="000000"/>
          <w:sz w:val="20"/>
          <w:lang w:val="en-US" w:eastAsia="en-US" w:bidi="ar-SA"/>
        </w:rPr>
        <w:t xml:space="preserve"> to be that, generally speaking, an IME under the auspices of a Part 7 claim stands alone and is not to be considered as a pre-existing IME for the purposes of an application in the tort claim, but that is not a hard and fast rule that is applicable in all circumstances. The comments of the Court of Appeal suggest there may be some limited circumstances in which one can consider the Part 7 IME in an application in the tort action. I cannot begin to imagine all of those circumstances of course, but perhaps some examples would be where the adjuster and the insured, either directly or through counsel, have made some agreement that the examination will be for both purposes and one party seeks to renege, or perhaps where clearly the matters sought to be the subject of the IME go well beyond what would reasonably be expected under Part 7 and by inference must be a tort IME, or other matters of that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the basis of this analysis, the master concluded that the report was not to be considered as referable to the tort action, and consequently ordered that the Rule 30 examination by a second practitioner could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Again, the decision was appealed, and again it was set aside. The learned judge went on to consider the application of </w:t>
      </w:r>
      <w:r>
        <w:rPr>
          <w:rFonts w:ascii="arial" w:eastAsia="arial" w:hAnsi="arial" w:cs="arial"/>
          <w:b/>
          <w:i/>
          <w:color w:val="000000"/>
          <w:sz w:val="20"/>
          <w:lang w:val="en-US" w:eastAsia="en-US" w:bidi="ar-SA"/>
        </w:rPr>
        <w:t>Vorasarn</w:t>
      </w:r>
      <w:r>
        <w:rPr>
          <w:rFonts w:ascii="arial" w:eastAsia="arial" w:hAnsi="arial" w:cs="arial"/>
          <w:color w:val="000000"/>
          <w:sz w:val="20"/>
          <w:lang w:val="en-US" w:eastAsia="en-US" w:bidi="ar-SA"/>
        </w:rPr>
        <w:t xml:space="preserve"> and the master's application of that case. Her Ladyship concluded that the master was in error in failing to appreciate a significant distinction: in </w:t>
      </w:r>
      <w:r>
        <w:rPr>
          <w:rFonts w:ascii="arial" w:eastAsia="arial" w:hAnsi="arial" w:cs="arial"/>
          <w:b/>
          <w:i/>
          <w:color w:val="000000"/>
          <w:sz w:val="20"/>
          <w:lang w:val="en-US" w:eastAsia="en-US" w:bidi="ar-SA"/>
        </w:rPr>
        <w:t>Vorasarn</w:t>
      </w:r>
      <w:r>
        <w:rPr>
          <w:rFonts w:ascii="arial" w:eastAsia="arial" w:hAnsi="arial" w:cs="arial"/>
          <w:color w:val="000000"/>
          <w:sz w:val="20"/>
          <w:lang w:val="en-US" w:eastAsia="en-US" w:bidi="ar-SA"/>
        </w:rPr>
        <w:t xml:space="preserve">, I.C.B.C. rehabilitation people were completely independent of the adjuster and defence counsel in the tort claim, to the point that there was an explicit agreement that the rehabilitation representative could not disclose the report to the I.C.B.C. representatives in the tort claim, whereas in </w:t>
      </w:r>
      <w:r>
        <w:rPr>
          <w:rFonts w:ascii="arial" w:eastAsia="arial" w:hAnsi="arial" w:cs="arial"/>
          <w:b/>
          <w:i/>
          <w:color w:val="000000"/>
          <w:sz w:val="20"/>
          <w:lang w:val="en-US" w:eastAsia="en-US" w:bidi="ar-SA"/>
        </w:rPr>
        <w:t>Robertson</w:t>
      </w:r>
      <w:r>
        <w:rPr>
          <w:rFonts w:ascii="arial" w:eastAsia="arial" w:hAnsi="arial" w:cs="arial"/>
          <w:color w:val="000000"/>
          <w:sz w:val="20"/>
          <w:lang w:val="en-US" w:eastAsia="en-US" w:bidi="ar-SA"/>
        </w:rPr>
        <w:t xml:space="preserve"> the adjuster who requested the report was dealing with both the Part 7 and tort claims. The court also concluded that the master had wrongly failed to review the content and substance of the letter requesting the medical report, which asked the doctor to review: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Whether the patient had any prior or existing problems relevant to job duties, whether there was permanent disability and the length of any temporary disability, recommendations for future treatment, whether there would be a future need for surgery and the time required from work for this purpose, and whether the injuries would have been less severe if she had been wearing a seat belt or adjusted her head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Her Ladyship concluded at paragraph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Ultimately, the Master concluded that </w:t>
      </w:r>
      <w:r>
        <w:rPr>
          <w:rFonts w:ascii="arial" w:eastAsia="arial" w:hAnsi="arial" w:cs="arial"/>
          <w:i/>
          <w:color w:val="000000"/>
          <w:sz w:val="20"/>
          <w:lang w:val="en-US" w:eastAsia="en-US" w:bidi="ar-SA"/>
        </w:rPr>
        <w:t>Vorasarn</w:t>
      </w:r>
      <w:r>
        <w:rPr>
          <w:rFonts w:ascii="arial" w:eastAsia="arial" w:hAnsi="arial" w:cs="arial"/>
          <w:color w:val="000000"/>
          <w:sz w:val="20"/>
          <w:lang w:val="en-US" w:eastAsia="en-US" w:bidi="ar-SA"/>
        </w:rPr>
        <w:t xml:space="preserve"> stood for the proposition that a Part 7 examination is not to be considered as a pre-existing independent medical examination for purposes of an application in the tort claim, although that was not a hard and fast rule. In my view, this is clearly wrong. The more logical interpretation of </w:t>
      </w:r>
      <w:r>
        <w:rPr>
          <w:rFonts w:ascii="arial" w:eastAsia="arial" w:hAnsi="arial" w:cs="arial"/>
          <w:i/>
          <w:color w:val="000000"/>
          <w:sz w:val="20"/>
          <w:lang w:val="en-US" w:eastAsia="en-US" w:bidi="ar-SA"/>
        </w:rPr>
        <w:t>Vorasarn</w:t>
      </w:r>
      <w:r>
        <w:rPr>
          <w:rFonts w:ascii="arial" w:eastAsia="arial" w:hAnsi="arial" w:cs="arial"/>
          <w:color w:val="000000"/>
          <w:sz w:val="20"/>
          <w:lang w:val="en-US" w:eastAsia="en-US" w:bidi="ar-SA"/>
        </w:rPr>
        <w:t xml:space="preserve"> is that an independent medical examination under Part 7 is normally considered a pre-existing independent medical examination except in such circumstances where the adjuster handling the tort claim on behalf of the insured defendant was not consulted nor had any involvement in the selection of the Part 7 doctor so that it could not be said that the Part 7 doctor was the nominee or representative of the insured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differing results of the </w:t>
      </w:r>
      <w:r>
        <w:rPr>
          <w:rFonts w:ascii="arial" w:eastAsia="arial" w:hAnsi="arial" w:cs="arial"/>
          <w:b/>
          <w:i/>
          <w:color w:val="000000"/>
          <w:sz w:val="20"/>
          <w:lang w:val="en-US" w:eastAsia="en-US" w:bidi="ar-SA"/>
        </w:rPr>
        <w:t>Vorasarn</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Robertson</w:t>
      </w:r>
      <w:r>
        <w:rPr>
          <w:rFonts w:ascii="arial" w:eastAsia="arial" w:hAnsi="arial" w:cs="arial"/>
          <w:color w:val="000000"/>
          <w:sz w:val="20"/>
          <w:lang w:val="en-US" w:eastAsia="en-US" w:bidi="ar-SA"/>
        </w:rPr>
        <w:t xml:space="preserve"> cases therefore require an analysis of:</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capacity in which the adjuster who requested the "first" medical report was acting,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doctor is asked to deal with issues that are confined to a Part 7 claim or relate to an actual or potential tort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present case, there is simply no evidence as to the capacity of Mr. Carmont and Ms. Wilson, the two I.C.B.C. representatives who corresponded with Dr. Hawk. I do not know whether they were dealing only with the plaintiff's Part 7 accident benefits claim, or also had authority to collect information to be used in the tort claim that they could, and presumably did, anticipate.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those circumstances it might seem appropriate to draw an adverse inference against the defendant, as defence counsel could easily have resolved the uncertainty if doing so would operate in his favour. However, in my view no adverse inference is appropriate here because the plaintiff had counsel at all material times who would have corresponded with I.C.B.C., or had access to correspondence between I.C.B.C. and his client, and would therefore be in a position to know, and inform the court, if a common adjuster dealt with all aspects of the claim, or there were separate adjusters for Part 7 and the tort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am therefore unable to find that this issue assists either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As to the second issue, it requires a careful analysis of the terms of reference for the medical report dictated by the adjuster. Before turning to the instructions given to Dr. Hawk by Mr. Carmont, it will be useful to review the instructions to the doctor in the </w:t>
      </w:r>
      <w:r>
        <w:rPr>
          <w:rFonts w:ascii="arial" w:eastAsia="arial" w:hAnsi="arial" w:cs="arial"/>
          <w:b/>
          <w:i/>
          <w:color w:val="000000"/>
          <w:sz w:val="20"/>
          <w:lang w:val="en-US" w:eastAsia="en-US" w:bidi="ar-SA"/>
        </w:rPr>
        <w:t>Robertson</w:t>
      </w:r>
      <w:r>
        <w:rPr>
          <w:rFonts w:ascii="arial" w:eastAsia="arial" w:hAnsi="arial" w:cs="arial"/>
          <w:color w:val="000000"/>
          <w:sz w:val="20"/>
          <w:lang w:val="en-US" w:eastAsia="en-US" w:bidi="ar-SA"/>
        </w:rPr>
        <w:t xml:space="preserve"> case set out at paragraph 20 above. Without access to the pleadings it is impossible to come to definitive conclusions, but on the face of it questions about pre-existing difficulties with employment, length of temporary disability; and recommendations for treatment all seem to relate to disability benefits. Questions about permanent disability, and future surgery and any resulting time off work are more dubious, but could relate to Part 7, especially if the adjuster is charged with the responsibility for establishing reserves for those benefits. But so far as I can see there is absolutely no reason why a Part 7 claim would raise any issues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attributable to improper use of a seat belt or head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learned judge in </w:t>
      </w:r>
      <w:r>
        <w:rPr>
          <w:rFonts w:ascii="arial" w:eastAsia="arial" w:hAnsi="arial" w:cs="arial"/>
          <w:b/>
          <w:i/>
          <w:color w:val="000000"/>
          <w:sz w:val="20"/>
          <w:lang w:val="en-US" w:eastAsia="en-US" w:bidi="ar-SA"/>
        </w:rPr>
        <w:t>Robertson</w:t>
      </w:r>
      <w:r>
        <w:rPr>
          <w:rFonts w:ascii="arial" w:eastAsia="arial" w:hAnsi="arial" w:cs="arial"/>
          <w:color w:val="000000"/>
          <w:sz w:val="20"/>
          <w:lang w:val="en-US" w:eastAsia="en-US" w:bidi="ar-SA"/>
        </w:rPr>
        <w:t xml:space="preserve"> does not explicitly say so, but logically, any one of several issues which is referable only to a tort claim would qualify a medical report as the "first report". In my view, this issue is not really suitable for a "dominant purpose" analysis imported from the law relating to privilege. Any explicit reference to the doctor of a matter not relevant to the Part 7 claim should result in a finding that the report was obtained pursuant to Rule 30, because apart from that Rule, I.C.B.C. would have no right to receive the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the present case, Mr. Carmont has conveniently set out in point form the issues he wanted Dr. Hawk to address: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summary of your qualifications and experience.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facts and assumptions on which this opinion is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Although at first glance both matters would seem necessary only in a report to be introduced in evidence in a tort claim, there was - and so far as I know still is - some possibility the report might be relied on in a Part 7 claim. Although such claims do not often end up in court, actions claiming accident benefits are common enough that it cannot be said that the request for the doctor to summarize his qualifications and the facts he has relied upon denotes an exclusive applicability to the tort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 The history of the accident and the patient's complaints as related to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 Clearly the plaintiff's description of his symptoms is relevant to Part 7. But a history of the accident is only marginally so. Part 7 benefits are often called "no fault" benefits, so liability for the accident is irrelevant. Conceivably such things as velocity and angle of impact could have a bearing on whether the plaintiff's description of his symptoms is credible, but this speculation in my view is over-reaching in the absence of evidence that it was in fact one of the reasons for the referral.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 Your diagnosis and prognosis.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Clearly this would relate to Part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 Whether the patient had any prior or existing problems which are relevant to his job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 Whether his complaints have been caused by this motor vehicle accident.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Depending on the answers to these questions, the insurer may have been entitled to argue that any loss of earnings was not covered under Part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 Your opinion as to how much time off work would be reasonable considering the patient's injury and his job duties.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referable to Part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 Your opinion as to whether there will be any permanent disability and, if not, your estimate of the length of any temporary disability.</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phrasing of this request makes it clearer than the court's description of the request in </w:t>
      </w:r>
      <w:r>
        <w:rPr>
          <w:rFonts w:ascii="arial" w:eastAsia="arial" w:hAnsi="arial" w:cs="arial"/>
          <w:b/>
          <w:i/>
          <w:color w:val="000000"/>
          <w:sz w:val="20"/>
          <w:lang w:val="en-US" w:eastAsia="en-US" w:bidi="ar-SA"/>
        </w:rPr>
        <w:t>Robertson</w:t>
      </w:r>
      <w:r>
        <w:rPr>
          <w:rFonts w:ascii="arial" w:eastAsia="arial" w:hAnsi="arial" w:cs="arial"/>
          <w:color w:val="000000"/>
          <w:sz w:val="20"/>
          <w:lang w:val="en-US" w:eastAsia="en-US" w:bidi="ar-SA"/>
        </w:rPr>
        <w:t xml:space="preserve"> that this enquiry is focussing on Part 7. Basically, what the adjuster is saying here is: "We need to know how long his entitlement to wage loss benefits will continue. Will it be short term (and if so, how long) or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 Recommendations you may have with respect to current treatment and the need for any future treatment.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Current treatment is clearly referable to Part 7. Future treatment would not seem to be relevant to that claim unless it is used for establishing reserves or some other aspect of long term management of a claim that does not immediately occur to me, and has not been explained.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 Whether there will be a need for surgery in the future and, if so, how much time off work will be required.</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The same analysis applies here as to the question about future treatment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 Whether the patient requires or has required additional household help and, if so, how much assistance is reasonable.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Clearly this could relate to the potential for a claim for Part 7 disability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all the circumstances, I have concluded that requests for a history of the accident and recommendations about future treatment and surgery must be considered to be solely referable to the plaintiff's potential tort claim. Each issue could, theoretically, be related to Part 7, but the relationship is so speculative that in my view positive evidence must be introduced of the intention of the adjuster before the court can accept the proffered connection. Thus, the report from Dr. Hawk must be reckoned as a Rule 30 examination by an orthopaedic specialist, and in the absence of special circumstances a subsequent orthopaedic examination must be conducted by the same specialist. (I must confess, though, that I have some difficulty with the rationale of this result, since on the face of it a second examination by Dr. Thompson would be no more intrusive than a second examination by Dr. Hawk, and plaintiffs seek second or third opinions to bolster their cases all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But, be that as it may, the law as I understand it is quite clear. Given the finding that the referral to Dr. Hawk dealt with some issues that were exclusively referable to the tort claim, it is not appropriate to allow an examination by Dr. Thompson in the absence of special circumstances which do not exist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application is dismissed, with costs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BOLTON</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2" style="position:absolute;z-index:2518589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36"/>
          <w:headerReference w:type="default" r:id="rId837"/>
          <w:footerReference w:type="even" r:id="rId838"/>
          <w:footerReference w:type="default" r:id="rId839"/>
          <w:headerReference w:type="first" r:id="rId840"/>
          <w:footerReference w:type="first" r:id="rId8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42" w:history="1">
        <w:r>
          <w:rPr>
            <w:rFonts w:ascii="arial" w:eastAsia="arial" w:hAnsi="arial" w:cs="arial"/>
            <w:b/>
            <w:bCs/>
            <w:i/>
            <w:color w:val="0077CC"/>
            <w:kern w:val="32"/>
            <w:sz w:val="28"/>
            <w:szCs w:val="32"/>
            <w:u w:val="single"/>
            <w:shd w:val="clear" w:color="auto" w:fill="FFFFFF"/>
            <w:lang w:val="en-US" w:eastAsia="en-US" w:bidi="ar-SA"/>
          </w:rPr>
          <w:t>Maxwell v. Schwann, [2006] B.C.J. No. 743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Maczko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16,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4,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04 5336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743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533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147 A.C.W.S. (3d) 742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James B. Maxwell, plaintiff, and Douglas J. Schwann and National Bank Financial Ltd., defendants, and Douglas J. Schwann,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3"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4" w:name="Keywords_46"/>
      <w:bookmarkEnd w:id="304"/>
      <w:r>
        <w:rPr>
          <w:rFonts w:ascii="arial" w:eastAsia="arial" w:hAnsi="arial" w:cs="arial"/>
          <w:b/>
          <w:color w:val="000000"/>
          <w:sz w:val="20"/>
          <w:lang w:val="en-US" w:eastAsia="en-US" w:bidi="ar-SA"/>
        </w:rPr>
        <w:t>Civil procedure — Parties — Third party procedure — Striking out or setting aside — Application by defendant Schwann for dismissal of third party claim against him on basis that Schwann was now bankrupt dismissed — Allegations that Schwann acted as fiduciary and misused plaintiff's funds to advance his own interests could amount to misconduct and could lead a judge to conclude that Schwann committed a defalcation within meaning of Bankruptcy and Insolvency Act.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5" w:name="Case Summary_41"/>
            <w:bookmarkEnd w:id="30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defendant Schwann for dismissal of third party claim against him on basis that Schwann was now bankrupt -- Schwann was employee of defendant National Bank and advised plaintiff with regards to investments -- Plaintiff claimed Schwann breached his fiduciary duty and made high risk investments causing losses to plaintiff -- Plaintiff discontinued action against Schwann after his bankruptcy -- HELD: Application dismissed -- Allegation that Schwann acted as fiduciary and misused plaintiff's funds to advance his own interests and earn higher commissions could amount to misconduct and could lead a judge to conclude that Schwann committed a defalcation within meaning of Bankruptcy and Insolvency Act -- There was at least possibility that conduct alleged amounted to a defalcation which would not relieve Schwann pursuant to s. 178(1)(d) of Bankruptcy and Insolvency Act.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6" w:name="Legislation Cited_34"/>
      <w:bookmarkEnd w:id="30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4"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Bankruptcy and Insolvency Act, </w:t>
      </w:r>
      <w:hyperlink r:id="rId816" w:history="1">
        <w:r>
          <w:rPr>
            <w:rFonts w:ascii="arial" w:eastAsia="arial" w:hAnsi="arial" w:cs="arial"/>
            <w:i/>
            <w:color w:val="0077CC"/>
            <w:sz w:val="20"/>
            <w:u w:val="single"/>
            <w:shd w:val="clear" w:color="auto" w:fill="FFFFFF"/>
            <w:lang w:val="en-US" w:eastAsia="en-US" w:bidi="ar-SA"/>
          </w:rPr>
          <w:t>R.S.C. 1985, c. B-3, s. 178</w:t>
        </w:r>
      </w:hyperlink>
      <w:r>
        <w:rPr>
          <w:rFonts w:ascii="arial" w:eastAsia="arial" w:hAnsi="arial" w:cs="arial"/>
          <w:color w:val="000000"/>
          <w:sz w:val="20"/>
          <w:lang w:val="en-US" w:eastAsia="en-US" w:bidi="ar-SA"/>
        </w:rPr>
        <w:t>, s. 178(1)(d)</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7" w:name="Counsel_46"/>
      <w:bookmarkEnd w:id="30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5" style="position:absolute;z-index:251808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Defendant, Douglas J. Schwann: C.D. Brousson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National Bank Financial Ltd.: R. Millar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8" w:name="Judgment_46"/>
      <w:bookmarkEnd w:id="308"/>
      <w:r>
        <w:pict>
          <v:line id="_x0000_s1256" style="position:absolute;z-index:2518599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9" w:name="MACZKO J."/>
            <w:bookmarkEnd w:id="309"/>
            <w:r>
              <w:rPr>
                <w:rFonts w:ascii="arial" w:eastAsia="arial" w:hAnsi="arial" w:cs="arial"/>
                <w:b/>
                <w:color w:val="000000"/>
                <w:sz w:val="30"/>
                <w:lang w:val="en-US" w:eastAsia="en-US" w:bidi="ar-SA"/>
              </w:rPr>
              <w:t>MACZKO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by the defendant, Douglas J. Schwann ("Schwann") to dismiss the third party action by National Bank Financial Ltd. ("National") on the grounds that Schwann is a bankrupt and pursuant to the , </w:t>
      </w:r>
      <w:hyperlink r:id="rId221" w:history="1">
        <w:r>
          <w:rPr>
            <w:rFonts w:ascii="arial" w:eastAsia="arial" w:hAnsi="arial" w:cs="arial"/>
            <w:i/>
            <w:color w:val="0077CC"/>
            <w:sz w:val="20"/>
            <w:u w:val="single"/>
            <w:shd w:val="clear" w:color="auto" w:fill="FFFFFF"/>
            <w:lang w:val="en-US" w:eastAsia="en-US" w:bidi="ar-SA"/>
          </w:rPr>
          <w:t>R.S.C. 1985, c. B-3</w:t>
        </w:r>
      </w:hyperlink>
      <w:r>
        <w:rPr>
          <w:rFonts w:ascii="arial" w:eastAsia="arial" w:hAnsi="arial" w:cs="arial"/>
          <w:color w:val="000000"/>
          <w:sz w:val="20"/>
          <w:lang w:val="en-US" w:eastAsia="en-US" w:bidi="ar-SA"/>
        </w:rPr>
        <w:t xml:space="preserve"> no action lies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Schwann was an investment advisor in the employ of National and was retained by the plaintiff to make investments. The plaintiff alleges that Schwann, in breach of his fiduciary duty and contrary to instructions, made high-risk investments with the result that the plaintiff lost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Schwann left his employment with National and went into bankruptcy. The plaintiff then decided to discontinue the proceedings against Schwann, but continued his action against National.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National commenced third party proceedings against Schwann alleging that the action against Schwann should continue because s. 178(1)(d) of the </w:t>
      </w:r>
      <w:r>
        <w:rPr>
          <w:rFonts w:ascii="arial" w:eastAsia="arial" w:hAnsi="arial" w:cs="arial"/>
          <w:b/>
          <w:i/>
          <w:color w:val="000000"/>
          <w:sz w:val="20"/>
          <w:lang w:val="en-US" w:eastAsia="en-US" w:bidi="ar-SA"/>
        </w:rPr>
        <w:t>Bankruptcy and Insolvency Act</w:t>
      </w:r>
      <w:r>
        <w:rPr>
          <w:rFonts w:ascii="arial" w:eastAsia="arial" w:hAnsi="arial" w:cs="arial"/>
          <w:color w:val="000000"/>
          <w:sz w:val="20"/>
          <w:lang w:val="en-US" w:eastAsia="en-US" w:bidi="ar-SA"/>
        </w:rPr>
        <w:t xml:space="preserve"> does not permit the discharge of a debt that has arisen as a result of the bankrupt's defalcation while acting in a fiduciary capacity. Section 178(1)(d)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178.(1) An order of discharge does not release the bankrupt from</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debt or liability arising out of fraud, embezzlement, misappropriation or defalcation while acting in a fiduciary capacity or, in the Province of Quebec, as a trustee or administrator of the property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Defalcation is defined in </w:t>
      </w:r>
      <w:r>
        <w:rPr>
          <w:rFonts w:ascii="arial" w:eastAsia="arial" w:hAnsi="arial" w:cs="arial"/>
          <w:i/>
          <w:color w:val="000000"/>
          <w:sz w:val="20"/>
          <w:lang w:val="en-US" w:eastAsia="en-US" w:bidi="ar-SA"/>
        </w:rPr>
        <w:t>Black's Law Dictionary</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act of a defaulter; an act of embezzling; failure to meet an obligation; misappropriation of trust money held in any fiduciary capacity; failure to properly account for such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issue argued before me was whether the defendant, National, must prove culpability by Schwann as part of a defalcation.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Schwann argued that there is no defalcation here because there is no allegation of culpability, whereas National argued that there is no need to allege culpability where a fiduciary fails to carry out his fiduciary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issue arises as a result of two lines of cases. The British Columbia Court of Appeal in </w:t>
      </w:r>
      <w:r>
        <w:rPr>
          <w:rFonts w:ascii="arial" w:eastAsia="arial" w:hAnsi="arial" w:cs="arial"/>
          <w:b/>
          <w:i/>
          <w:color w:val="000000"/>
          <w:sz w:val="20"/>
          <w:lang w:val="en-US" w:eastAsia="en-US" w:bidi="ar-SA"/>
        </w:rPr>
        <w:t>Smith v. Henderson</w:t>
      </w:r>
      <w:r>
        <w:rPr>
          <w:rFonts w:ascii="arial" w:eastAsia="arial" w:hAnsi="arial" w:cs="arial"/>
          <w:color w:val="000000"/>
          <w:sz w:val="20"/>
          <w:lang w:val="en-US" w:eastAsia="en-US" w:bidi="ar-SA"/>
        </w:rPr>
        <w:t xml:space="preserve"> </w:t>
      </w:r>
      <w:hyperlink r:id="rId843" w:history="1">
        <w:r>
          <w:rPr>
            <w:rFonts w:ascii="arial" w:eastAsia="arial" w:hAnsi="arial" w:cs="arial"/>
            <w:i/>
            <w:color w:val="0077CC"/>
            <w:sz w:val="20"/>
            <w:u w:val="single"/>
            <w:shd w:val="clear" w:color="auto" w:fill="FFFFFF"/>
            <w:lang w:val="en-US" w:eastAsia="en-US" w:bidi="ar-SA"/>
          </w:rPr>
          <w:t>(1992), 64 B.C.L.R. (2d) 144</w:t>
        </w:r>
      </w:hyperlink>
      <w:r>
        <w:rPr>
          <w:rFonts w:ascii="arial" w:eastAsia="arial" w:hAnsi="arial" w:cs="arial"/>
          <w:color w:val="000000"/>
          <w:sz w:val="20"/>
          <w:lang w:val="en-US" w:eastAsia="en-US" w:bidi="ar-SA"/>
        </w:rPr>
        <w:t xml:space="preserve">, held that, for the purposes of the </w:t>
      </w:r>
      <w:r>
        <w:rPr>
          <w:rFonts w:ascii="arial" w:eastAsia="arial" w:hAnsi="arial" w:cs="arial"/>
          <w:b/>
          <w:i/>
          <w:color w:val="000000"/>
          <w:sz w:val="20"/>
          <w:lang w:val="en-US" w:eastAsia="en-US" w:bidi="ar-SA"/>
        </w:rPr>
        <w:t>Bankruptcy and Insolvency Act</w:t>
      </w:r>
      <w:r>
        <w:rPr>
          <w:rFonts w:ascii="arial" w:eastAsia="arial" w:hAnsi="arial" w:cs="arial"/>
          <w:color w:val="000000"/>
          <w:sz w:val="20"/>
          <w:lang w:val="en-US" w:eastAsia="en-US" w:bidi="ar-SA"/>
        </w:rPr>
        <w:t>, a defalcation while acting in a fiduciary capacity, does not necessarily entail a dishonest or wrongful act. It is sufficient if there is a failure to meet an obligation while acting in a fiduciary capacity. The court said at page 149: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wording of 178(1)(d) includes liability for wrongdoing arising out of dishonest acts such as fraud or embezzlement while acting in a fiduciary capacity. However, "a defalcation while acting in fiduciary capacity" does not necessarily entail a dishonest or wrongful act. It is sufficient if there is a failure to meet an obligation by a fiduciary. A breach of trust arises whenever a trustee fails to carry out his obligations under the terms of the trust. The trustee may have committed the breach due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incompetence rather than fraud or an act of dishonesty.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Ontario Court of Appeal took a different approach in </w:t>
      </w:r>
      <w:r>
        <w:rPr>
          <w:rFonts w:ascii="arial" w:eastAsia="arial" w:hAnsi="arial" w:cs="arial"/>
          <w:b/>
          <w:i/>
          <w:color w:val="000000"/>
          <w:sz w:val="20"/>
          <w:lang w:val="en-US" w:eastAsia="en-US" w:bidi="ar-SA"/>
        </w:rPr>
        <w:t>Simone v. Daley</w:t>
      </w:r>
      <w:r>
        <w:rPr>
          <w:rFonts w:ascii="arial" w:eastAsia="arial" w:hAnsi="arial" w:cs="arial"/>
          <w:color w:val="000000"/>
          <w:sz w:val="20"/>
          <w:lang w:val="en-US" w:eastAsia="en-US" w:bidi="ar-SA"/>
        </w:rPr>
        <w:t xml:space="preserve"> </w:t>
      </w:r>
      <w:hyperlink r:id="rId844" w:history="1">
        <w:r>
          <w:rPr>
            <w:rFonts w:ascii="arial" w:eastAsia="arial" w:hAnsi="arial" w:cs="arial"/>
            <w:i/>
            <w:color w:val="0077CC"/>
            <w:sz w:val="20"/>
            <w:u w:val="single"/>
            <w:shd w:val="clear" w:color="auto" w:fill="FFFFFF"/>
            <w:lang w:val="en-US" w:eastAsia="en-US" w:bidi="ar-SA"/>
          </w:rPr>
          <w:t>(1999), 43 O.R. (3d) 511</w:t>
        </w:r>
      </w:hyperlink>
      <w:r>
        <w:rPr>
          <w:rFonts w:ascii="arial" w:eastAsia="arial" w:hAnsi="arial" w:cs="arial"/>
          <w:color w:val="000000"/>
          <w:sz w:val="20"/>
          <w:lang w:val="en-US" w:eastAsia="en-US" w:bidi="ar-SA"/>
        </w:rPr>
        <w:t xml:space="preserve">. In that case the court expressed the view that a defalcation by a fiduciary requires some degree of dishonesty, wrongdoing or misconduct before the debt is exempted from discharge pursuant to s. 178 of the </w:t>
      </w:r>
      <w:r>
        <w:rPr>
          <w:rFonts w:ascii="arial" w:eastAsia="arial" w:hAnsi="arial" w:cs="arial"/>
          <w:b/>
          <w:i/>
          <w:color w:val="000000"/>
          <w:sz w:val="20"/>
          <w:lang w:val="en-US" w:eastAsia="en-US" w:bidi="ar-SA"/>
        </w:rPr>
        <w:t>Bankruptcy and Insolvency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For the purposes of the action before me, it is not necessary for me to choose which line of cases to follow. The allegation is that Schwann acted in a fiduciary capacity and misused the plaintiff's funds by investing in high-risk investments, thereby getting higher commissions and preferring his own interest to that of the plaintiff. In my view, this is an allegation that could amount to misconduct and, if proven, could lead a judge to conclude that Schwann committed a defalcation while acting as a fiduciary within the meaning of the </w:t>
      </w:r>
      <w:r>
        <w:rPr>
          <w:rFonts w:ascii="arial" w:eastAsia="arial" w:hAnsi="arial" w:cs="arial"/>
          <w:b/>
          <w:i/>
          <w:color w:val="000000"/>
          <w:sz w:val="20"/>
          <w:lang w:val="en-US" w:eastAsia="en-US" w:bidi="ar-SA"/>
        </w:rPr>
        <w:t>Bankruptcy and Insolvency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This application turns on the pleadings. If there is an allegation capable of sustaining a cause of action, then the action must be permitted to proceed. It is not for me to decide whether the defendant will or will not be successful against the third party. I need only decide whether there is a possibility of success. The amended statement of claim paragraph 18(c)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breach of their fiduciary duties, the defendants or each of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Preferred their own interests over that of the plaintiff in recommending and placing the unsuitable investments, which investments earned the defendants a higher rate of commission than other liquid, lower risk investments that were suitable for the plaintiff and consistent with his long-term objectives and risk profile.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If the defendant is able to prove that Schwann in fact made unsuitable investments in an effort to prefer his own interests and earn higher commissions, there is at least a possibility that it amounts to a defalcation.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dismiss 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Costs will follow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MACZKO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7" style="position:absolute;z-index:2518988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45"/>
          <w:headerReference w:type="default" r:id="rId846"/>
          <w:footerReference w:type="even" r:id="rId847"/>
          <w:footerReference w:type="default" r:id="rId848"/>
          <w:headerReference w:type="first" r:id="rId849"/>
          <w:footerReference w:type="first" r:id="rId8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51" w:history="1">
        <w:r>
          <w:rPr>
            <w:rFonts w:ascii="arial" w:eastAsia="arial" w:hAnsi="arial" w:cs="arial"/>
            <w:b/>
            <w:bCs/>
            <w:i/>
            <w:color w:val="0077CC"/>
            <w:kern w:val="32"/>
            <w:sz w:val="28"/>
            <w:szCs w:val="32"/>
            <w:u w:val="single"/>
            <w:shd w:val="clear" w:color="auto" w:fill="FFFFFF"/>
            <w:lang w:val="en-US" w:eastAsia="en-US" w:bidi="ar-SA"/>
          </w:rPr>
          <w:t>McIntosh v. Carr, [2009] B.C.J. No. 1170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M.D. Macaulay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15,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11,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03-4485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1170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770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Alysa Diane McIntosh, Plaintiff, and Mike Donald Carr and Donald Leonard Carr,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8"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0" w:name="Keywords_47"/>
      <w:bookmarkEnd w:id="310"/>
      <w:r>
        <w:rPr>
          <w:rFonts w:ascii="arial" w:eastAsia="arial" w:hAnsi="arial" w:cs="arial"/>
          <w:b/>
          <w:color w:val="000000"/>
          <w:sz w:val="20"/>
          <w:lang w:val="en-US" w:eastAsia="en-US" w:bidi="ar-SA"/>
        </w:rPr>
        <w:t>Civil Litigation — Civil procedure — Trials — Jury trials — Jury notice — Setting aside or striking out — Application by plaintiff to strike defendant's jury notice allowed — Not appropriate case for jury — Would not be convenient for jury to undertake scientific examination required given anticipated length of trial and intricate medical, psychological and behavioural issues involved — Issues were too intricate given their intertwined nature and in some instances too complex.</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1" w:name="Case Summary_42"/>
            <w:bookmarkEnd w:id="31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to strike the defendant's jury notice. The plaintiff was involved in three car accidents, which occurred approximately 10 years ago, and commenced three actions in the Supreme Court. The parties agreed that the three actions should be tried at the same time. The first and third accidents were relatively minor. However, the second accident involved a roll over into a ditch. In each of the three accidents, the plaintiff was a passenger. Liability was not an issue in any of the actions and the only issue to be decided was an assessment of damages. The plaintiff alleged that as a result of the accidents she suffered pain, shock, brain injury, concussion and injuries to her head, neck, back and shoulders, depression, anxiety, sleeping disorders and post-traumatic stress disorder. At the trial, which was expected to last 25 days, the plaintiff intended to call 31 witnesses, including 17 professionals who would give evidence in the areas of family medicine, physical medicine and rehabilitation, neurology, neurophysiology, psychiatry and psychological counselling.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2" w:name="Holdings of Court_37"/>
            <w:bookmarkEnd w:id="312"/>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This was not an appropriate case for a jury. It would not be convenient for a jury to undertake the scientific examination required in the case given the anticipated length of the trial and the intricate medical, psychological and behavioural issues involved. The issues were too intricate given their intertwined nature and in some instances too complex.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3" w:name="Legislation Cited_35"/>
      <w:bookmarkEnd w:id="31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9"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Rules, Rule 39(27)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4" w:name="Counsel_47"/>
      <w:bookmarkEnd w:id="31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0" style="position:absolute;z-index:251809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A.D.G. MacIsaac.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G.L. Shumka.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5" w:name="Judgment_47"/>
      <w:bookmarkEnd w:id="315"/>
      <w:r>
        <w:pict>
          <v:line id="_x0000_s1261" style="position:absolute;z-index:2518609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6" w:name="M.D. MACAULAY J."/>
            <w:bookmarkEnd w:id="316"/>
            <w:r>
              <w:rPr>
                <w:rFonts w:ascii="arial" w:eastAsia="arial" w:hAnsi="arial" w:cs="arial"/>
                <w:b/>
                <w:color w:val="000000"/>
                <w:sz w:val="30"/>
                <w:lang w:val="en-US" w:eastAsia="en-US" w:bidi="ar-SA"/>
              </w:rPr>
              <w:t>M.D. MACAULAY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Ms. McIntosh, applied pursuant to </w:t>
      </w:r>
      <w:r>
        <w:rPr>
          <w:rFonts w:ascii="arial" w:eastAsia="arial" w:hAnsi="arial" w:cs="arial"/>
          <w:i/>
          <w:color w:val="000000"/>
          <w:sz w:val="20"/>
          <w:lang w:val="en-US" w:eastAsia="en-US" w:bidi="ar-SA"/>
        </w:rPr>
        <w:t>Supreme Court Rule</w:t>
      </w:r>
      <w:r>
        <w:rPr>
          <w:rFonts w:ascii="arial" w:eastAsia="arial" w:hAnsi="arial" w:cs="arial"/>
          <w:color w:val="000000"/>
          <w:sz w:val="20"/>
          <w:lang w:val="en-US" w:eastAsia="en-US" w:bidi="ar-SA"/>
        </w:rPr>
        <w:t xml:space="preserve"> 39(27) to strike the defendants' jury notice. At the conclusion of submissions, I granted the application and stated that I would deliver reasons in due course. These are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was in three car accidents and has commenced three actions in Supreme Court. The parties agree that all three actions should be tried at the same time although the court has not, as yet, made any order to that effect. The plaintiff was age 15 and 16 respectively at the time of the accidents and is now age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first and third accidents were apparently relatively minor; the second involved a roll over into a ditch. In each case, the plaintiff was a passenger. Liability is not an issue in any of the actions. Each will proceed as an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alleges that her injuries include pain and suffering, shock, brain injury, concussion, physical injuries to the head, neck, back, shoulders and knee, headaches, cuts, loss of sensation in the scalp, depression, anxiety, insomnia, sleep disorder and post-traumatic stress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evidence at trial is anticipated to be extensive. The plaintiff intends to call 31 witnesses including 17 professionals. The fields of medical and psychological expertise include family medicine, physical medicine and rehabilitation, neurology, neuorpsychology, psychiatry and psychological counseling. Other areas of expertise include occupational and speech therapy, along with economics. The defendants anticipate relying on four experts in the areas of physical and rehabilitation medicine, psychiatry, otolaryngology and neurology. The trial is scheduled for 25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 25 day trial requires a significant commitment by jurors. Experience tells us that juries are capable of understanding the expert medical evidence typically heard in cases involving an alleged brain injury but experience also indicates that juries have more difficulty retaining that understanding throughout longer trials. This affects my consideration whether it is convenient for a jury to undertake the medical, or "scientific" investigation required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 25 day trial involving intricate medical, psychological and behavioural issues involving a young person who was not yet fully developed at the material time, presents such a risk. That risk is compounded by a number of complications that the evidence must address. Taken together, these factors also render the issues too complex for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is now about ten years post-accidents. Over that period, the plaintiff has undergone extensive treatment and a variety of testing including cognitive or psychological testing. The outcome of testing as it relates to the diagnosis or proof otherwise of the alleged brain injury is complicated by factors such as the identification and effect of a pre-existing learning disability as well as other social, scholastic and family stressors already present in the plaintiff's life before the accidents. There are live issues as to whether these factors explain or at least materially contributed to the plaintiff's ongoing difficulties. The factors also impact the application of any expert evidence respecting future pecuniary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defendants contend that the evidence is not too complicated for a jury. They point out that the court refused to strike the jury notice in </w:t>
      </w:r>
      <w:r>
        <w:rPr>
          <w:rFonts w:ascii="arial" w:eastAsia="arial" w:hAnsi="arial" w:cs="arial"/>
          <w:i/>
          <w:color w:val="000000"/>
          <w:sz w:val="20"/>
          <w:lang w:val="en-US" w:eastAsia="en-US" w:bidi="ar-SA"/>
        </w:rPr>
        <w:t>Forde v. Interior Health Authority (c.o.b. Royal Inland Hospital),</w:t>
      </w:r>
      <w:r>
        <w:rPr>
          <w:rFonts w:ascii="arial" w:eastAsia="arial" w:hAnsi="arial" w:cs="arial"/>
          <w:color w:val="000000"/>
          <w:sz w:val="20"/>
          <w:lang w:val="en-US" w:eastAsia="en-US" w:bidi="ar-SA"/>
        </w:rPr>
        <w:t xml:space="preserve"> </w:t>
      </w:r>
      <w:hyperlink r:id="rId852" w:history="1">
        <w:r>
          <w:rPr>
            <w:rFonts w:ascii="arial" w:eastAsia="arial" w:hAnsi="arial" w:cs="arial"/>
            <w:i/>
            <w:color w:val="0077CC"/>
            <w:sz w:val="20"/>
            <w:u w:val="single"/>
            <w:shd w:val="clear" w:color="auto" w:fill="FFFFFF"/>
            <w:lang w:val="en-US" w:eastAsia="en-US" w:bidi="ar-SA"/>
          </w:rPr>
          <w:t>2009 BCSC 254</w:t>
        </w:r>
      </w:hyperlink>
      <w:r>
        <w:rPr>
          <w:rFonts w:ascii="arial" w:eastAsia="arial" w:hAnsi="arial" w:cs="arial"/>
          <w:color w:val="000000"/>
          <w:sz w:val="20"/>
          <w:lang w:val="en-US" w:eastAsia="en-US" w:bidi="ar-SA"/>
        </w:rPr>
        <w:t xml:space="preserve">, a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involving 19 experts and 26 detailed expert reports and summaries of evidence. The medical evidence covered some of the same areas as in the case at bar as well as others, including neurosurgery, radiology, neuroradiology and kinesiology. The trial in that case was scheduled for 15 days. In another case, </w:t>
      </w:r>
      <w:r>
        <w:rPr>
          <w:rFonts w:ascii="arial" w:eastAsia="arial" w:hAnsi="arial" w:cs="arial"/>
          <w:i/>
          <w:color w:val="000000"/>
          <w:sz w:val="20"/>
          <w:lang w:val="en-US" w:eastAsia="en-US" w:bidi="ar-SA"/>
        </w:rPr>
        <w:t>Furukawa v. Allan,</w:t>
      </w:r>
      <w:r>
        <w:rPr>
          <w:rFonts w:ascii="arial" w:eastAsia="arial" w:hAnsi="arial" w:cs="arial"/>
          <w:color w:val="000000"/>
          <w:sz w:val="20"/>
          <w:lang w:val="en-US" w:eastAsia="en-US" w:bidi="ar-SA"/>
        </w:rPr>
        <w:t xml:space="preserve"> </w:t>
      </w:r>
      <w:hyperlink r:id="rId853" w:history="1">
        <w:r>
          <w:rPr>
            <w:rFonts w:ascii="arial" w:eastAsia="arial" w:hAnsi="arial" w:cs="arial"/>
            <w:i/>
            <w:color w:val="0077CC"/>
            <w:sz w:val="20"/>
            <w:u w:val="single"/>
            <w:shd w:val="clear" w:color="auto" w:fill="FFFFFF"/>
            <w:lang w:val="en-US" w:eastAsia="en-US" w:bidi="ar-SA"/>
          </w:rPr>
          <w:t>2007 BCSC 283</w:t>
        </w:r>
      </w:hyperlink>
      <w:r>
        <w:rPr>
          <w:rFonts w:ascii="arial" w:eastAsia="arial" w:hAnsi="arial" w:cs="arial"/>
          <w:color w:val="000000"/>
          <w:sz w:val="20"/>
          <w:lang w:val="en-US" w:eastAsia="en-US" w:bidi="ar-SA"/>
        </w:rPr>
        <w:t>, the court also declined to strike the jury notice. The plaintiff claimed a brain injury in that case and the trial, as here, was scheduled for 25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Each case is necessarily fact dependent but the results in </w:t>
      </w:r>
      <w:r>
        <w:rPr>
          <w:rFonts w:ascii="arial" w:eastAsia="arial" w:hAnsi="arial" w:cs="arial"/>
          <w:i/>
          <w:color w:val="000000"/>
          <w:sz w:val="20"/>
          <w:lang w:val="en-US" w:eastAsia="en-US" w:bidi="ar-SA"/>
        </w:rPr>
        <w:t>Forde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Furukawa</w:t>
      </w:r>
      <w:r>
        <w:rPr>
          <w:rFonts w:ascii="arial" w:eastAsia="arial" w:hAnsi="arial" w:cs="arial"/>
          <w:color w:val="000000"/>
          <w:sz w:val="20"/>
          <w:lang w:val="en-US" w:eastAsia="en-US" w:bidi="ar-SA"/>
        </w:rPr>
        <w:t xml:space="preserve"> may be taken as confirmation that factors such as the length of trial, the extensive number of medical experts and complex medical issues do not automatically remove the right of a party to a trial with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For convenience, Rule 39(27) in its entirety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Court may refuse jury trial</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in cases of defamation, false imprisonment and malicious prosecution, a party to whom a notice under subrule (26) has been delivered may apply</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7 days for an order that the trial or part of it be heard by the court without a jury on the ground that</w:t>
      </w:r>
    </w:p>
    <w:p>
      <w:pPr>
        <w:numPr>
          <w:numId w:val="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require prolonged examination of documents or accounts or a scientific or local investigation which cannot be made conveniently with a jury, or</w:t>
      </w:r>
    </w:p>
    <w:p>
      <w:pPr>
        <w:numPr>
          <w:numId w:val="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are of an intricate or complex character, or</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time for an order that the trial be heard by the court without a jury on the ground that it relates to one of the matters referred to in subrule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Furukawa,</w:t>
      </w:r>
      <w:r>
        <w:rPr>
          <w:rFonts w:ascii="arial" w:eastAsia="arial" w:hAnsi="arial" w:cs="arial"/>
          <w:color w:val="000000"/>
          <w:sz w:val="20"/>
          <w:lang w:val="en-US" w:eastAsia="en-US" w:bidi="ar-SA"/>
        </w:rPr>
        <w:t xml:space="preserve"> commencing at para. 10, Dorgan J. summarized the authorities respecting the analysis required under the rule. The court must first determine, as a question of fact, whether the matters at issue at trial will require either a prolonged examination of documents or accounts or a scientific or local investigation. If either answer is yes, the court must consider whether a jury can conveniently make the examination or investigation. Convenience in this sense refers to the ability of the jury to both understand the evidence and retain that understanding throughout the trial. The length of trial may be a factor, albeit not determinative, in addressing the issue of convenience. The court also has discretion to strike the jury notice if the issues are too intricate or complex.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is likely in the present case that the plaintiff's entire life, at least from the start of school through to the time of trial, a period of about 20 years, will be subjected to microscopic expert analysis and comment. That will require the trier of fact to absorb and retain a vast amount of information, some of which is likely to be, at least, nuanced if not complex, with a view to later deciding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am persuaded that this is not an appropriate case for a jury. It would not be convenient, as defined by the authorities, for a jury to undertake the scientific examination required in this case. In any event, the issues are too intricate given their intertwined nature and, in some instances, likely too complex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M.D. MACAULAY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62"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4"/>
          <w:headerReference w:type="default" r:id="rId855"/>
          <w:footerReference w:type="even" r:id="rId856"/>
          <w:footerReference w:type="default" r:id="rId857"/>
          <w:headerReference w:type="first" r:id="rId858"/>
          <w:footerReference w:type="first" r:id="rId85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60" w:history="1">
        <w:r>
          <w:rPr>
            <w:rFonts w:ascii="arial" w:eastAsia="arial" w:hAnsi="arial" w:cs="arial"/>
            <w:b/>
            <w:bCs/>
            <w:i/>
            <w:color w:val="0077CC"/>
            <w:kern w:val="32"/>
            <w:sz w:val="28"/>
            <w:szCs w:val="32"/>
            <w:u w:val="single"/>
            <w:shd w:val="clear" w:color="auto" w:fill="FFFFFF"/>
            <w:lang w:val="en-US" w:eastAsia="en-US" w:bidi="ar-SA"/>
          </w:rPr>
          <w:t>Merritt Flying Club v. Gordon, [2015] B.C.J. No. 2467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I.C. Meiklem J.</w:t>
      </w:r>
    </w:p>
    <w:p>
      <w:pPr>
        <w:spacing w:before="120" w:line="260" w:lineRule="atLeast"/>
        <w:jc w:val="center"/>
        <w:rPr>
          <w:lang w:val="en-US" w:eastAsia="en-US" w:bidi="ar-SA"/>
        </w:rPr>
      </w:pPr>
      <w:r>
        <w:rPr>
          <w:rFonts w:ascii="arial" w:eastAsia="arial" w:hAnsi="arial" w:cs="arial"/>
          <w:color w:val="000000"/>
          <w:sz w:val="20"/>
          <w:lang w:val="en-US" w:eastAsia="en-US" w:bidi="ar-SA"/>
        </w:rPr>
        <w:t>Heard: September 24 and 25, 2015.</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November 16, 2015.</w:t>
      </w:r>
    </w:p>
    <w:p>
      <w:pPr>
        <w:spacing w:before="120" w:line="260" w:lineRule="atLeast"/>
        <w:jc w:val="center"/>
        <w:rPr>
          <w:lang w:val="en-US" w:eastAsia="en-US" w:bidi="ar-SA"/>
        </w:rPr>
      </w:pPr>
      <w:r>
        <w:rPr>
          <w:rFonts w:ascii="arial" w:eastAsia="arial" w:hAnsi="arial" w:cs="arial"/>
          <w:color w:val="000000"/>
          <w:sz w:val="20"/>
          <w:lang w:val="en-US" w:eastAsia="en-US" w:bidi="ar-SA"/>
        </w:rPr>
        <w:t>Docket: 50723</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Kamloops</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[2015] B.C.J. No. 2467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2015 BCSC 2093</w:t>
      </w:r>
    </w:p>
    <w:p>
      <w:pPr>
        <w:spacing w:before="120" w:line="260" w:lineRule="atLeast"/>
        <w:rPr>
          <w:lang w:val="en-US" w:eastAsia="en-US" w:bidi="ar-SA"/>
        </w:rPr>
      </w:pPr>
      <w:r>
        <w:rPr>
          <w:rFonts w:ascii="arial" w:eastAsia="arial" w:hAnsi="arial" w:cs="arial"/>
          <w:color w:val="000000"/>
          <w:sz w:val="20"/>
          <w:lang w:val="en-US" w:eastAsia="en-US" w:bidi="ar-SA"/>
        </w:rPr>
        <w:t>Between Merritt Flying Club, Plaintiff, and Ian Gordon,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(52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63" style="position:absolute;z-index:25170841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17" w:name="Keywords_48"/>
      <w:bookmarkEnd w:id="317"/>
      <w:r>
        <w:rPr>
          <w:rFonts w:ascii="arial" w:eastAsia="arial" w:hAnsi="arial" w:cs="arial"/>
          <w:b/>
          <w:color w:val="000000"/>
          <w:sz w:val="20"/>
          <w:lang w:val="en-US" w:eastAsia="en-US" w:bidi="ar-SA"/>
        </w:rPr>
        <w:t>Tort law — Trespass — To goods — Conversion — Action by the plaintiff Merritt Flying Club (MFC) for damages for breach of fiduciary duty and conversion dismissed — The defendant Gordon was the MFC's former president — An Occupancy Agreement was entered into between the MFC and the Ministry of Forests — $20,427 was subsequently paid to Gordon from the MFC's account — The MFC submitted that Gordon signed the agreement on the MFC's behalf and his payments to himself amounted to conversion of MFC funds — However, the real contracting entity was Gordon and his impropriety consisted of the misuse of the MFC name rather than any assets.</w:t>
      </w:r>
    </w:p>
    <w:p>
      <w:pPr>
        <w:jc w:val="both"/>
        <w:rPr>
          <w:lang w:val="en-US" w:eastAsia="en-US" w:bidi="ar-SA"/>
        </w:rPr>
      </w:pPr>
      <w:bookmarkStart w:id="318" w:name="Legislation Cited_36"/>
      <w:bookmarkEnd w:id="31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64" style="position:absolute;z-index:25175961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Society Act, R.S.B.C. 1996, c. 433, s. 25, s. 28, s. 29(c)</w:t>
      </w:r>
      <w:r>
        <w:rPr>
          <w:lang w:val="en-US" w:eastAsia="en-US" w:bidi="ar-SA"/>
        </w:rPr>
        <w:cr/>
      </w:r>
    </w:p>
    <w:p>
      <w:pPr>
        <w:keepNext/>
        <w:spacing w:before="240" w:line="340" w:lineRule="atLeast"/>
        <w:rPr>
          <w:lang w:val="en-US" w:eastAsia="en-US" w:bidi="ar-SA"/>
        </w:rPr>
      </w:pPr>
      <w:bookmarkStart w:id="319" w:name="Counsel_48"/>
      <w:bookmarkEnd w:id="319"/>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65" style="position:absolute;z-index:25181081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C. AuBuchon.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J.D. Shields.</w:t>
      </w:r>
      <w:r>
        <w:rPr>
          <w:lang w:val="en-US" w:eastAsia="en-US" w:bidi="ar-SA"/>
        </w:rPr>
        <w:cr/>
      </w:r>
    </w:p>
    <w:p>
      <w:pPr>
        <w:spacing w:after="240"/>
        <w:rPr>
          <w:lang w:val="en-US" w:eastAsia="en-US" w:bidi="ar-SA"/>
        </w:rPr>
      </w:pPr>
      <w:bookmarkStart w:id="320" w:name="Judgment_48"/>
      <w:bookmarkEnd w:id="320"/>
      <w:r>
        <w:pict>
          <v:line id="_x0000_s1266" style="position:absolute;z-index:251862016"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21" w:name="I.C. MEIKLEM J."/>
            <w:bookmarkEnd w:id="321"/>
            <w:r>
              <w:rPr>
                <w:rFonts w:ascii="arial" w:eastAsia="arial" w:hAnsi="arial" w:cs="arial"/>
                <w:b/>
                <w:color w:val="000000"/>
                <w:sz w:val="30"/>
                <w:lang w:val="en-US" w:eastAsia="en-US" w:bidi="ar-SA"/>
              </w:rPr>
              <w:t>I.C. MEIKLEM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society claims a breach of fiduciary duty and conversion of funds by the defendant, its former President, in connection with an Occupancy Agreement between the plaintiff and the Ministry of Forests (the "Ministry") during the August 2009 fire season. The plaintiff initially claimed special damages in the amount of $20,427.51, but at trial agreed to set-off $3,249.10 in recognition of expenses paid by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(which I will refer to as "MFC" or the "flying club", or the "club") is a registered society, incorporated in March 1979. The MFC was founded by four or five members in or about 1975. The defendant became involved in the flying club in 1978, shortly prior to its incorporation as a society, and remained involved until he resigned on March 21, 2010. The defendant became a very active member of the MFC and served as a director and as the club President from 2002 until 2010.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MFC had a fluctuating but fairly robust membership until the 1990's, when the membership dwindled. At one point in 2005 there were only two paid-up members. In March 2010, there were only five members. The current membership is about 14 people.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Mr. Gordon was a teacher employed by the local school district and a pilot. He effectively ran the affairs of the flying club from 1993 onwards. The main source of funds for club activities was the operation of a self-serve aircraft fueling facility at the Merritt airport, where the MFC occupied certain premises as lessees from the City of Merritt (the "City"). MFC also acted as the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airport manager for the City, although there does not appear to have been a formal agreement in place, in respect of either the fuel operations or the management of the airport. The MFC's long term development goal was to raise sufficient funds to build a hangar on the airport lands.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According to the testimony of Mr. Fox, one of the four or five founding members and the current MFC President, the MFC operated the airport fuel sales on an "honour system" self-serve basis because the club did not wish to incur liability associated with fueling aircraft, or expose the City to liability by virtue of the club being the airport manager on behalf of the 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Gordon's testimony was that he, as an individual, became "slotted into" the position of airport manager, by virtue of him being the sole liaison between the club and the City regarding fuel sales, being an active pilot, dealing with maintenance of the runway, designing extensions of the runway and turnarounds, and being the contact person whom the City asked to attend and address deficiencies during airport inspections by Transport Canada. He said he reported directly to the Chief Administration Officer of the City and was recognized and referred to as the airport manager in many local newspaper articles over a long period of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MFC maintained a credit union account for aircraft fuel purchases and sales, separate from its general account. Mr. Gordon testified that the separate fuel account was set up to avoid "going to the club" for payments of fuel invoices and the maintenance and repair expenses of the fuel system. Mr. Gordon referred to the fuel account as being "autonomous" from the club, but the fuel account was nevertheless owned by the MFC and the cheques drawn on that account were printed signifying that fact. From 1998 to 2010, Mr. Gordon and an employed bookkeeper, Ms. McLean, acting jointly, were the only authorized signatories on both the fuel account and the club's general account.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Gordon testified that in the summer of 2009, Merritt came under threat from nearby forest fires. Starting on or about July 26, 2009 until August 1, 2009, Mr. Gordon said he worked daily at the airport from 11:30 a.m., "hot-fueling" four of the helicopters working on a local fire, thereby increasing their productivity. With clean-up added to the daylight hours, he worked until 11:30 p.m. He said this was entirely on his own and purely voluntary. Later, after the contract was put in place, he worked from 5:30 a.m. to 11:30 p.m. until September 3, 2009. When asked in-chief what he was doing during that time, he said "I was managing the airport". When asked what that involved, he listed being responsible for safe operation of the airport and compliance with Transport Canada policies, standards and procedures, fueling aircraft, providing security for helicopters, parts, equipment and tools in respect of as many as 17 helicopters using the airport as a staging area, and cleaning the terminal building owned by the 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testimony of Mr. Gordon, and to a very limited extent that of Ms. McLean, is the only direct evidence of how the formal Occupancy Agreement (which I will also refer to as "the agreement" or "the contract") came to be signed on behalf of MFC and the Province of British Columbia as represented by the Minister of Forests in August 2009.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Describing the genesis of the Occupancy Agreement, Mr. Gordon said that one day the "Fire Boss" came out of a helicopter and approached him as the acting airport manager "to close the airport and move the [fixed-wing] aircraft and have them bring everything in and basically take over the airport". Mr. Gordon advised him that that was impossible and suggested that they file a specific NOTAM (notice to airmen) called a PPR (prior permission required), which would mean that he would be on-site at the airport to monitor and advise traffic of the use of the airport as a fire base. This had been done on two or three previous occasions. Mr. Gordon and the Fire Boss apparently discussed a $500 per day fee, which Mr. Gordon had charged others on previous occasions and he said the Fire Boss was "tickled pink" with that fee. (As the alleged oral agreement was to pay him $1,000 per day initially to effectively make the $500 per day retroactive to July 26, I assume Mr. Gordon was also tickled pink to be paid for work he said was "purely voluntary" on his part when he started doing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Gordon specifically dated the conversation with the Fire Boss as August 3 in examination-in-chief, but a couple of times during cross-examination referred to it as occurring in July. Nothing turns on the difference as far as the factual issues are concerned, but from the dating of subsequent events regarding the draft Occupancy Agreement, I think it was likely some days prior to August 3, 2009.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Gordon's testimony was that the Ministry drafted the agreement and brought it to him on August 3 or 4, 2009. He said at one point in his testimony that it was "a complicated issue" as to how the contract came to name the MFC as the contracting party. Initially he and the Fire Boss were both surprised to see a formal contract draft when it was bought out by two female forestry employees. It was initially drawn with the name of the grantor left blank and he was told that they could not pay him as an individual unless he had a company name attached to a bank account. He and Ms. McLean discussed the issue briefly and came up with the idea of passing the payments through the fuel account. In cross-examination he said he could have taken the time to go downtown and set up an account in his existing corporation's name, but he had "absolutely no time to do anything." He described it as a "snap decision" to use the name of the flying club. Later, confronted with the suggestion that he was potentially exposing the club to liability under the contract, he said "I wasn't committing the flying club to anything; I was using it as a conduit".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McLean's testimony corroborated Mr. Gordon's in respect of the many hours he worked and the necessity of his presence as the only qualified and certified fueler available. She helped him on occasion and was present nearly every day to collect fueling records. She was present on two occasions when forestry personnel met with Mr. Gordon to present a written agreement. Her testimony on the subject of how the flying club became a party to the agreement included this exchange during examination in-chief:</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81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Were you in on those discussions?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Well it, yeah, it was a matter of setting up this agreement so the Forestry could justify what they were paying out and it promised for him to be recompensed for what he was doing.</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Was there any discussion as to how the monies would flow to Mr. Gordon?</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I'm a little foggy on that but I do recall that Ian didn't have a company or bank account per se and so I believe that what happened was they agreed to pay the flying club and then the flying club would in turn pay Ian for this because he was not acting for the flying club, he was acting for the airport, he was also the airport administrator, I don't know if that's been spelled out yet, but he had two capacities, and sometimes the two kind of meshed together, but he definitely was under this contract acting as airport administrator, he was not acting for the flying club.</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Did anyone from the club show up to help in this emergency?</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81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[laughing] No.</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And...how did the monies flow from the Province, the Ministry, to Mr. Gordon?</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Well the cheques came in endorsed to the flying club, they were deposited into the bank and I wrote cheques back to Ian; it was called "pass through".</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81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And what does that mean?</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It means just what I said, that money was deposited to the flying club because he couldn't cash it because it was endorsed to the flying club, so we had to...the flying club... had to cash it.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And had this been discussed with the Ministry's representatives when you met with them?</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81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 believe it was; I can't swear to that.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81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It's been some time?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Yes, this, all of this is, it's been a long time and I've had to do some soul searching and memory searching to try and answer these questions honestly and truly.</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Of course, that's what we like. Now, was any of this hidden from the members or any other directors?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81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Hidden?</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81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How do you hide something from somebody that's not there?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No, but in terms of the financial arrangements, the deposits from the Crown, there were two cheques from the Crown?</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81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Then they were deposited in one of the flying club's accounts?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81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81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What account was that?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81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It would be the fuel account.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McLean confirmed on cross-examination that she understood that the agreement was between Mr. Gordon personally and the Forestry Service. She said she had first seen a copy of the agreement the day before or two days before the trial started, and was at first surprised to see that it named the flying club as a party, until she 'thought it through" and remembered that Mr. Gordon did not have a business name to put on the contract and "that's where this discrepancy of issues came about". She said that she had seen an agreement being signed, but had not seen the document itself. When asked if she was just relying on statements from Mr. Gordon about the contract until the week of trial, she answered: "I guess so." and added "I had no reason to doubt." When asked if she was surprised to see the first cheque from the forestry not made out to Mr. Gordon, she answered: "I was...disappointed, I guess is a better word than surprised." When asked to explain her disappointment, she said she felt it would have been better if the cheque was in his name. The following exchange took place: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Is it safe to say that it was your understanding that the Ministry would not contract with Mr. Gordon personally and required a corporation or a society?</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You know, it was a very, very busy and emergency type situation and a lot of things got done in a very hurried manner and we didn't think them through in those regards... we just dealt with what we were dealing with so that we could get back out there and fuel those helicopters.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81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Right... and ...</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And so it's really hard to say all these specifics that you want to because it was many years ago and it was a very hurried situation that we were dealing with.</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So is it more accurate to say that you never turned your mind to it as a consideration...</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It never occurred to me to doubt any of it. It was very clear in my mind that Ian Gordon was entitled to that money. He had expenses to pay out and he earned every penny and more so. I would like to have an hourly breakdown of his wages for the time he put in.</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is clear from the form and content of the written contract, starting with it being titled "Occupancy Agreement", and naming MFC as the grantor, that it was not drafted to reflect the terms of the oral service agreement between the Ministry's Fire Boss and Mr. Gordon in his personal capacity as airport manager that Mr. Gordon testified to. The preamble to the agreement recites that: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Grantor is the owner, is entitled to control the use and development, or has an agreement to occupy and use a certain parcel of land and/or premises legally described as:</w:t>
      </w:r>
    </w:p>
    <w:p>
      <w:pPr>
        <w:spacing w:before="120" w:line="260" w:lineRule="atLeast"/>
        <w:ind w:left="720"/>
        <w:rPr>
          <w:lang w:val="en-US" w:eastAsia="en-US" w:bidi="ar-SA"/>
        </w:rPr>
      </w:pPr>
      <w:r>
        <w:rPr>
          <w:rFonts w:ascii="arial" w:eastAsia="arial" w:hAnsi="arial" w:cs="arial"/>
          <w:color w:val="000000"/>
          <w:sz w:val="20"/>
          <w:lang w:val="en-US" w:eastAsia="en-US" w:bidi="ar-SA"/>
        </w:rPr>
        <w:t>[legal description]</w:t>
      </w:r>
    </w:p>
    <w:p>
      <w:pPr>
        <w:spacing w:before="120" w:line="260" w:lineRule="atLeast"/>
        <w:ind w:left="720"/>
        <w:rPr>
          <w:lang w:val="en-US" w:eastAsia="en-US" w:bidi="ar-SA"/>
        </w:rPr>
      </w:pPr>
      <w:r>
        <w:rPr>
          <w:rFonts w:ascii="arial" w:eastAsia="arial" w:hAnsi="arial" w:cs="arial"/>
          <w:color w:val="000000"/>
          <w:sz w:val="20"/>
          <w:lang w:val="en-US" w:eastAsia="en-US" w:bidi="ar-SA"/>
        </w:rPr>
        <w:t>The Crown wishes to enter onto the land and/or premises for the purpose of helibase staging and refuelling, and pilot day staging the location which is indicated on the sketch, which forms part of this agreement.</w:t>
      </w:r>
    </w:p>
    <w:p>
      <w:pPr>
        <w:spacing w:before="120" w:line="260" w:lineRule="atLeast"/>
        <w:ind w:left="720"/>
        <w:rPr>
          <w:lang w:val="en-US" w:eastAsia="en-US" w:bidi="ar-SA"/>
        </w:rPr>
      </w:pPr>
      <w:r>
        <w:rPr>
          <w:rFonts w:ascii="arial" w:eastAsia="arial" w:hAnsi="arial" w:cs="arial"/>
          <w:color w:val="000000"/>
          <w:sz w:val="20"/>
          <w:lang w:val="en-US" w:eastAsia="en-US" w:bidi="ar-SA"/>
        </w:rPr>
        <w:t>And the Grantor has agreed to permit the Crown to enter onto and occupy the land and/or premises for such purposes for a period commencing August 2, 2009 and terminating October 31, 2009 (the term), unless sooner terminated or extended in accordance with this agreement.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agreement provided for a daily fee of $1,000 beginning on the stated day of occupancy, that is, August 2, 2009, and provided that the fee was inclusive of services including water, power, gas, sewage disposal, garbage removal, and property taxes, but excluding telephone and other communication service.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Attached to the agreement, although not formally incorporated into the agreement by any reference, is a page entitled "Merritt Flying Club-Justification of Payment for Day Rate". This page set out itemized costs stated to be obtained from MFC for night security, janitorial services, rental of building, refuelling supplied by certified fueller (specified as $500 per day), and use of tarmac for helicopter parking fees.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August 8, 2009, Mr. Gordon and the Ministry Fire Boss signed an amendment to the Occupancy Agreement to terminate the $500 per day refuelling services, with the amendment stating this was "due to removal of service requirements for fire K61231". (The original agreement is undated, but is referred to in the amending agreement as "dated for reference the 2nd day of August"). Mr. Gordon's testimony was that the same refuelling services (primarily the "hot-fuelling" he described) were provided throughout the term, but the fee had been initially set at $1,000 per day to compensate him for seven days of services provided before the August 2, 2009 commencement date of the formal agreement. Consistent with the documentation, Mr. Gordon invoiced for August 2 to August 8 inclusive at $1,000 a day describing the services as "Merritt Airport Helibase staging, refuelling, pilot day staging, security". From August 9 through September 2, 2009, the services described on his invoices did not include refuelling, and were invoiced at $500 per 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Several questions were left unanswered by the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is unclear why Mr. Gordon sought payment from the Ministry for what he stated was his "purely voluntary" work for helicopter companies in July 2009, and unclear why the Ministry agreed to pay for that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is unclear why the Ministry did not simply draft the original agreement to provide that it would take effect from the date that Mr. Gordon says he started providing the services he described, rather than go through what would be, according to Mr. Gordon's explanation, a fictional exercise or ruse of double payment for seven days.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is also unclear why Mr. Gordon omitted any reference to refuelling in his invoicing for services after August 8, 2009, which he described as a very significant part of his ongoing services throughout the term of his services.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form and content of the agreement is wholly inconsistent with Mr. Gordon's explanation that the MFC was inserted as the grantor because he did not have enough time to set up a bank account for his company and he made a "snap decision" to use the MFC fuel account as a conduit for payment. Mr. Gordon's evidence that he was told that the Ministry could not pay him as an individual unless he had a company or business name attached to a bank account does not make sense. The Occupancy Agreement would not make any sense with the grantor simply being any company or business with a bank account. The grantor in an Occupancy Agreement of the form presented logically had to be an entity empowered to grant occupancy. Neither Mr. Gordon personally nor any private corporation controlled by him would have met the grantor's qualifications that were set out in the preamble to the Occupancy Agreement, and it would obviously have been false to make that representation.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While the MFC did not own the lands described, which are apparently owned by the City, the MFC was an overholding tenant of a portion of the premises, which I infer would have been affected by a Ministry take-over and closure of the airport. The City was probably the only truly qualified grantor to the Occupancy Agreement in the form prepared, but the MFC was a legal entity that ostensibly had some occupancy rights to grant, and the MFC was also the official collector of airport parking fees on behalf of the City. The MFC was also the entity operating the fueling facility, although no contract would have been required to take advantage of its self-serve supply.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Gordon's confidently stated assertion that he was not exposing the flying club to any liability whatsoever by entering into the agreement on its behalf is clearly wrong. Notwithstanding his assertion that his intention was to simply use the MFC fuel account as a conduit for payment, he signed the agreement on behalf of the MFC.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agreement was intended to include Mr. Gordon's refuelling services according to his testimony and the reference to certified fueller on the "justification of day rate" page. Mr. Gordon was using the MFC's fuel facility of which he had been solely in charge since 1998 on behalf of MFC. Paragraph 1(h) of the agreement provides generally that the Crown would indemnify and save harmless the grantor from and against any and all losses, claims, damages, actions, causes of action, costs and expenses, but it specifically excepts "liability arising out of the acts or omissions of the grantor, its employees, agents, invitees, licensees, permitees or contractors".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Gordon did not refute Mr. Fox's evidence that one reason that the fueling was a self-serve operation was to minimize liability and liability insurance costs. Mr. Gordon's evidence was that there are extra risks associated with hot-fueling helicopters; that was the reason for the agreement requiring a certified refueller. He agreed that an accident on refuelling could result in fatalities.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Clearly, if there had been an incident of loss from his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while "hot-fuelling" aircraft, the MFC would have been at risk of a claim in an area of operations that the flying club had deliberately avoided in the past by setting up the self-serve system.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Gordon signed the Occupancy Agreement on behalf of the MFC without any prior consultation with any of the other four directors, and there was no subsequent ratification by the directors. Later in 2009, following the term of the agreement, Mr. Gordon did advise two of the other directors that he had provided services for the Ministry and passed the money through the MFC fuel account. These former directors testified that they understood Mr. Gordon had made a private deal and used the fuel account, but were not aware of the fact of the MFC being a party to an agreement or of the details of the invoicing. Both of these former directors disagreed with the plaintiff bringing this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early 2010, Mr. Gordon was deposed as a director and as the club president; the number of directors of MFC was reduced from five to three, and three new directors were elected, namely Messrs. Fox, Graham, and Jackson. Mr. Fox was elected as President. Ms. McLean was let go as the bookkeeper.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Gordon called a meeting for February 17, 2010, which he described in an email to Mr. Fox dated January 31, 2010, as a meeting for some of the "old time" members to discuss some issues, and "NOT a regular club meeting". The evidence on the timing of the take-over of the club executive in relation to the February 17, 2010 meeting is vague and confusing. I say this because during cross-examination, Mr. Fox agreed that when the meeting occurred, there were five people present and that Mr. Graham and Mr. Jackson and he represented the new executive and Mr. Gordon and Brian Cave represented the former directors. This would suggest that the take-over had already occurred. Mr. Gordon testified that he called the meeting (specifically inviting Mr. Fox and Mr. Cave and two others who declined) to discuss declining membership and the problem that they may not be able to muster five directors. This would suggest that the constitutional change to three directors had not yet occurred. Mr. Gordon's disagreement with that constitutional change being made without a full meeting of all members was the reason behind his resignation on March 21, 2010, according to his testimony, which also suggests that the change occurred after February 17, 2010. Another confusing element is that Mr. Gordon testified that Mr. Fox had his own copy of the Occupancy Agreement Amendment at the February 17 meeting, which he would not have received before becoming a director. (Mr. Fox does not believe he had a copy of the agreement at that meeting).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evidence of Mr. Fox and Mr. Gordon conflicts as to the extent and nature of the discussions at the February 17, 2010 meeting on the topic of remuneration received by Mr. Gordon in connection with the Occupancy Agreement between the flying club and the Ministry, which later became the subject of a complaint by the MFC to the RCMP, and then this action. According to Mr. Gordon, he informed those present that he had made some money for himself and for the club with the contract with the Ministry during the 2009 forest fire in the Merritt area. He says that Mr. Fox and Mr. Graham were upset, with Mr. Fox being upset because he was not invited to a barbecue during the event as a club member, and Mr. Graham being adamant that what Mr. Gordon had done in making money himself was illegal unless he declared the income and paid income tax.</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It does not appear that Mr. Gordon mentioned specific amounts that he had received personally, although Mr. Graham's reported reaction, if it occurred, makes it clear that Mr. Gordon reported receiving personal remuneration. Mr. Graham did not testify. Mr. Fox testified that when Mr. Gordon told them he had received one cheque and was expecting another, he understood him to be referring to payments to the MFC from the Ministry, rather than payments to Mr. Gordon from the fuel account.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new directors examined the books of account and became aware for the first time of two specific payments made from the fuel account to Mr. Gordon totalling $20,427.51. These payments were made by way of cheques for $12,000 and $8,427.51 dated October 1, 2009 and February 14, 2010 respectively.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Documents which Mr. Fox testified were obtained later in 2010 included two invoices issued to Kamloops Fire Centre and Wildfire Management Branch, in the amounts of $12,000 and $7500 and dated August 18, 2009 and September 2, 2009 respectively, and records of payment of these invoices by the Province of British Columbia. These invoices were in a form which Mr. Fox testified were not used by the MFC. The invoice headers included both the MFC name and Mr. Gordon's name, with the latter being in bold font approximately twice as large as the font used for the MFC name. The invoices referenced an Occupancy Agreement, Ministry Contract No: PT5010883889.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These new directors subsequently authorized this action against Mr. Gordon, claiming conversion and breach of fiduciary duty on his part in connection with the funds he received from the MFC's fuel account.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MFC received a considerable financial benefit in the form of significantly increased fuel sales during the 2009 fire season. Whereas the annual profit from fuel sales had averaged $30,917.94 over the prior three years, the MFC made a profit from fuel sales in 2009 of $159,693.37, due to the increased traffic at the airport. The Occupancy Agreement's "Justification of Payment for Day Rate" page actually referred to the MFC providing fuel at cost, but fuel was invoiced separately without reference to that agreement.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There is no dispute on the question of whether Mr. Gordon owed the MFC a fiduciary duty, as a director and officer. Mr. Gordon concedes that he had fiduciary and statutory duties to the MFC at all applicable times. Mr. Gordon's principal argument is that his actions were outside of and independent of his roles as an officer and director. He argues that his engagement by the Ministry was for personal services and was not in breach of any of his fiduciary or statutory duties, and actually benefitted the MFC because of the greatly increased fuel sales and the profit therefrom. He asserts that he acted honestly and in good faith and in the best interests of the plaintiff society.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plaintiff's position is that Mr. Gordon signed the Occupancy Agreement on behalf of the MFC; that he invoiced the Ministry on behalf of the MFC; that the MFC received payment under the agreement; that Mr. Gordon is a director and as such is prohibited by the MFC constitution and bylaws from being remunerated and, therefore, his payments to himself from the fuel account amounts to conversion of funds belonging to the MFC.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MFC constitution and by-laws, specifically Article 30, prohibit a director from being "remunerated for being or acting as a director". However, that would not preclude the remuneration of someone as an employee or contractor simply because that person was also a director. The MFC had in fact paid Mr. Gordon an annual administration fee for many years for his oversight of the fuel sales operation.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respect of the claim for conversion, the defendant does not argue that he compensated himself as an employee or contractor, but simply argues that the funds received from the Ministry were not the property of the plaintiff and were passed through MFC's fuel account for the sole purpose of remunerating him under his contract with the Ministry.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It is to be noted that the plaintiff did not plead s. 28 of the </w:t>
      </w:r>
      <w:r>
        <w:rPr>
          <w:rFonts w:ascii="arial" w:eastAsia="arial" w:hAnsi="arial" w:cs="arial"/>
          <w:i/>
          <w:color w:val="000000"/>
          <w:sz w:val="20"/>
          <w:lang w:val="en-US" w:eastAsia="en-US" w:bidi="ar-SA"/>
        </w:rPr>
        <w:t>Society Act</w:t>
      </w:r>
      <w:r>
        <w:rPr>
          <w:rFonts w:ascii="arial" w:eastAsia="arial" w:hAnsi="arial" w:cs="arial"/>
          <w:color w:val="000000"/>
          <w:sz w:val="20"/>
          <w:lang w:val="en-US" w:eastAsia="en-US" w:bidi="ar-SA"/>
        </w:rPr>
        <w:t xml:space="preserve">, </w:t>
      </w:r>
      <w:hyperlink r:id="rId861" w:history="1">
        <w:r>
          <w:rPr>
            <w:rFonts w:ascii="arial" w:eastAsia="arial" w:hAnsi="arial" w:cs="arial"/>
            <w:i/>
            <w:color w:val="0077CC"/>
            <w:sz w:val="20"/>
            <w:u w:val="single"/>
            <w:shd w:val="clear" w:color="auto" w:fill="FFFFFF"/>
            <w:lang w:val="en-US" w:eastAsia="en-US" w:bidi="ar-SA"/>
          </w:rPr>
          <w:t>R.S.B.C. 1996, c. 433</w:t>
        </w:r>
      </w:hyperlink>
      <w:r>
        <w:rPr>
          <w:rFonts w:ascii="arial" w:eastAsia="arial" w:hAnsi="arial" w:cs="arial"/>
          <w:color w:val="000000"/>
          <w:sz w:val="20"/>
          <w:lang w:val="en-US" w:eastAsia="en-US" w:bidi="ar-SA"/>
        </w:rPr>
        <w:t xml:space="preserve">, (which effectively provides that a director who is interested in a contract involving the society must account to the society for profit made as a consequence of the society entering a proposed contract, unless certain criteria are satisfied), and did not invoke that section in argument, therefore, I do not consider it appropriate to discuss the defendant's suggestion that the court has discretion under s. 29(c) of the </w:t>
      </w:r>
      <w:r>
        <w:rPr>
          <w:rFonts w:ascii="arial" w:eastAsia="arial" w:hAnsi="arial" w:cs="arial"/>
          <w:i/>
          <w:color w:val="000000"/>
          <w:sz w:val="20"/>
          <w:lang w:val="en-US" w:eastAsia="en-US" w:bidi="ar-SA"/>
        </w:rPr>
        <w:t>Society Act</w:t>
      </w:r>
      <w:r>
        <w:rPr>
          <w:rFonts w:ascii="arial" w:eastAsia="arial" w:hAnsi="arial" w:cs="arial"/>
          <w:color w:val="000000"/>
          <w:sz w:val="20"/>
          <w:lang w:val="en-US" w:eastAsia="en-US" w:bidi="ar-SA"/>
        </w:rPr>
        <w:t xml:space="preserve"> to void any obligation to account. In my view s.29 of the </w:t>
      </w:r>
      <w:r>
        <w:rPr>
          <w:rFonts w:ascii="arial" w:eastAsia="arial" w:hAnsi="arial" w:cs="arial"/>
          <w:i/>
          <w:color w:val="000000"/>
          <w:sz w:val="20"/>
          <w:lang w:val="en-US" w:eastAsia="en-US" w:bidi="ar-SA"/>
        </w:rPr>
        <w:t>Society Act</w:t>
      </w:r>
      <w:r>
        <w:rPr>
          <w:rFonts w:ascii="arial" w:eastAsia="arial" w:hAnsi="arial" w:cs="arial"/>
          <w:color w:val="000000"/>
          <w:sz w:val="20"/>
          <w:lang w:val="en-US" w:eastAsia="en-US" w:bidi="ar-SA"/>
        </w:rPr>
        <w:t xml:space="preserve"> should not be applied independently of s. 28.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puts forth an alternative argument that in the event that the court finds that Mr. Gordon had a personal contract with the Ministry, this amounted to the taking of a corporate opportunity from the MFC and, as such, a breach of his fiduciary and statutory duty to act in the best interests of the club.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my assessment, Mr. Gordon's actions do not constitute conversion and were not intended to deprive the plaintiff of funds rightfully belonging to the MFC or of any corporate opportunity available to the MFC. His use of the MFC name on the contract and in invoicing and his use of the fuel account to receive his remuneration certainly supports the interpretation sought by the plaintiff, but at the end of the day I find that his impropriety consisted of the misuse of the MFC name, bank account facility, and legal status, rather than of any assets or opportunities rightfully belonging to the MFC.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Occupancy Agreement presented by the Ministry was in a form that obviously did not accurately or fully describe, in its title or in its boilerplate text portion, what was being supplied and paid for. The most relevant part of the agreement is the final page entitled "Justification of Payment of Day Rate", which itemized services which MFC did not in the normal course provide, and which were subsequently provided solely by Mr. Gordon. Although, as previously noted, MFC had some occupancy rights at the airport, which may have been the reason the Ministry selected the particular form, the City would be the more appropriate party to be named as the grantor of occupancy rights.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fact that the agreement was first presented without a grantor's name indicates that there was no settled intention on the part of the Ministry to contract specifically with the MFC. It also suggests to me that there had been no specific discussion of the MFC being a named party when the terms were orally discussed by Mr. Gordon and the Fire Boss.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 did not find the testimony of either Mr. Gordon or Ms. McLean very reliable or helpful in respect of their understanding about why the Ministry wanted the grantor in the agreement to be a legal entity with a bank account, rather than Mr. Gordon as an individual, but I accept as a fact that the real contracting entity was Mr. Gordon by virtue of his standing as the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unpaid airport manager. The MFC only became a party as an accommodation by Mr. Gordon's decision to use the MFC name and bank account, as a result of his understanding of what the Ministry was asking for or suggesting. Mr. Gordon may not have accurately understood or even cared to inquire as to the reason for the Ministry's requirements, considering his attitude and stated belief that I have described in para. 12 above.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Mr. Gordon's failure to consider the potential liability he was exposing the MFC to by signing the Occupancy Agreement ostensibly on behalf of the MFC, not only for liability under the contract, but for vicarious liability for his own actions as the MFC's servant or agent, strikes me as a failure to exercise the care and diligence required of directors under s. 25 of the </w:t>
      </w:r>
      <w:r>
        <w:rPr>
          <w:rFonts w:ascii="arial" w:eastAsia="arial" w:hAnsi="arial" w:cs="arial"/>
          <w:i/>
          <w:color w:val="000000"/>
          <w:sz w:val="20"/>
          <w:lang w:val="en-US" w:eastAsia="en-US" w:bidi="ar-SA"/>
        </w:rPr>
        <w:t>Society Act</w:t>
      </w:r>
      <w:r>
        <w:rPr>
          <w:rFonts w:ascii="arial" w:eastAsia="arial" w:hAnsi="arial" w:cs="arial"/>
          <w:color w:val="000000"/>
          <w:sz w:val="20"/>
          <w:lang w:val="en-US" w:eastAsia="en-US" w:bidi="ar-SA"/>
        </w:rPr>
        <w:t xml:space="preserve"> and by virtue of their fiduciary duty. It seems that Mr. Gordon's long tenure as president and as the director performing the lion's share of the directors' duties and the club's fuel business for many years, may have led him into complacency in distinguishing the society's interests from his 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Fortunately, there were no accidents, and no liability accrued to the MFC, so there is no loss to compensate with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plaintiff's alternate claim under the head of taking away a corporate opportunity is without merit, in my view. The MFC was, according to Mr. Fox's testimony, not in the business of providing refuelling services, security services or janitorial services, but rather was in the sole business of providing a self-service fuel station. The self-serve format was a matter of long-established policy, and it is perfectly reasonable to infer that the directors of the MFC would not want to change that policy, hire certified refuellers and other personnel to take advantage of a short-term opportunity where the only added value would be labour, and the only profit would be whatever mark-up could be charged on the labour supplied. With $500 being paid for an 18-hour day, I doubt that there could be any realizable profit.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plaintiff's claim for damages is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parties asked me to defer ruling on costs. If a hearing is necessary, the parties may contact the Supreme Court Scheduler in that regard.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I.C. MEIKLEM J.</w:t>
      </w:r>
      <w:r>
        <w:rPr>
          <w:lang w:val="en-US" w:eastAsia="en-US" w:bidi="ar-SA"/>
        </w:rPr>
        <w:cr/>
      </w:r>
    </w:p>
    <w:p>
      <w:pPr>
        <w:rPr>
          <w:lang w:val="en-US" w:eastAsia="en-US" w:bidi="ar-SA"/>
        </w:rPr>
      </w:pPr>
    </w:p>
    <w:p>
      <w:pPr>
        <w:ind w:left="200"/>
        <w:rPr>
          <w:lang w:val="en-US" w:eastAsia="en-US" w:bidi="ar-SA"/>
        </w:rPr>
      </w:pPr>
      <w:r>
        <w:rPr>
          <w:lang w:val="en-US" w:eastAsia="en-US" w:bidi="ar-SA"/>
        </w:rPr>
        <w:br/>
      </w:r>
      <w:r>
        <w:pict>
          <v:line id="_x0000_s1267" style="position:absolute;z-index:251900928"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0782484 B.C. Ltd. v. E-Pro Enterprises Inc., [2017] B.C.J. No. 2485</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1043325 Ontario Ltd. v. CSA Building Sciences Western Ltd., [2014] B.C.J. No. 1375</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Aker Kvaerner Canada Inc. v. Twardowski, [2010] B.C.J. No. 1613</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Alibhai v. Royal Bank of Canada, [2004] B.C.J. No. 2165</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Bell Pole Co. v. Commonwealth Insurance Co., [2000] B.C.J. No. 720</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Braun v. Whistler Mountain Resort Limited Partnership, [2016] B.C.J. No. 2528</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Briman Management Ltd. v. Solehdin, [2019] B.C.J. No. 2186</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Columbia (Attorney General) v. Malik, [2009] B.C.J. No. 888</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Columbia Society for the Prevention of Cruelty to Animals v. Baker, [2008] B.C.J. No. 1635</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Columbia v. CTS Cement Manufacturing Corp., [2001] B.C.J. No. 2595</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Brown v. Canada (Attorney General), [2015] B.C.J. No. 2269</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Bruno v. Canada, [2000] B.C.J. No. 281</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Buksh v. Dominion Lending Drake Entrust Mortgage Services Ltd., [2017] B.C.J. No. 121</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Cameron v. Insurance Corp. of British Columbia, [2000] B.C.J. No. 99</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C.A.M.J.R. v. P.R.S., [2001] B.C.J. No. 2280</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Canadian Union of Public Employees, Local 561 v. British Columbia (Labour Relations Board), [2005] B.C.J. No. 2082</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Cecile v. Capri Insurance Services Ltd., [2017] B.C.J. No. 2415</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Chiang v. Medland, [2014] B.C.J. No. 771</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Choi v. Kansas Enterprises Ltd., [2014] B.C.J. No. 2896</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Credit Suisse AG v.Great Basin Gold Ltd., [2015] B.C.J. No. 1474</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Dewar v. Crossland, [2018] B.C.J. No. 3017</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Dhaliwal v. Insurance Corp. of British Columbia, [2001] B.C.J. No. 2266</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Lands and Structures situated at #TH22 - 1281 Cordova Street West Vancouver, British Columbia, PI No. 026-130-581 (In Rem) v. Hobbs , Civil Forfeiture Action in....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D.L.M. v. Battle, [2005] B.C.J. No. 2310</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L.D. v. G.P., [2001] B.C.J. No. 2582</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Ezer v. Syrjala, [2005] B.C.J. No. 2537</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Fibercom Systems Inc. v. Rogers Cable Inc., [2005] B.C.J. No. 1011</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Fill-More Seeds Inc. v. Victoria Seeds Inc., [2009] B.C.J. No. 2541</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Foote v. Canada (Attorney General), [2012] B.C.J. No. 2432</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Forliti (Guardian ad litem of) v. Woolley, [2003] B.C.J. No. 168</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Gearbulk Pool Ltd. v. Seaboard Shipping Co. (c.o.b. Seaboard International Shipping Co.), [2006] B.C.J. No. 301</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Gigliotti v. Masev Communications Inc., [2004] B.C.J. No. 94</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Gill v. Yahoo! Canada Co., [2018] B.C.J. No. 331</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Haider v. Canada, [2007] B.C.J. No. 1154</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Haight-Smith v. Morelli Chertkow, [2002] B.C.J. No. 3325</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Hamfeldt v. Dooling, [2003] B.C.J. No. 586</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Huang v. Silvercorp Metals Inc., [2016] B.C.J. No. 1336</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Hunter West Consulting Group Inc. v. 0748697 B.C. Ltd., [2017] B.C.J. No. 2582</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Industrial Wood and Allied Workers of Canada - Forest Industry Ltd. Plan v. Bhullar, [2008] B.C.J. No. 243</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Insurance Corp. of British Columbia v. Husseinian, [2008] B.C.J. No. 333</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Insurance Corp. of British Columbia v. Phung, [2003] B.C.J. No. 1936</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Joba v. Basant Holdings Ltd. (c.o.b. Basant Motors), [2013] B.C.J. No. 1792</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Kashani v. Dhalla, [2001] B.C.J. No. 2880</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Kent v. Translink, [2016] B.C.J. No. 246</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Lang v. Lapp, [2009] B.C.J. No. 954</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Lang v. Lapp, [2015] B.C.J. No. 2187</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Longva v. Phan, [2007] B.C.J. No. 1035</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Maxwell v. Schwann, [2006] B.C.J. No. 743</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McIntosh v. Carr, [2009] B.C.J. No. 1170</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Merritt Flying Club v. Gordon, [2015] B.C.J. No. 2467</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6"/>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9"/>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1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1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1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1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1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1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7"/>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8"/>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2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2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5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3"/>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lowerRoman"/>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i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iv)"/>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v)"/>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v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v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1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17."/>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18."/>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1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2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2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1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6"/>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232(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0"/>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2"/>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3"/>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4"/>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23"/>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decimal"/>
      <w:lvlText w:val="(x)"/>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7"/>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lowerRoman"/>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decimal"/>
      <w:lvlText w:val="(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2"/>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3"/>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4"/>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5"/>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6"/>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1C12E21"/>
    <w:multiLevelType w:val="multilevel"/>
    <w:tmpl w:val="00000001"/>
    <w:lvl w:ilvl="0">
      <w:start w:val="1"/>
      <w:numFmt w:val="decimal"/>
      <w:lvlText w:val="(27)"/>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27B5C03"/>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29B991D"/>
    <w:multiLevelType w:val="multilevel"/>
    <w:tmpl w:val="00000001"/>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62B8155"/>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766C27A"/>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9353C8C"/>
    <w:multiLevelType w:val="multilevel"/>
    <w:tmpl w:val="00000001"/>
    <w:lvl w:ilvl="0">
      <w:start w:val="1"/>
      <w:numFmt w:val="decimal"/>
      <w:lvlText w:val="19(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9DC06D5"/>
    <w:multiLevelType w:val="multilevel"/>
    <w:tmpl w:val="00000001"/>
    <w:lvl w:ilvl="0">
      <w:start w:val="1"/>
      <w:numFmt w:val="decimal"/>
      <w:lvlText w:val="(2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A72B480"/>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16F590B1"/>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1A3F6637"/>
    <w:multiLevelType w:val="multilevel"/>
    <w:tmpl w:val="00000001"/>
    <w:lvl w:ilvl="0">
      <w:start w:val="1"/>
      <w:numFmt w:val="decimal"/>
      <w:lvlText w:val="1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1B39151B"/>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1ECDBB53"/>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27BD41CA"/>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27E903BD"/>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2A0DF36F"/>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2C5DCB1B"/>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365FBD79"/>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36A2E81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3D9460F9"/>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4843FDCB"/>
    <w:multiLevelType w:val="multilevel"/>
    <w:tmpl w:val="00000001"/>
    <w:lvl w:ilvl="0">
      <w:start w:val="1"/>
      <w:numFmt w:val="decimal"/>
      <w:lvlText w:val="1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4D818DCF"/>
    <w:multiLevelType w:val="multilevel"/>
    <w:tmpl w:val="00000001"/>
    <w:lvl w:ilvl="0">
      <w:start w:val="1"/>
      <w:numFmt w:val="upp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4F20E3AF"/>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50850081"/>
    <w:multiLevelType w:val="multilevel"/>
    <w:tmpl w:val="00000001"/>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517B28F3"/>
    <w:multiLevelType w:val="multilevel"/>
    <w:tmpl w:val="00000001"/>
    <w:lvl w:ilvl="0">
      <w:start w:val="1"/>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51FAA1F3"/>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58C46373"/>
    <w:multiLevelType w:val="multilevel"/>
    <w:tmpl w:val="00000001"/>
    <w:lvl w:ilvl="0">
      <w:start w:val="1"/>
      <w:numFmt w:val="decimal"/>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599FD4E0"/>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5C499D87"/>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5CD4405A"/>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5E804657"/>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63591517"/>
    <w:multiLevelType w:val="multilevel"/>
    <w:tmpl w:val="00000001"/>
    <w:lvl w:ilvl="0">
      <w:start w:val="1"/>
      <w:numFmt w:val="decimal"/>
      <w:lvlText w:val="(2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64127FC4"/>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6594A493"/>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697391F0"/>
    <w:multiLevelType w:val="multilevel"/>
    <w:tmpl w:val="00000001"/>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69DDEE4A"/>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717D8D42"/>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7445EF52"/>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7E2C84AE"/>
    <w:multiLevelType w:val="multilevel"/>
    <w:tmpl w:val="00000001"/>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7E2D6229"/>
    <w:multiLevelType w:val="multilevel"/>
    <w:tmpl w:val="00000001"/>
    <w:lvl w:ilvl="0">
      <w:start w:val="1"/>
      <w:numFmt w:val="decimal"/>
      <w:lvlText w:val="(1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13"/>
  </w:num>
  <w:num w:numId="15">
    <w:abstractNumId w:val="13"/>
  </w:num>
  <w:num w:numId="16">
    <w:abstractNumId w:val="14"/>
  </w:num>
  <w:num w:numId="17">
    <w:abstractNumId w:val="15"/>
  </w:num>
  <w:num w:numId="18">
    <w:abstractNumId w:val="16"/>
  </w:num>
  <w:num w:numId="19">
    <w:abstractNumId w:val="17"/>
  </w:num>
  <w:num w:numId="20">
    <w:abstractNumId w:val="18"/>
  </w:num>
  <w:num w:numId="21">
    <w:abstractNumId w:val="19"/>
  </w:num>
  <w:num w:numId="22">
    <w:abstractNumId w:val="20"/>
  </w:num>
  <w:num w:numId="23">
    <w:abstractNumId w:val="21"/>
  </w:num>
  <w:num w:numId="24">
    <w:abstractNumId w:val="22"/>
  </w:num>
  <w:num w:numId="25">
    <w:abstractNumId w:val="23"/>
  </w:num>
  <w:num w:numId="26">
    <w:abstractNumId w:val="24"/>
  </w:num>
  <w:num w:numId="27">
    <w:abstractNumId w:val="25"/>
  </w:num>
  <w:num w:numId="28">
    <w:abstractNumId w:val="26"/>
  </w:num>
  <w:num w:numId="29">
    <w:abstractNumId w:val="27"/>
  </w:num>
  <w:num w:numId="30">
    <w:abstractNumId w:val="28"/>
  </w:num>
  <w:num w:numId="31">
    <w:abstractNumId w:val="29"/>
  </w:num>
  <w:num w:numId="32">
    <w:abstractNumId w:val="30"/>
  </w:num>
  <w:num w:numId="33">
    <w:abstractNumId w:val="31"/>
  </w:num>
  <w:num w:numId="34">
    <w:abstractNumId w:val="32"/>
  </w:num>
  <w:num w:numId="35">
    <w:abstractNumId w:val="33"/>
  </w:num>
  <w:num w:numId="36">
    <w:abstractNumId w:val="34"/>
  </w:num>
  <w:num w:numId="37">
    <w:abstractNumId w:val="35"/>
  </w:num>
  <w:num w:numId="38">
    <w:abstractNumId w:val="36"/>
  </w:num>
  <w:num w:numId="39">
    <w:abstractNumId w:val="37"/>
  </w:num>
  <w:num w:numId="40">
    <w:abstractNumId w:val="38"/>
  </w:num>
  <w:num w:numId="41">
    <w:abstractNumId w:val="39"/>
  </w:num>
  <w:num w:numId="42">
    <w:abstractNumId w:val="40"/>
  </w:num>
  <w:num w:numId="43">
    <w:abstractNumId w:val="41"/>
  </w:num>
  <w:num w:numId="44">
    <w:abstractNumId w:val="42"/>
  </w:num>
  <w:num w:numId="45">
    <w:abstractNumId w:val="43"/>
  </w:num>
  <w:num w:numId="46">
    <w:abstractNumId w:val="44"/>
  </w:num>
  <w:num w:numId="47">
    <w:abstractNumId w:val="45"/>
  </w:num>
  <w:num w:numId="48">
    <w:abstractNumId w:val="46"/>
  </w:num>
  <w:num w:numId="49">
    <w:abstractNumId w:val="47"/>
  </w:num>
  <w:num w:numId="50">
    <w:abstractNumId w:val="48"/>
  </w:num>
  <w:num w:numId="51">
    <w:abstractNumId w:val="49"/>
  </w:num>
  <w:num w:numId="52">
    <w:abstractNumId w:val="50"/>
  </w:num>
  <w:num w:numId="53">
    <w:abstractNumId w:val="51"/>
  </w:num>
  <w:num w:numId="54">
    <w:abstractNumId w:val="52"/>
  </w:num>
  <w:num w:numId="55">
    <w:abstractNumId w:val="53"/>
  </w:num>
  <w:num w:numId="56">
    <w:abstractNumId w:val="54"/>
  </w:num>
  <w:num w:numId="57">
    <w:abstractNumId w:val="55"/>
  </w:num>
  <w:num w:numId="58">
    <w:abstractNumId w:val="56"/>
  </w:num>
  <w:num w:numId="59">
    <w:abstractNumId w:val="57"/>
  </w:num>
  <w:num w:numId="60">
    <w:abstractNumId w:val="58"/>
  </w:num>
  <w:num w:numId="61">
    <w:abstractNumId w:val="59"/>
  </w:num>
  <w:num w:numId="62">
    <w:abstractNumId w:val="60"/>
  </w:num>
  <w:num w:numId="63">
    <w:abstractNumId w:val="61"/>
  </w:num>
  <w:num w:numId="64">
    <w:abstractNumId w:val="62"/>
  </w:num>
  <w:num w:numId="65">
    <w:abstractNumId w:val="63"/>
  </w:num>
  <w:num w:numId="66">
    <w:abstractNumId w:val="64"/>
  </w:num>
  <w:num w:numId="67">
    <w:abstractNumId w:val="65"/>
  </w:num>
  <w:num w:numId="68">
    <w:abstractNumId w:val="66"/>
  </w:num>
  <w:num w:numId="69">
    <w:abstractNumId w:val="67"/>
  </w:num>
  <w:num w:numId="70">
    <w:abstractNumId w:val="68"/>
  </w:num>
  <w:num w:numId="71">
    <w:abstractNumId w:val="69"/>
  </w:num>
  <w:num w:numId="72">
    <w:abstractNumId w:val="70"/>
  </w:num>
  <w:num w:numId="73">
    <w:abstractNumId w:val="71"/>
  </w:num>
  <w:num w:numId="74">
    <w:abstractNumId w:val="72"/>
  </w:num>
  <w:num w:numId="75">
    <w:abstractNumId w:val="73"/>
  </w:num>
  <w:num w:numId="76">
    <w:abstractNumId w:val="74"/>
  </w:num>
  <w:num w:numId="77">
    <w:abstractNumId w:val="127"/>
  </w:num>
  <w:num w:numId="78">
    <w:abstractNumId w:val="118"/>
  </w:num>
  <w:num w:numId="79">
    <w:abstractNumId w:val="139"/>
  </w:num>
  <w:num w:numId="80">
    <w:abstractNumId w:val="110"/>
  </w:num>
  <w:num w:numId="81">
    <w:abstractNumId w:val="108"/>
  </w:num>
  <w:num w:numId="82">
    <w:abstractNumId w:val="116"/>
  </w:num>
  <w:num w:numId="83">
    <w:abstractNumId w:val="103"/>
  </w:num>
  <w:num w:numId="84">
    <w:abstractNumId w:val="104"/>
  </w:num>
  <w:num w:numId="85">
    <w:abstractNumId w:val="122"/>
  </w:num>
  <w:num w:numId="86">
    <w:abstractNumId w:val="117"/>
  </w:num>
  <w:num w:numId="87">
    <w:abstractNumId w:val="107"/>
  </w:num>
  <w:num w:numId="88">
    <w:abstractNumId w:val="123"/>
  </w:num>
  <w:num w:numId="89">
    <w:abstractNumId w:val="140"/>
  </w:num>
  <w:num w:numId="90">
    <w:abstractNumId w:val="124"/>
  </w:num>
  <w:num w:numId="91">
    <w:abstractNumId w:val="119"/>
  </w:num>
  <w:num w:numId="92">
    <w:abstractNumId w:val="121"/>
  </w:num>
  <w:num w:numId="93">
    <w:abstractNumId w:val="106"/>
  </w:num>
  <w:num w:numId="94">
    <w:abstractNumId w:val="134"/>
  </w:num>
  <w:num w:numId="95">
    <w:abstractNumId w:val="131"/>
  </w:num>
  <w:num w:numId="96">
    <w:abstractNumId w:val="125"/>
  </w:num>
  <w:num w:numId="97">
    <w:abstractNumId w:val="105"/>
  </w:num>
  <w:num w:numId="98">
    <w:abstractNumId w:val="130"/>
  </w:num>
  <w:num w:numId="99">
    <w:abstractNumId w:val="138"/>
  </w:num>
  <w:num w:numId="100">
    <w:abstractNumId w:val="132"/>
  </w:num>
  <w:num w:numId="101">
    <w:abstractNumId w:val="120"/>
  </w:num>
  <w:num w:numId="102">
    <w:abstractNumId w:val="114"/>
  </w:num>
  <w:num w:numId="103">
    <w:abstractNumId w:val="111"/>
  </w:num>
  <w:num w:numId="104">
    <w:abstractNumId w:val="129"/>
  </w:num>
  <w:num w:numId="105">
    <w:abstractNumId w:val="109"/>
  </w:num>
  <w:num w:numId="106">
    <w:abstractNumId w:val="75"/>
  </w:num>
  <w:num w:numId="107">
    <w:abstractNumId w:val="76"/>
  </w:num>
  <w:num w:numId="108">
    <w:abstractNumId w:val="77"/>
  </w:num>
  <w:num w:numId="109">
    <w:abstractNumId w:val="78"/>
  </w:num>
  <w:num w:numId="110">
    <w:abstractNumId w:val="79"/>
  </w:num>
  <w:num w:numId="111">
    <w:abstractNumId w:val="80"/>
  </w:num>
  <w:num w:numId="112">
    <w:abstractNumId w:val="81"/>
  </w:num>
  <w:num w:numId="113">
    <w:abstractNumId w:val="82"/>
  </w:num>
  <w:num w:numId="114">
    <w:abstractNumId w:val="83"/>
  </w:num>
  <w:num w:numId="115">
    <w:abstractNumId w:val="84"/>
  </w:num>
  <w:num w:numId="116">
    <w:abstractNumId w:val="85"/>
  </w:num>
  <w:num w:numId="117">
    <w:abstractNumId w:val="86"/>
  </w:num>
  <w:num w:numId="118">
    <w:abstractNumId w:val="87"/>
  </w:num>
  <w:num w:numId="119">
    <w:abstractNumId w:val="88"/>
  </w:num>
  <w:num w:numId="120">
    <w:abstractNumId w:val="89"/>
  </w:num>
  <w:num w:numId="121">
    <w:abstractNumId w:val="90"/>
  </w:num>
  <w:num w:numId="122">
    <w:abstractNumId w:val="91"/>
  </w:num>
  <w:num w:numId="123">
    <w:abstractNumId w:val="92"/>
  </w:num>
  <w:num w:numId="124">
    <w:abstractNumId w:val="93"/>
  </w:num>
  <w:num w:numId="125">
    <w:abstractNumId w:val="94"/>
  </w:num>
  <w:num w:numId="126">
    <w:abstractNumId w:val="95"/>
  </w:num>
  <w:num w:numId="127">
    <w:abstractNumId w:val="96"/>
  </w:num>
  <w:num w:numId="128">
    <w:abstractNumId w:val="97"/>
  </w:num>
  <w:num w:numId="129">
    <w:abstractNumId w:val="98"/>
  </w:num>
  <w:num w:numId="130">
    <w:abstractNumId w:val="99"/>
  </w:num>
  <w:num w:numId="131">
    <w:abstractNumId w:val="100"/>
  </w:num>
  <w:num w:numId="132">
    <w:abstractNumId w:val="101"/>
  </w:num>
  <w:num w:numId="133">
    <w:abstractNumId w:val="115"/>
  </w:num>
  <w:num w:numId="134">
    <w:abstractNumId w:val="136"/>
  </w:num>
  <w:num w:numId="135">
    <w:abstractNumId w:val="112"/>
  </w:num>
  <w:num w:numId="136">
    <w:abstractNumId w:val="133"/>
  </w:num>
  <w:num w:numId="137">
    <w:abstractNumId w:val="126"/>
  </w:num>
  <w:num w:numId="138">
    <w:abstractNumId w:val="128"/>
  </w:num>
  <w:num w:numId="139">
    <w:abstractNumId w:val="135"/>
  </w:num>
  <w:num w:numId="140">
    <w:abstractNumId w:val="137"/>
  </w:num>
  <w:num w:numId="141">
    <w:abstractNumId w:val="10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R5T-G7N1-FGCG-S3FV-00000-00&amp;context=" TargetMode="External" /><Relationship Id="rId100" Type="http://schemas.openxmlformats.org/officeDocument/2006/relationships/hyperlink" Target="https://advance.lexis.com/api/document?collection=cases-ca&amp;id=urn:contentItem:5F7T-S7F1-JX3N-B1V8-00000-00&amp;context=" TargetMode="External" /><Relationship Id="rId101" Type="http://schemas.openxmlformats.org/officeDocument/2006/relationships/hyperlink" Target="https://advance.lexis.com/api/document?collection=cases-ca&amp;id=urn:contentItem:5F7T-S761-JX8W-M330-00000-00&amp;context=" TargetMode="External" /><Relationship Id="rId102" Type="http://schemas.openxmlformats.org/officeDocument/2006/relationships/hyperlink" Target="https://advance.lexis.com/api/document?collection=cases-ca&amp;id=urn:contentItem:5F16-9361-DY89-M1W5-00000-00&amp;context=" TargetMode="External" /><Relationship Id="rId103" Type="http://schemas.openxmlformats.org/officeDocument/2006/relationships/hyperlink" Target="https://advance.lexis.com/api/document?collection=cases-ca&amp;id=urn:contentItem:5F7T-S7D1-FCSB-S339-00000-00&amp;context=" TargetMode="External" /><Relationship Id="rId104" Type="http://schemas.openxmlformats.org/officeDocument/2006/relationships/hyperlink" Target="https://advance.lexis.com/api/document?collection=cases-ca&amp;id=urn:contentItem:5F7T-S7F1-DXWW-23XV-00000-00&amp;context=" TargetMode="External" /><Relationship Id="rId105" Type="http://schemas.openxmlformats.org/officeDocument/2006/relationships/hyperlink" Target="https://advance.lexis.com/api/document?collection=cases-ca&amp;id=urn:contentItem:5F7T-S751-JGHR-M1V2-00000-00&amp;context=" TargetMode="External" /><Relationship Id="rId106" Type="http://schemas.openxmlformats.org/officeDocument/2006/relationships/hyperlink" Target="https://advance.lexis.com/api/document?collection=cases-ca&amp;id=urn:contentItem:5F7T-S7D1-FBFS-S1KT-00000-00&amp;context=" TargetMode="External" /><Relationship Id="rId107" Type="http://schemas.openxmlformats.org/officeDocument/2006/relationships/hyperlink" Target="https://advance.lexis.com/api/document?collection=cases-ca&amp;id=urn:contentItem:5F7T-S761-JX8W-M2VG-00000-00&amp;context=" TargetMode="External" /><Relationship Id="rId108" Type="http://schemas.openxmlformats.org/officeDocument/2006/relationships/hyperlink" Target="https://advance.lexis.com/api/document?collection=cases-ca&amp;id=urn:contentItem:5F7F-5RH1-FJM6-60BM-00000-00&amp;context=" TargetMode="External" /><Relationship Id="rId109" Type="http://schemas.openxmlformats.org/officeDocument/2006/relationships/hyperlink" Target="https://advance.lexis.com/api/document?collection=cases-ca&amp;id=urn:contentItem:5F8W-M451-F8KH-X1GV-00000-00&amp;context=" TargetMode="External" /><Relationship Id="rId11" Type="http://schemas.openxmlformats.org/officeDocument/2006/relationships/hyperlink" Target="https://advance.lexis.com/api/document?collection=legislation-ca&amp;id=urn:contentItem:5F41-1FN1-JSXV-G1MM-00000-00&amp;context=" TargetMode="External" /><Relationship Id="rId110" Type="http://schemas.openxmlformats.org/officeDocument/2006/relationships/header" Target="header10.xml" /><Relationship Id="rId111" Type="http://schemas.openxmlformats.org/officeDocument/2006/relationships/header" Target="header11.xml" /><Relationship Id="rId112" Type="http://schemas.openxmlformats.org/officeDocument/2006/relationships/footer" Target="footer10.xml" /><Relationship Id="rId113" Type="http://schemas.openxmlformats.org/officeDocument/2006/relationships/footer" Target="footer11.xml" /><Relationship Id="rId114" Type="http://schemas.openxmlformats.org/officeDocument/2006/relationships/header" Target="header12.xml" /><Relationship Id="rId115" Type="http://schemas.openxmlformats.org/officeDocument/2006/relationships/footer" Target="footer12.xml" /><Relationship Id="rId116" Type="http://schemas.openxmlformats.org/officeDocument/2006/relationships/hyperlink" Target="https://advance.lexis.com/api/document?collection=cases-ca&amp;id=urn:contentItem:5F7T-S7D1-FCSB-S36F-00000-00&amp;context=" TargetMode="External" /><Relationship Id="rId117" Type="http://schemas.openxmlformats.org/officeDocument/2006/relationships/hyperlink" Target="https://advance.lexis.com/api/document?collection=cases-ca&amp;id=urn:contentItem:5F7T-S781-JC5P-G1HV-00000-00&amp;context=" TargetMode="External" /><Relationship Id="rId118" Type="http://schemas.openxmlformats.org/officeDocument/2006/relationships/hyperlink" Target="https://advance.lexis.com/api/document?collection=cases-ca&amp;id=urn:contentItem:5F7T-S751-F361-M0V7-00000-00&amp;context=" TargetMode="External" /><Relationship Id="rId119" Type="http://schemas.openxmlformats.org/officeDocument/2006/relationships/hyperlink" Target="https://advance.lexis.com/api/document?collection=cases-ca&amp;id=urn:contentItem:5F7T-S6W1-F7ND-G2M6-00000-00&amp;context=" TargetMode="External" /><Relationship Id="rId12" Type="http://schemas.openxmlformats.org/officeDocument/2006/relationships/hyperlink" Target="https://advance.lexis.com/api/document?collection=cases-ca&amp;id=urn:contentItem:5F7T-S721-JSC5-M3N7-00000-00&amp;context=" TargetMode="External" /><Relationship Id="rId120" Type="http://schemas.openxmlformats.org/officeDocument/2006/relationships/hyperlink" Target="https://advance.lexis.com/api/document?collection=cases-ca&amp;id=urn:contentItem:5F7T-S731-JNJT-B21W-00000-00&amp;context=" TargetMode="External" /><Relationship Id="rId121" Type="http://schemas.openxmlformats.org/officeDocument/2006/relationships/hyperlink" Target="https://advance.lexis.com/api/document?collection=cases-ca&amp;id=urn:contentItem:5F8T-N3V1-FC1F-M3WB-00000-00&amp;context=" TargetMode="External" /><Relationship Id="rId122" Type="http://schemas.openxmlformats.org/officeDocument/2006/relationships/hyperlink" Target="https://advance.lexis.com/api/document?collection=cases-ca&amp;id=urn:contentItem:5F7T-S7C1-F4NT-X407-00000-00&amp;context=" TargetMode="External" /><Relationship Id="rId123" Type="http://schemas.openxmlformats.org/officeDocument/2006/relationships/hyperlink" Target="https://advance.lexis.com/api/document?collection=cases-ca&amp;id=urn:contentItem:5F7T-S751-JX3N-B0WF-00000-00&amp;context=" TargetMode="External" /><Relationship Id="rId124" Type="http://schemas.openxmlformats.org/officeDocument/2006/relationships/hyperlink" Target="https://advance.lexis.com/api/document?collection=cases-ca&amp;id=urn:contentItem:5F7T-S6Y1-F81W-21G0-00000-00&amp;context=" TargetMode="External" /><Relationship Id="rId125" Type="http://schemas.openxmlformats.org/officeDocument/2006/relationships/header" Target="header13.xml" /><Relationship Id="rId126" Type="http://schemas.openxmlformats.org/officeDocument/2006/relationships/header" Target="header14.xml" /><Relationship Id="rId127" Type="http://schemas.openxmlformats.org/officeDocument/2006/relationships/footer" Target="footer13.xml" /><Relationship Id="rId128" Type="http://schemas.openxmlformats.org/officeDocument/2006/relationships/footer" Target="footer14.xml" /><Relationship Id="rId129" Type="http://schemas.openxmlformats.org/officeDocument/2006/relationships/header" Target="header15.xml" /><Relationship Id="rId13" Type="http://schemas.openxmlformats.org/officeDocument/2006/relationships/hyperlink" Target="https://advance.lexis.com/api/document?collection=cases-ca&amp;id=urn:contentItem:5F7T-S7G1-JPP5-2239-00000-00&amp;context=" TargetMode="External" /><Relationship Id="rId130" Type="http://schemas.openxmlformats.org/officeDocument/2006/relationships/footer" Target="footer15.xml" /><Relationship Id="rId131" Type="http://schemas.openxmlformats.org/officeDocument/2006/relationships/hyperlink" Target="https://advance.lexis.com/api/document?collection=cases-ca&amp;id=urn:contentItem:5F7T-S771-JSJC-X0H4-00000-00&amp;context=" TargetMode="External" /><Relationship Id="rId132" Type="http://schemas.openxmlformats.org/officeDocument/2006/relationships/hyperlink" Target="https://advance.lexis.com/api/document?collection=cases-ca&amp;id=urn:contentItem:5F7T-S771-JTGH-B1DB-00000-00&amp;context=" TargetMode="External" /><Relationship Id="rId133" Type="http://schemas.openxmlformats.org/officeDocument/2006/relationships/hyperlink" Target="https://advance.lexis.com/api/document?collection=cases-ca&amp;id=urn:contentItem:5F7T-S721-FG12-61P4-00000-00&amp;context=" TargetMode="External" /><Relationship Id="rId134" Type="http://schemas.openxmlformats.org/officeDocument/2006/relationships/hyperlink" Target="https://advance.lexis.com/api/document?collection=cases-ca&amp;id=urn:contentItem:5F7T-S721-F956-S1HG-00000-00&amp;context=" TargetMode="External" /><Relationship Id="rId135" Type="http://schemas.openxmlformats.org/officeDocument/2006/relationships/hyperlink" Target="https://advance.lexis.com/api/document?collection=cases-ca&amp;id=urn:contentItem:5F8P-SC81-JSXV-G42T-00000-00&amp;context=" TargetMode="External" /><Relationship Id="rId136" Type="http://schemas.openxmlformats.org/officeDocument/2006/relationships/hyperlink" Target="https://advance.lexis.com/api/document?collection=cases-ca&amp;id=urn:contentItem:5F8N-K6X1-JB2B-S4T4-00000-00&amp;context=" TargetMode="External" /><Relationship Id="rId137" Type="http://schemas.openxmlformats.org/officeDocument/2006/relationships/hyperlink" Target="https://advance.lexis.com/api/document?collection=legislation-ca&amp;id=urn:contentItem:5F41-1FG1-JJYN-B01M-00000-00&amp;context=" TargetMode="External" /><Relationship Id="rId138" Type="http://schemas.openxmlformats.org/officeDocument/2006/relationships/hyperlink" Target="https://advance.lexis.com/api/document?collection=cases-ca&amp;id=urn:contentItem:5F7T-S741-F7VM-S2KW-00000-00&amp;context=" TargetMode="External" /><Relationship Id="rId139" Type="http://schemas.openxmlformats.org/officeDocument/2006/relationships/hyperlink" Target="https://advance.lexis.com/api/document?collection=cases-ca&amp;id=urn:contentItem:5F8T-N3T1-JFKM-6509-00000-00&amp;context=" TargetMode="External" /><Relationship Id="rId14" Type="http://schemas.openxmlformats.org/officeDocument/2006/relationships/hyperlink" Target="https://advance.lexis.com/api/document?collection=legislation-ca&amp;id=urn:contentItem:5F41-1FG1-FC1F-M0TW-00000-00&amp;context=" TargetMode="External" /><Relationship Id="rId140" Type="http://schemas.openxmlformats.org/officeDocument/2006/relationships/hyperlink" Target="https://advance.lexis.com/api/document?collection=cases-ca&amp;id=urn:contentItem:5F8T-N3R1-JJSF-22JK-00000-00&amp;context=" TargetMode="External" /><Relationship Id="rId141" Type="http://schemas.openxmlformats.org/officeDocument/2006/relationships/hyperlink" Target="https://advance.lexis.com/api/document?collection=cases-ca&amp;id=urn:contentItem:5F8T-N3P1-K0BB-S0XR-00000-00&amp;context=" TargetMode="External" /><Relationship Id="rId142" Type="http://schemas.openxmlformats.org/officeDocument/2006/relationships/hyperlink" Target="https://advance.lexis.com/api/document?collection=cases-ca&amp;id=urn:contentItem:5F7T-S6V1-F2TK-22C4-00000-00&amp;context=" TargetMode="External" /><Relationship Id="rId143" Type="http://schemas.openxmlformats.org/officeDocument/2006/relationships/header" Target="header16.xml" /><Relationship Id="rId144" Type="http://schemas.openxmlformats.org/officeDocument/2006/relationships/header" Target="header17.xml" /><Relationship Id="rId145" Type="http://schemas.openxmlformats.org/officeDocument/2006/relationships/footer" Target="footer16.xml" /><Relationship Id="rId146" Type="http://schemas.openxmlformats.org/officeDocument/2006/relationships/footer" Target="footer17.xml" /><Relationship Id="rId147" Type="http://schemas.openxmlformats.org/officeDocument/2006/relationships/header" Target="header18.xml" /><Relationship Id="rId148" Type="http://schemas.openxmlformats.org/officeDocument/2006/relationships/footer" Target="footer18.xml" /><Relationship Id="rId149" Type="http://schemas.openxmlformats.org/officeDocument/2006/relationships/hyperlink" Target="https://advance.lexis.com/api/document?collection=cases-ca&amp;id=urn:contentItem:5MBP-67G1-F2MB-S3TW-00000-00&amp;context=" TargetMode="External" /><Relationship Id="rId15" Type="http://schemas.openxmlformats.org/officeDocument/2006/relationships/hyperlink" Target="https://advance.lexis.com/api/document?collection=cases-ca&amp;id=urn:contentItem:5F8T-N3V1-JTGH-B17G-00000-00&amp;context=" TargetMode="External" /><Relationship Id="rId150" Type="http://schemas.openxmlformats.org/officeDocument/2006/relationships/hyperlink" Target="https://advance.lexis.com/api/document?collection=cases-ca&amp;id=urn:contentItem:5F7T-S6Y1-F65M-6050-00000-00&amp;context=" TargetMode="External" /><Relationship Id="rId151" Type="http://schemas.openxmlformats.org/officeDocument/2006/relationships/hyperlink" Target="https://advance.lexis.com/api/document?collection=cases-ca&amp;id=urn:contentItem:5F8T-N3V1-JF75-M3SC-00000-00&amp;context=" TargetMode="External" /><Relationship Id="rId152" Type="http://schemas.openxmlformats.org/officeDocument/2006/relationships/header" Target="header19.xml" /><Relationship Id="rId153" Type="http://schemas.openxmlformats.org/officeDocument/2006/relationships/header" Target="header20.xml" /><Relationship Id="rId154" Type="http://schemas.openxmlformats.org/officeDocument/2006/relationships/footer" Target="footer19.xml" /><Relationship Id="rId155" Type="http://schemas.openxmlformats.org/officeDocument/2006/relationships/footer" Target="footer20.xml" /><Relationship Id="rId156" Type="http://schemas.openxmlformats.org/officeDocument/2006/relationships/header" Target="header21.xml" /><Relationship Id="rId157" Type="http://schemas.openxmlformats.org/officeDocument/2006/relationships/footer" Target="footer21.xml" /><Relationship Id="rId158" Type="http://schemas.openxmlformats.org/officeDocument/2006/relationships/hyperlink" Target="https://advance.lexis.com/api/document?collection=cases-ca&amp;id=urn:contentItem:5XJT-JYS1-JP9P-G3JJ-00000-00&amp;context=" TargetMode="External" /><Relationship Id="rId159" Type="http://schemas.openxmlformats.org/officeDocument/2006/relationships/hyperlink" Target="https://advance.lexis.com/api/document?collection=cases-ca&amp;id=urn:contentItem:5F7T-S7P1-JSJC-X1GX-00000-00&amp;context=" TargetMode="External" /><Relationship Id="rId16" Type="http://schemas.openxmlformats.org/officeDocument/2006/relationships/hyperlink" Target="https://advance.lexis.com/api/document?collection=cases-ca&amp;id=urn:contentItem:5F8T-N3T1-JGHR-M24D-00000-00&amp;context=" TargetMode="External" /><Relationship Id="rId160" Type="http://schemas.openxmlformats.org/officeDocument/2006/relationships/hyperlink" Target="https://advance.lexis.com/api/document?collection=cases-ca&amp;id=urn:contentItem:5F7T-S7H1-JFSV-G35P-00000-00&amp;context=" TargetMode="External" /><Relationship Id="rId161" Type="http://schemas.openxmlformats.org/officeDocument/2006/relationships/image" Target="media/image3.jpeg" /><Relationship Id="rId162" Type="http://schemas.openxmlformats.org/officeDocument/2006/relationships/hyperlink" Target="https://advance.lexis.com/api/document?collection=cases-ca&amp;id=urn:contentItem:5VVK-8581-F016-S36T-00000-00&amp;context=" TargetMode="External" /><Relationship Id="rId163" Type="http://schemas.openxmlformats.org/officeDocument/2006/relationships/hyperlink" Target="https://advance.lexis.com/api/document?collection=cases-ca&amp;id=urn:contentItem:5NYG-2N01-F2F4-G4K6-00000-00&amp;context=" TargetMode="External" /><Relationship Id="rId164" Type="http://schemas.openxmlformats.org/officeDocument/2006/relationships/hyperlink" Target="https://advance.lexis.com/api/document?collection=cases-ca&amp;id=urn:contentItem:5F7T-S7J1-JYYX-62G4-00000-00&amp;context=" TargetMode="External" /><Relationship Id="rId165" Type="http://schemas.openxmlformats.org/officeDocument/2006/relationships/hyperlink" Target="https://advance.lexis.com/api/document?collection=cases-ca&amp;id=urn:contentItem:5F7T-S7N1-JGHR-M3D9-00000-00&amp;context=" TargetMode="External" /><Relationship Id="rId166" Type="http://schemas.openxmlformats.org/officeDocument/2006/relationships/hyperlink" Target="https://advance.lexis.com/api/document?collection=cases-ca&amp;id=urn:contentItem:5F7T-S761-JS5Y-B1R2-00000-00&amp;context=" TargetMode="External" /><Relationship Id="rId167" Type="http://schemas.openxmlformats.org/officeDocument/2006/relationships/hyperlink" Target="https://advance.lexis.com/api/document?collection=cases-ca&amp;id=urn:contentItem:5F7T-S761-FFMK-M0VR-00000-00&amp;context=" TargetMode="External" /><Relationship Id="rId168" Type="http://schemas.openxmlformats.org/officeDocument/2006/relationships/header" Target="header22.xml" /><Relationship Id="rId169" Type="http://schemas.openxmlformats.org/officeDocument/2006/relationships/header" Target="header23.xml" /><Relationship Id="rId17" Type="http://schemas.openxmlformats.org/officeDocument/2006/relationships/hyperlink" Target="https://advance.lexis.com/api/document?collection=cases-ca&amp;id=urn:contentItem:5F8T-N3V1-FC1F-M41W-00000-00&amp;context=" TargetMode="External" /><Relationship Id="rId170" Type="http://schemas.openxmlformats.org/officeDocument/2006/relationships/footer" Target="footer22.xml" /><Relationship Id="rId171" Type="http://schemas.openxmlformats.org/officeDocument/2006/relationships/footer" Target="footer23.xml" /><Relationship Id="rId172" Type="http://schemas.openxmlformats.org/officeDocument/2006/relationships/header" Target="header24.xml" /><Relationship Id="rId173" Type="http://schemas.openxmlformats.org/officeDocument/2006/relationships/footer" Target="footer24.xml" /><Relationship Id="rId174" Type="http://schemas.openxmlformats.org/officeDocument/2006/relationships/hyperlink" Target="https://advance.lexis.com/api/document?collection=cases-ca&amp;id=urn:contentItem:5F7T-S7J1-JNS1-M27T-00000-00&amp;context=" TargetMode="External" /><Relationship Id="rId175" Type="http://schemas.openxmlformats.org/officeDocument/2006/relationships/hyperlink" Target="https://advance.lexis.com/api/document?collection=cases-ca&amp;id=urn:contentItem:5F8T-N3T1-JJSF-236M-00000-00&amp;context=" TargetMode="External" /><Relationship Id="rId176" Type="http://schemas.openxmlformats.org/officeDocument/2006/relationships/hyperlink" Target="https://advance.lexis.com/api/document?collection=cases-ca&amp;id=urn:contentItem:5F7T-S7C1-JXG3-X0KH-00000-00&amp;context=" TargetMode="External" /><Relationship Id="rId177" Type="http://schemas.openxmlformats.org/officeDocument/2006/relationships/hyperlink" Target="https://advance.lexis.com/api/document?collection=cases-ca&amp;id=urn:contentItem:5F7T-S771-JW5H-X1TN-00000-00&amp;context=" TargetMode="External" /><Relationship Id="rId178" Type="http://schemas.openxmlformats.org/officeDocument/2006/relationships/hyperlink" Target="https://advance.lexis.com/api/document?collection=cases-ca&amp;id=urn:contentItem:5F7T-S711-JNS1-M0R9-00000-00&amp;context=" TargetMode="External" /><Relationship Id="rId179" Type="http://schemas.openxmlformats.org/officeDocument/2006/relationships/hyperlink" Target="https://advance.lexis.com/api/document?collection=cases-ca&amp;id=urn:contentItem:5F7T-S721-F4NT-X2W2-00000-00&amp;context=" TargetMode="External" /><Relationship Id="rId18" Type="http://schemas.openxmlformats.org/officeDocument/2006/relationships/hyperlink" Target="https://advance.lexis.com/api/document?collection=cases-ca&amp;id=urn:contentItem:5F8T-N3V1-FC1F-M477-00000-00&amp;context=" TargetMode="External" /><Relationship Id="rId180" Type="http://schemas.openxmlformats.org/officeDocument/2006/relationships/hyperlink" Target="https://advance.lexis.com/api/document?collection=cases-ca&amp;id=urn:contentItem:5F7T-S731-F1WF-M284-00000-00&amp;context=" TargetMode="External" /><Relationship Id="rId181" Type="http://schemas.openxmlformats.org/officeDocument/2006/relationships/hyperlink" Target="https://advance.lexis.com/api/document?collection=cases-ca&amp;id=urn:contentItem:5F7T-S7F1-JFKM-61VX-00000-00&amp;context=" TargetMode="External" /><Relationship Id="rId182" Type="http://schemas.openxmlformats.org/officeDocument/2006/relationships/hyperlink" Target="https://advance.lexis.com/api/document?collection=cases-ca&amp;id=urn:contentItem:5F7T-S7D1-DY89-M480-00000-00&amp;context=" TargetMode="External" /><Relationship Id="rId183" Type="http://schemas.openxmlformats.org/officeDocument/2006/relationships/hyperlink" Target="https://advance.lexis.com/api/document?collection=cases-ca&amp;id=urn:contentItem:5F7T-S7D1-JN6B-S0N3-00000-00&amp;context=" TargetMode="External" /><Relationship Id="rId184" Type="http://schemas.openxmlformats.org/officeDocument/2006/relationships/hyperlink" Target="https://advance.lexis.com/api/document?collection=cases-ca&amp;id=urn:contentItem:5F7T-S771-F81W-22PS-00000-00&amp;context=" TargetMode="External" /><Relationship Id="rId185" Type="http://schemas.openxmlformats.org/officeDocument/2006/relationships/hyperlink" Target="https://advance.lexis.com/api/document?collection=cases-ca&amp;id=urn:contentItem:5F7T-S711-JG02-S1GF-00000-00&amp;context=" TargetMode="External" /><Relationship Id="rId186" Type="http://schemas.openxmlformats.org/officeDocument/2006/relationships/hyperlink" Target="https://advance.lexis.com/api/document?collection=cases-ca&amp;id=urn:contentItem:5F7T-S791-JCJ5-255F-00000-00&amp;context=" TargetMode="External" /><Relationship Id="rId187" Type="http://schemas.openxmlformats.org/officeDocument/2006/relationships/hyperlink" Target="https://advance.lexis.com/api/document?collection=cases-ca&amp;id=urn:contentItem:5F16-9361-K0HK-21H4-00000-00&amp;context=" TargetMode="External" /><Relationship Id="rId188" Type="http://schemas.openxmlformats.org/officeDocument/2006/relationships/hyperlink" Target="https://advance.lexis.com/api/document?collection=cases-ca&amp;id=urn:contentItem:5F7T-S701-JJ6S-61HD-00000-00&amp;context=" TargetMode="External" /><Relationship Id="rId189" Type="http://schemas.openxmlformats.org/officeDocument/2006/relationships/hyperlink" Target="https://advance.lexis.com/api/document?collection=cases-ca&amp;id=urn:contentItem:5F7T-S6Y1-F7G6-631M-00000-00&amp;context=" TargetMode="External" /><Relationship Id="rId19" Type="http://schemas.openxmlformats.org/officeDocument/2006/relationships/hyperlink" Target="https://advance.lexis.com/api/document?collection=cases-ca&amp;id=urn:contentItem:5F8T-N3V1-FC1F-M4D9-00000-00&amp;context=" TargetMode="External" /><Relationship Id="rId190" Type="http://schemas.openxmlformats.org/officeDocument/2006/relationships/hyperlink" Target="https://advance.lexis.com/api/document?collection=cases-ca&amp;id=urn:contentItem:5F8P-SCV1-JJK6-S044-00000-00&amp;context=" TargetMode="External" /><Relationship Id="rId191" Type="http://schemas.openxmlformats.org/officeDocument/2006/relationships/hyperlink" Target="https://advance.lexis.com/api/document?collection=cases-ca&amp;id=urn:contentItem:5F7T-S7G1-JWR6-S1HN-00000-00&amp;context=" TargetMode="External" /><Relationship Id="rId192" Type="http://schemas.openxmlformats.org/officeDocument/2006/relationships/hyperlink" Target="https://advance.lexis.com/api/document?collection=cases-ca&amp;id=urn:contentItem:5F7T-S7J1-DXWW-254X-00000-00&amp;context=" TargetMode="External" /><Relationship Id="rId193" Type="http://schemas.openxmlformats.org/officeDocument/2006/relationships/hyperlink" Target="https://advance.lexis.com/api/document?collection=cases-ca&amp;id=urn:contentItem:5F7T-S6S1-F60C-X0S3-00000-00&amp;context=" TargetMode="External" /><Relationship Id="rId194" Type="http://schemas.openxmlformats.org/officeDocument/2006/relationships/hyperlink" Target="https://advance.lexis.com/api/document?collection=cases-ca&amp;id=urn:contentItem:5F7T-S751-F361-M0W8-00000-00&amp;context=" TargetMode="External" /><Relationship Id="rId195" Type="http://schemas.openxmlformats.org/officeDocument/2006/relationships/hyperlink" Target="https://advance.lexis.com/api/document?collection=cases-ca&amp;id=urn:contentItem:5F82-1SD1-FC1F-M302-00000-00&amp;context=" TargetMode="External" /><Relationship Id="rId196" Type="http://schemas.openxmlformats.org/officeDocument/2006/relationships/hyperlink" Target="https://advance.lexis.com/api/document?collection=cases-ca&amp;id=urn:contentItem:5F7V-3DH1-FCK4-G0RG-00000-00&amp;context=" TargetMode="External" /><Relationship Id="rId197" Type="http://schemas.openxmlformats.org/officeDocument/2006/relationships/hyperlink" Target="https://advance.lexis.com/api/document?collection=cases-ca&amp;id=urn:contentItem:5F8P-SDY1-JS0R-254F-00000-00&amp;context=" TargetMode="External" /><Relationship Id="rId198" Type="http://schemas.openxmlformats.org/officeDocument/2006/relationships/hyperlink" Target="https://advance.lexis.com/api/document?collection=cases-ca&amp;id=urn:contentItem:5F7H-JFB1-JJ6S-60MB-00000-00&amp;context=" TargetMode="External" /><Relationship Id="rId199" Type="http://schemas.openxmlformats.org/officeDocument/2006/relationships/hyperlink" Target="https://advance.lexis.com/api/document?collection=cases-ca&amp;id=urn:contentItem:5F8P-SDC1-F1H1-206Y-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F7T-S711-JNY7-X38K-00000-00&amp;context=" TargetMode="External" /><Relationship Id="rId200" Type="http://schemas.openxmlformats.org/officeDocument/2006/relationships/hyperlink" Target="https://advance.lexis.com/api/document?collection=cases-ca&amp;id=urn:contentItem:5F8P-SCM1-F27X-6123-00000-00&amp;context=" TargetMode="External" /><Relationship Id="rId201" Type="http://schemas.openxmlformats.org/officeDocument/2006/relationships/hyperlink" Target="https://advance.lexis.com/api/document?collection=cases-ca&amp;id=urn:contentItem:5F7T-S6W1-JYYX-61DY-00000-00&amp;context=" TargetMode="External" /><Relationship Id="rId202" Type="http://schemas.openxmlformats.org/officeDocument/2006/relationships/hyperlink" Target="https://advance.lexis.com/api/document?collection=cases-ca&amp;id=urn:contentItem:5F7T-S711-JB2B-S12T-00000-00&amp;context=" TargetMode="External" /><Relationship Id="rId203" Type="http://schemas.openxmlformats.org/officeDocument/2006/relationships/hyperlink" Target="https://advance.lexis.com/api/document?collection=cases-ca&amp;id=urn:contentItem:5F7T-S761-F81W-21R4-00000-00&amp;context=" TargetMode="External" /><Relationship Id="rId204" Type="http://schemas.openxmlformats.org/officeDocument/2006/relationships/hyperlink" Target="https://advance.lexis.com/api/document?collection=cases-ca&amp;id=urn:contentItem:5F7T-S731-FFFC-B0GV-00000-00&amp;context=" TargetMode="External" /><Relationship Id="rId205" Type="http://schemas.openxmlformats.org/officeDocument/2006/relationships/hyperlink" Target="https://advance.lexis.com/api/document?collection=cases-ca&amp;id=urn:contentItem:5F16-9341-DY33-B45K-00000-00&amp;context=" TargetMode="External" /><Relationship Id="rId206" Type="http://schemas.openxmlformats.org/officeDocument/2006/relationships/hyperlink" Target="https://advance.lexis.com/api/document?collection=cases-ca&amp;id=urn:contentItem:5F16-9321-JW09-M01N-00000-00&amp;context=" TargetMode="External" /><Relationship Id="rId207" Type="http://schemas.openxmlformats.org/officeDocument/2006/relationships/hyperlink" Target="https://advance.lexis.com/api/document?collection=cases-ca&amp;id=urn:contentItem:5F16-9301-FD4T-B1NC-00000-00&amp;context=" TargetMode="External" /><Relationship Id="rId208" Type="http://schemas.openxmlformats.org/officeDocument/2006/relationships/hyperlink" Target="https://advance.lexis.com/api/document?collection=cases-ca&amp;id=urn:contentItem:5F16-93F1-JJK6-S3FD-00000-00&amp;context=" TargetMode="External" /><Relationship Id="rId209" Type="http://schemas.openxmlformats.org/officeDocument/2006/relationships/hyperlink" Target="https://advance.lexis.com/api/document?collection=cases-ca&amp;id=urn:contentItem:5F7T-S7C1-JCJ5-20W0-00000-00&amp;context=" TargetMode="External" /><Relationship Id="rId21" Type="http://schemas.openxmlformats.org/officeDocument/2006/relationships/hyperlink" Target="https://advance.lexis.com/api/document?collection=cases-ca&amp;id=urn:contentItem:5F7T-S6V1-F956-S05B-00000-00&amp;context=" TargetMode="External" /><Relationship Id="rId210" Type="http://schemas.openxmlformats.org/officeDocument/2006/relationships/hyperlink" Target="https://advance.lexis.com/api/document?collection=cases-ca&amp;id=urn:contentItem:5F81-YGK1-JJ1H-X4S9-00000-00&amp;context=" TargetMode="External" /><Relationship Id="rId211" Type="http://schemas.openxmlformats.org/officeDocument/2006/relationships/header" Target="header25.xml" /><Relationship Id="rId212" Type="http://schemas.openxmlformats.org/officeDocument/2006/relationships/header" Target="header26.xml" /><Relationship Id="rId213" Type="http://schemas.openxmlformats.org/officeDocument/2006/relationships/footer" Target="footer25.xml" /><Relationship Id="rId214" Type="http://schemas.openxmlformats.org/officeDocument/2006/relationships/footer" Target="footer26.xml" /><Relationship Id="rId215" Type="http://schemas.openxmlformats.org/officeDocument/2006/relationships/header" Target="header27.xml" /><Relationship Id="rId216" Type="http://schemas.openxmlformats.org/officeDocument/2006/relationships/footer" Target="footer27.xml" /><Relationship Id="rId217" Type="http://schemas.openxmlformats.org/officeDocument/2006/relationships/hyperlink" Target="https://advance.lexis.com/api/document?collection=cases-ca&amp;id=urn:contentItem:5F7T-S7H1-F4GK-M393-00000-00&amp;context=" TargetMode="External" /><Relationship Id="rId218" Type="http://schemas.openxmlformats.org/officeDocument/2006/relationships/hyperlink" Target="https://advance.lexis.com/api/document?collection=legislation-ca&amp;id=urn:contentItem:5F3B-B9P1-JF75-M0Y4-00000-00&amp;context=" TargetMode="External" /><Relationship Id="rId219" Type="http://schemas.openxmlformats.org/officeDocument/2006/relationships/hyperlink" Target="https://advance.lexis.com/api/document?collection=legislation-ca&amp;id=urn:contentItem:5F41-1FJ1-F5KY-B1JV-00000-00&amp;context=" TargetMode="External" /><Relationship Id="rId22" Type="http://schemas.openxmlformats.org/officeDocument/2006/relationships/hyperlink" Target="https://advance.lexis.com/api/document?collection=cases-ca&amp;id=urn:contentItem:5M91-23C1-F016-S0FD-00000-00&amp;context=" TargetMode="External" /><Relationship Id="rId220" Type="http://schemas.openxmlformats.org/officeDocument/2006/relationships/hyperlink" Target="https://advance.lexis.com/api/document?collection=cases-ca&amp;id=urn:contentItem:5F7T-S7G1-JPP5-21VV-00000-00&amp;context=" TargetMode="External" /><Relationship Id="rId221" Type="http://schemas.openxmlformats.org/officeDocument/2006/relationships/hyperlink" Target="https://advance.lexis.com/api/document?collection=legislation-ca&amp;id=urn:contentItem:5VYK-WB51-K054-G4Y8-00000-00&amp;context=" TargetMode="External" /><Relationship Id="rId222" Type="http://schemas.openxmlformats.org/officeDocument/2006/relationships/hyperlink" Target="https://advance.lexis.com/api/document?collection=cases-ca&amp;id=urn:contentItem:5F7T-S6V1-F956-S05N-00000-00&amp;context=" TargetMode="External" /><Relationship Id="rId223" Type="http://schemas.openxmlformats.org/officeDocument/2006/relationships/hyperlink" Target="https://advance.lexis.com/api/document?collection=cases-ca&amp;id=urn:contentItem:5F7T-S7C1-FCSB-S265-00000-00&amp;context=" TargetMode="External" /><Relationship Id="rId224" Type="http://schemas.openxmlformats.org/officeDocument/2006/relationships/hyperlink" Target="https://advance.lexis.com/api/document?collection=cases-ca&amp;id=urn:contentItem:5F7T-S781-DYMS-61D4-00000-00&amp;context=" TargetMode="External" /><Relationship Id="rId225" Type="http://schemas.openxmlformats.org/officeDocument/2006/relationships/header" Target="header28.xml" /><Relationship Id="rId226" Type="http://schemas.openxmlformats.org/officeDocument/2006/relationships/header" Target="header29.xml" /><Relationship Id="rId227" Type="http://schemas.openxmlformats.org/officeDocument/2006/relationships/footer" Target="footer28.xml" /><Relationship Id="rId228" Type="http://schemas.openxmlformats.org/officeDocument/2006/relationships/footer" Target="footer29.xml" /><Relationship Id="rId229" Type="http://schemas.openxmlformats.org/officeDocument/2006/relationships/header" Target="header30.xml" /><Relationship Id="rId23" Type="http://schemas.openxmlformats.org/officeDocument/2006/relationships/hyperlink" Target="https://advance.lexis.com/api/document?collection=cases-ca&amp;id=urn:contentItem:5F7T-S6T1-JJ1H-X2B8-00000-00&amp;context=" TargetMode="External" /><Relationship Id="rId230" Type="http://schemas.openxmlformats.org/officeDocument/2006/relationships/footer" Target="footer30.xml" /><Relationship Id="rId231" Type="http://schemas.openxmlformats.org/officeDocument/2006/relationships/hyperlink" Target="https://advance.lexis.com/api/document?collection=cases-ca&amp;id=urn:contentItem:5F7T-S781-JSC5-M46H-00000-00&amp;context=" TargetMode="External" /><Relationship Id="rId232" Type="http://schemas.openxmlformats.org/officeDocument/2006/relationships/hyperlink" Target="https://advance.lexis.com/api/document?collection=cases-ca&amp;id=urn:contentItem:5F7T-S6Y1-DY33-B0GN-00000-00&amp;context=" TargetMode="External" /><Relationship Id="rId233" Type="http://schemas.openxmlformats.org/officeDocument/2006/relationships/hyperlink" Target="https://advance.lexis.com/api/document?collection=cases-ca&amp;id=urn:contentItem:5F7T-S711-F27X-60WG-00000-00&amp;context=" TargetMode="External" /><Relationship Id="rId234" Type="http://schemas.openxmlformats.org/officeDocument/2006/relationships/hyperlink" Target="https://advance.lexis.com/api/document?collection=cases-ca&amp;id=urn:contentItem:5F7T-S701-JJ6S-61J5-00000-00&amp;context=" TargetMode="External" /><Relationship Id="rId235" Type="http://schemas.openxmlformats.org/officeDocument/2006/relationships/hyperlink" Target="https://advance.lexis.com/api/document?collection=cases-ca&amp;id=urn:contentItem:5F7T-S6V1-FJTD-G24M-00000-00&amp;context=" TargetMode="External" /><Relationship Id="rId236" Type="http://schemas.openxmlformats.org/officeDocument/2006/relationships/header" Target="header31.xml" /><Relationship Id="rId237" Type="http://schemas.openxmlformats.org/officeDocument/2006/relationships/header" Target="header32.xml" /><Relationship Id="rId238" Type="http://schemas.openxmlformats.org/officeDocument/2006/relationships/footer" Target="footer31.xml" /><Relationship Id="rId239" Type="http://schemas.openxmlformats.org/officeDocument/2006/relationships/footer" Target="footer32.xml" /><Relationship Id="rId24" Type="http://schemas.openxmlformats.org/officeDocument/2006/relationships/hyperlink" Target="https://advance.lexis.com/api/document?collection=cases-ca&amp;id=urn:contentItem:5F81-VJV1-JG59-22MH-00000-00&amp;context=" TargetMode="External" /><Relationship Id="rId240" Type="http://schemas.openxmlformats.org/officeDocument/2006/relationships/header" Target="header33.xml" /><Relationship Id="rId241" Type="http://schemas.openxmlformats.org/officeDocument/2006/relationships/footer" Target="footer33.xml" /><Relationship Id="rId242" Type="http://schemas.openxmlformats.org/officeDocument/2006/relationships/hyperlink" Target="https://advance.lexis.com/api/document?collection=cases-ca&amp;id=urn:contentItem:5H8B-4TV1-F8SS-64CJ-00000-00&amp;context=" TargetMode="External" /><Relationship Id="rId243" Type="http://schemas.openxmlformats.org/officeDocument/2006/relationships/hyperlink" Target="https://advance.lexis.com/api/document?collection=cases-ca&amp;id=urn:contentItem:5F7T-S7M1-JPP5-22MK-00000-00&amp;context=" TargetMode="External" /><Relationship Id="rId244" Type="http://schemas.openxmlformats.org/officeDocument/2006/relationships/hyperlink" Target="https://advance.lexis.com/api/document?collection=cases-ca&amp;id=urn:contentItem:5F7T-S7K1-DY33-B1RF-00000-00&amp;context=" TargetMode="External" /><Relationship Id="rId245" Type="http://schemas.openxmlformats.org/officeDocument/2006/relationships/hyperlink" Target="https://advance.lexis.com/api/document?collection=cases-ca&amp;id=urn:contentItem:5F7T-S7K1-DY33-B1VH-00000-00&amp;context=" TargetMode="External" /><Relationship Id="rId246" Type="http://schemas.openxmlformats.org/officeDocument/2006/relationships/hyperlink" Target="https://advance.lexis.com/api/document?collection=cases-ca&amp;id=urn:contentItem:5F8T-N3V1-FC1F-M48G-00000-00&amp;context=" TargetMode="External" /><Relationship Id="rId247" Type="http://schemas.openxmlformats.org/officeDocument/2006/relationships/hyperlink" Target="https://advance.lexis.com/api/document?collection=cases-ca&amp;id=urn:contentItem:5F8P-SBV1-DXWW-2288-00000-00&amp;context=" TargetMode="External" /><Relationship Id="rId248" Type="http://schemas.openxmlformats.org/officeDocument/2006/relationships/hyperlink" Target="https://advance.lexis.com/api/document?collection=cases-ca&amp;id=urn:contentItem:5F7T-S7M1-JFSV-G3TR-00000-00&amp;context=" TargetMode="External" /><Relationship Id="rId249" Type="http://schemas.openxmlformats.org/officeDocument/2006/relationships/hyperlink" Target="https://advance.lexis.com/api/document?collection=cases-ca&amp;id=urn:contentItem:5F7T-S7N1-JC5P-G20D-00000-00&amp;context=" TargetMode="External" /><Relationship Id="rId25" Type="http://schemas.openxmlformats.org/officeDocument/2006/relationships/hyperlink" Target="https://advance.lexis.com/api/document?collection=cases-ca&amp;id=urn:contentItem:5F8T-N3V1-JF75-M3MC-00000-00&amp;context=" TargetMode="External" /><Relationship Id="rId250" Type="http://schemas.openxmlformats.org/officeDocument/2006/relationships/hyperlink" Target="https://advance.lexis.com/api/document?collection=cases-ca&amp;id=urn:contentItem:5F7T-S7N1-JW09-M0Y7-00000-00&amp;context=" TargetMode="External" /><Relationship Id="rId251" Type="http://schemas.openxmlformats.org/officeDocument/2006/relationships/hyperlink" Target="https://advance.lexis.com/api/document?collection=cases-ca&amp;id=urn:contentItem:5G5K-89P1-K054-G33H-00000-00&amp;context=" TargetMode="External" /><Relationship Id="rId252" Type="http://schemas.openxmlformats.org/officeDocument/2006/relationships/hyperlink" Target="https://advance.lexis.com/api/document?collection=cases-ca&amp;id=urn:contentItem:5F7T-S7K1-JKHB-631H-00000-00&amp;context=" TargetMode="External" /><Relationship Id="rId253" Type="http://schemas.openxmlformats.org/officeDocument/2006/relationships/hyperlink" Target="https://advance.lexis.com/api/document?collection=cases-ca&amp;id=urn:contentItem:5F7T-S741-F7VM-S34P-00000-00&amp;context=" TargetMode="External" /><Relationship Id="rId254" Type="http://schemas.openxmlformats.org/officeDocument/2006/relationships/hyperlink" Target="https://advance.lexis.com/api/document?collection=cases-ca&amp;id=urn:contentItem:5F7T-S761-JX8W-M2VH-00000-00&amp;context=" TargetMode="External" /><Relationship Id="rId255" Type="http://schemas.openxmlformats.org/officeDocument/2006/relationships/hyperlink" Target="https://advance.lexis.com/api/document?collection=cases-ca&amp;id=urn:contentItem:5F8T-N3V1-JTGH-B0YX-00000-00&amp;context=" TargetMode="External" /><Relationship Id="rId256" Type="http://schemas.openxmlformats.org/officeDocument/2006/relationships/hyperlink" Target="https://advance.lexis.com/api/document?collection=cases-ca&amp;id=urn:contentItem:5F7T-S7M1-JNCK-22TG-00000-00&amp;context=" TargetMode="External" /><Relationship Id="rId257" Type="http://schemas.openxmlformats.org/officeDocument/2006/relationships/hyperlink" Target="https://advance.lexis.com/api/document?collection=cases-ca&amp;id=urn:contentItem:5F7T-S7H1-F016-S3SN-00000-00&amp;context=" TargetMode="External" /><Relationship Id="rId258" Type="http://schemas.openxmlformats.org/officeDocument/2006/relationships/hyperlink" Target="https://advance.lexis.com/api/document?collection=cases-ca&amp;id=urn:contentItem:5F7T-S7P1-JP4G-61NF-00000-00&amp;context=" TargetMode="External" /><Relationship Id="rId259" Type="http://schemas.openxmlformats.org/officeDocument/2006/relationships/hyperlink" Target="https://advance.lexis.com/api/document?collection=cases-ca&amp;id=urn:contentItem:5G5K-89P1-K054-G33N-00000-00&amp;context=" TargetMode="External" /><Relationship Id="rId26" Type="http://schemas.openxmlformats.org/officeDocument/2006/relationships/hyperlink" Target="https://advance.lexis.com/api/document?collection=cases-ca&amp;id=urn:contentItem:5F8T-N3V1-JTGH-B117-00000-00&amp;context=" TargetMode="External" /><Relationship Id="rId260" Type="http://schemas.openxmlformats.org/officeDocument/2006/relationships/hyperlink" Target="https://advance.lexis.com/api/document?collection=cases-ca&amp;id=urn:contentItem:5F7T-S7P1-JCRC-B25S-00000-00&amp;context=" TargetMode="External" /><Relationship Id="rId261" Type="http://schemas.openxmlformats.org/officeDocument/2006/relationships/hyperlink" Target="https://advance.lexis.com/api/document?collection=cases-ca&amp;id=urn:contentItem:5F8T-N3V1-JF75-M3GM-00000-00&amp;context=" TargetMode="External" /><Relationship Id="rId262" Type="http://schemas.openxmlformats.org/officeDocument/2006/relationships/hyperlink" Target="https://advance.lexis.com/api/document?collection=cases-ca&amp;id=urn:contentItem:5F7T-S7K1-JKHB-631K-00000-00&amp;context=" TargetMode="External" /><Relationship Id="rId263" Type="http://schemas.openxmlformats.org/officeDocument/2006/relationships/hyperlink" Target="https://advance.lexis.com/api/document?collection=cases-ca&amp;id=urn:contentItem:5F8T-N3V1-JTGH-B0YP-00000-00&amp;context=" TargetMode="External" /><Relationship Id="rId264" Type="http://schemas.openxmlformats.org/officeDocument/2006/relationships/hyperlink" Target="https://advance.lexis.com/api/document?collection=cases-ca&amp;id=urn:contentItem:5F8T-N3T1-JGHR-M29X-00000-00&amp;context=" TargetMode="External" /><Relationship Id="rId265" Type="http://schemas.openxmlformats.org/officeDocument/2006/relationships/header" Target="header34.xml" /><Relationship Id="rId266" Type="http://schemas.openxmlformats.org/officeDocument/2006/relationships/header" Target="header35.xml" /><Relationship Id="rId267" Type="http://schemas.openxmlformats.org/officeDocument/2006/relationships/footer" Target="footer34.xml" /><Relationship Id="rId268" Type="http://schemas.openxmlformats.org/officeDocument/2006/relationships/footer" Target="footer35.xml" /><Relationship Id="rId269" Type="http://schemas.openxmlformats.org/officeDocument/2006/relationships/header" Target="header36.xml" /><Relationship Id="rId27" Type="http://schemas.openxmlformats.org/officeDocument/2006/relationships/hyperlink" Target="https://advance.lexis.com/api/document?collection=cases-ca&amp;id=urn:contentItem:5F7T-S721-F57G-S0VV-00000-00&amp;context=" TargetMode="External" /><Relationship Id="rId270" Type="http://schemas.openxmlformats.org/officeDocument/2006/relationships/footer" Target="footer36.xml" /><Relationship Id="rId271" Type="http://schemas.openxmlformats.org/officeDocument/2006/relationships/hyperlink" Target="https://advance.lexis.com/api/document?collection=cases-ca&amp;id=urn:contentItem:5F7T-S771-JW5H-X231-00000-00&amp;context=" TargetMode="External" /><Relationship Id="rId272" Type="http://schemas.openxmlformats.org/officeDocument/2006/relationships/hyperlink" Target="https://advance.lexis.com/api/document?collection=cases-ca&amp;id=urn:contentItem:5F7T-S771-JJD0-G10N-00000-00&amp;context=" TargetMode="External" /><Relationship Id="rId273" Type="http://schemas.openxmlformats.org/officeDocument/2006/relationships/hyperlink" Target="https://advance.lexis.com/api/document?collection=cases-ca&amp;id=urn:contentItem:5F81-WC31-F5KY-B4M2-00000-00&amp;context=" TargetMode="External" /><Relationship Id="rId274" Type="http://schemas.openxmlformats.org/officeDocument/2006/relationships/hyperlink" Target="https://advance.lexis.com/api/document?collection=cases-ca&amp;id=urn:contentItem:5F81-YGW1-FFMK-M3D1-00000-00&amp;context=" TargetMode="External" /><Relationship Id="rId275" Type="http://schemas.openxmlformats.org/officeDocument/2006/relationships/hyperlink" Target="https://advance.lexis.com/api/document?collection=cases-ca&amp;id=urn:contentItem:5F7D-YK91-JTNR-M0CW-00000-00&amp;context=" TargetMode="External" /><Relationship Id="rId276" Type="http://schemas.openxmlformats.org/officeDocument/2006/relationships/hyperlink" Target="https://advance.lexis.com/api/document?collection=cases-ca&amp;id=urn:contentItem:5F8W-M441-FFTT-X3WR-00000-00&amp;context=" TargetMode="External" /><Relationship Id="rId277" Type="http://schemas.openxmlformats.org/officeDocument/2006/relationships/header" Target="header37.xml" /><Relationship Id="rId278" Type="http://schemas.openxmlformats.org/officeDocument/2006/relationships/header" Target="header38.xml" /><Relationship Id="rId279" Type="http://schemas.openxmlformats.org/officeDocument/2006/relationships/footer" Target="footer37.xml" /><Relationship Id="rId28" Type="http://schemas.openxmlformats.org/officeDocument/2006/relationships/hyperlink" Target="https://advance.lexis.com/api/document?collection=cases-ca&amp;id=urn:contentItem:5F7T-S7D1-FCSB-S31N-00000-00&amp;context=" TargetMode="External" /><Relationship Id="rId280" Type="http://schemas.openxmlformats.org/officeDocument/2006/relationships/footer" Target="footer38.xml" /><Relationship Id="rId281" Type="http://schemas.openxmlformats.org/officeDocument/2006/relationships/header" Target="header39.xml" /><Relationship Id="rId282" Type="http://schemas.openxmlformats.org/officeDocument/2006/relationships/footer" Target="footer39.xml" /><Relationship Id="rId283" Type="http://schemas.openxmlformats.org/officeDocument/2006/relationships/hyperlink" Target="https://advance.lexis.com/api/document?collection=cases-ca&amp;id=urn:contentItem:5MS6-N901-K0BB-S3D0-00000-00&amp;context=" TargetMode="External" /><Relationship Id="rId284" Type="http://schemas.openxmlformats.org/officeDocument/2006/relationships/hyperlink" Target="https://advance.lexis.com/api/document?collection=legislation-ca&amp;id=urn:contentItem:5F41-1FG1-FC1F-M0SW-00000-00&amp;context=" TargetMode="External" /><Relationship Id="rId285" Type="http://schemas.openxmlformats.org/officeDocument/2006/relationships/hyperlink" Target="https://advance.lexis.com/api/document?collection=cases-ca&amp;id=urn:contentItem:5GCC-XVC1-JSRM-60H2-00000-00&amp;context=" TargetMode="External" /><Relationship Id="rId286" Type="http://schemas.openxmlformats.org/officeDocument/2006/relationships/hyperlink" Target="https://advance.lexis.com/api/document?collection=cases-ca&amp;id=urn:contentItem:5F7T-S6T1-F361-M02B-00000-00&amp;context=" TargetMode="External" /><Relationship Id="rId287" Type="http://schemas.openxmlformats.org/officeDocument/2006/relationships/hyperlink" Target="https://advance.lexis.com/api/document?collection=cases-ca&amp;id=urn:contentItem:5F7T-S741-F2F4-G2CF-00000-00&amp;context=" TargetMode="External" /><Relationship Id="rId288" Type="http://schemas.openxmlformats.org/officeDocument/2006/relationships/hyperlink" Target="https://advance.lexis.com/api/document?collection=cases-ca&amp;id=urn:contentItem:5F16-93B1-F4GK-M3X0-00000-00&amp;context=" TargetMode="External" /><Relationship Id="rId289" Type="http://schemas.openxmlformats.org/officeDocument/2006/relationships/hyperlink" Target="https://advance.lexis.com/api/document?collection=cases-ca&amp;id=urn:contentItem:5F7T-S7H1-JFKM-6275-00000-00&amp;context=" TargetMode="External" /><Relationship Id="rId29" Type="http://schemas.openxmlformats.org/officeDocument/2006/relationships/hyperlink" Target="https://advance.lexis.com/api/document?collection=cases-ca&amp;id=urn:contentItem:5F7T-S7D1-DY89-M415-00000-00&amp;context=" TargetMode="External" /><Relationship Id="rId290" Type="http://schemas.openxmlformats.org/officeDocument/2006/relationships/hyperlink" Target="https://advance.lexis.com/api/document?collection=cases-ca&amp;id=urn:contentItem:5F7T-S6R1-F4GK-M0H6-00000-00&amp;context=" TargetMode="External" /><Relationship Id="rId291" Type="http://schemas.openxmlformats.org/officeDocument/2006/relationships/header" Target="header40.xml" /><Relationship Id="rId292" Type="http://schemas.openxmlformats.org/officeDocument/2006/relationships/header" Target="header41.xml" /><Relationship Id="rId293" Type="http://schemas.openxmlformats.org/officeDocument/2006/relationships/footer" Target="footer40.xml" /><Relationship Id="rId294" Type="http://schemas.openxmlformats.org/officeDocument/2006/relationships/footer" Target="footer41.xml" /><Relationship Id="rId295" Type="http://schemas.openxmlformats.org/officeDocument/2006/relationships/header" Target="header42.xml" /><Relationship Id="rId296" Type="http://schemas.openxmlformats.org/officeDocument/2006/relationships/footer" Target="footer42.xml" /><Relationship Id="rId297" Type="http://schemas.openxmlformats.org/officeDocument/2006/relationships/hyperlink" Target="https://advance.lexis.com/api/document?collection=cases-ca&amp;id=urn:contentItem:5F7T-S771-JW5H-X1V4-00000-00&amp;context=" TargetMode="External" /><Relationship Id="rId298" Type="http://schemas.openxmlformats.org/officeDocument/2006/relationships/hyperlink" Target="https://advance.lexis.com/api/document?collection=cases-ca&amp;id=urn:contentItem:5F7T-S731-JNJT-B1V8-00000-00&amp;context=" TargetMode="External" /><Relationship Id="rId299" Type="http://schemas.openxmlformats.org/officeDocument/2006/relationships/hyperlink" Target="https://advance.lexis.com/api/document?collection=cases-ca&amp;id=urn:contentItem:5F8T-N3R1-FJDY-X362-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7T-S7M1-F4W2-61YR-00000-00&amp;context=" TargetMode="External" /><Relationship Id="rId300" Type="http://schemas.openxmlformats.org/officeDocument/2006/relationships/hyperlink" Target="https://advance.lexis.com/api/document?collection=cases-ca&amp;id=urn:contentItem:5F7T-S6V1-JWR6-S17D-00000-00&amp;context=" TargetMode="External" /><Relationship Id="rId301" Type="http://schemas.openxmlformats.org/officeDocument/2006/relationships/hyperlink" Target="https://advance.lexis.com/api/document?collection=cases-ca&amp;id=urn:contentItem:5F7T-S741-F1H1-21P3-00000-00&amp;context=" TargetMode="External" /><Relationship Id="rId302" Type="http://schemas.openxmlformats.org/officeDocument/2006/relationships/header" Target="header43.xml" /><Relationship Id="rId303" Type="http://schemas.openxmlformats.org/officeDocument/2006/relationships/header" Target="header44.xml" /><Relationship Id="rId304" Type="http://schemas.openxmlformats.org/officeDocument/2006/relationships/footer" Target="footer43.xml" /><Relationship Id="rId305" Type="http://schemas.openxmlformats.org/officeDocument/2006/relationships/footer" Target="footer44.xml" /><Relationship Id="rId306" Type="http://schemas.openxmlformats.org/officeDocument/2006/relationships/header" Target="header45.xml" /><Relationship Id="rId307" Type="http://schemas.openxmlformats.org/officeDocument/2006/relationships/footer" Target="footer45.xml" /><Relationship Id="rId308" Type="http://schemas.openxmlformats.org/officeDocument/2006/relationships/hyperlink" Target="https://advance.lexis.com/api/document?collection=cases-ca&amp;id=urn:contentItem:5F7T-S781-F27X-61G7-00000-00&amp;context=" TargetMode="External" /><Relationship Id="rId309" Type="http://schemas.openxmlformats.org/officeDocument/2006/relationships/hyperlink" Target="https://advance.lexis.com/api/document?collection=cases-ca&amp;id=urn:contentItem:5F7T-S781-FH4C-X2R5-00000-00&amp;context=" TargetMode="External" /><Relationship Id="rId31" Type="http://schemas.openxmlformats.org/officeDocument/2006/relationships/hyperlink" Target="https://advance.lexis.com/api/document?collection=cases-ca&amp;id=urn:contentItem:5NSB-PR71-K054-G3D3-00000-00&amp;context=" TargetMode="External" /><Relationship Id="rId310" Type="http://schemas.openxmlformats.org/officeDocument/2006/relationships/hyperlink" Target="https://advance.lexis.com/api/document?collection=cases-ca&amp;id=urn:contentItem:5F8T-N3T1-JFKM-6552-00000-00&amp;context=" TargetMode="External" /><Relationship Id="rId311" Type="http://schemas.openxmlformats.org/officeDocument/2006/relationships/hyperlink" Target="https://advance.lexis.com/api/document?collection=cases-ca&amp;id=urn:contentItem:5F7T-S741-F1H1-21JV-00000-00&amp;context=" TargetMode="External" /><Relationship Id="rId312" Type="http://schemas.openxmlformats.org/officeDocument/2006/relationships/header" Target="header46.xml" /><Relationship Id="rId313" Type="http://schemas.openxmlformats.org/officeDocument/2006/relationships/header" Target="header47.xml" /><Relationship Id="rId314" Type="http://schemas.openxmlformats.org/officeDocument/2006/relationships/footer" Target="footer46.xml" /><Relationship Id="rId315" Type="http://schemas.openxmlformats.org/officeDocument/2006/relationships/footer" Target="footer47.xml" /><Relationship Id="rId316" Type="http://schemas.openxmlformats.org/officeDocument/2006/relationships/header" Target="header48.xml" /><Relationship Id="rId317" Type="http://schemas.openxmlformats.org/officeDocument/2006/relationships/footer" Target="footer48.xml" /><Relationship Id="rId318" Type="http://schemas.openxmlformats.org/officeDocument/2006/relationships/hyperlink" Target="https://advance.lexis.com/api/document?collection=cases-ca&amp;id=urn:contentItem:5F7T-S7D1-JS5Y-B20R-00000-00&amp;context=" TargetMode="External" /><Relationship Id="rId319" Type="http://schemas.openxmlformats.org/officeDocument/2006/relationships/hyperlink" Target="https://advance.lexis.com/api/document?collection=legislation-ca&amp;id=urn:contentItem:5J77-2RG1-FBV7-B44F-00000-00&amp;context=" TargetMode="External" /><Relationship Id="rId32" Type="http://schemas.openxmlformats.org/officeDocument/2006/relationships/hyperlink" Target="https://advance.lexis.com/api/document?collection=cases-ca&amp;id=urn:contentItem:5F7T-S7P1-JNJT-B2JS-00000-00&amp;context=" TargetMode="External" /><Relationship Id="rId320" Type="http://schemas.openxmlformats.org/officeDocument/2006/relationships/hyperlink" Target="https://advance.lexis.com/api/document?collection=legislation-ca&amp;id=urn:contentItem:5F41-1FG1-JGHR-M2KX-00000-00&amp;context=" TargetMode="External" /><Relationship Id="rId321" Type="http://schemas.openxmlformats.org/officeDocument/2006/relationships/hyperlink" Target="https://advance.lexis.com/api/document?collection=cases-ca&amp;id=urn:contentItem:5F8W-WN71-JSC5-M48X-00000-00&amp;context=" TargetMode="External" /><Relationship Id="rId322" Type="http://schemas.openxmlformats.org/officeDocument/2006/relationships/hyperlink" Target="https://advance.lexis.com/api/document?collection=cases-ca&amp;id=urn:contentItem:5F8W-WNC1-FG12-618Y-00000-00&amp;context=" TargetMode="External" /><Relationship Id="rId323" Type="http://schemas.openxmlformats.org/officeDocument/2006/relationships/hyperlink" Target="https://advance.lexis.com/api/document?collection=cases-ca&amp;id=urn:contentItem:5F8T-N3V1-FC1F-M3YP-00000-00&amp;context=" TargetMode="External" /><Relationship Id="rId324" Type="http://schemas.openxmlformats.org/officeDocument/2006/relationships/hyperlink" Target="https://advance.lexis.com/api/document?collection=cases-ca&amp;id=urn:contentItem:5F8T-N3V1-JFKM-60BN-00000-00&amp;context=" TargetMode="External" /><Relationship Id="rId325" Type="http://schemas.openxmlformats.org/officeDocument/2006/relationships/hyperlink" Target="https://advance.lexis.com/api/document?collection=cases-ca&amp;id=urn:contentItem:5F8T-N3T1-JJSF-2342-00000-00&amp;context=" TargetMode="External" /><Relationship Id="rId326" Type="http://schemas.openxmlformats.org/officeDocument/2006/relationships/hyperlink" Target="https://advance.lexis.com/api/document?collection=cases-ca&amp;id=urn:contentItem:5F8T-N3T1-JJSF-2334-00000-00&amp;context=" TargetMode="External" /><Relationship Id="rId327" Type="http://schemas.openxmlformats.org/officeDocument/2006/relationships/hyperlink" Target="https://advance.lexis.com/api/document?collection=cases-ca&amp;id=urn:contentItem:5F8W-WN81-JJYN-B20D-00000-00&amp;context=" TargetMode="External" /><Relationship Id="rId328" Type="http://schemas.openxmlformats.org/officeDocument/2006/relationships/hyperlink" Target="https://advance.lexis.com/api/document?collection=cases-ca&amp;id=urn:contentItem:5F8W-WNB1-F22N-X3BB-00000-00&amp;context=" TargetMode="External" /><Relationship Id="rId329" Type="http://schemas.openxmlformats.org/officeDocument/2006/relationships/header" Target="header49.xml" /><Relationship Id="rId33" Type="http://schemas.openxmlformats.org/officeDocument/2006/relationships/hyperlink" Target="https://advance.lexis.com/api/document?collection=cases-ca&amp;id=urn:contentItem:5G99-25T1-F016-S0YR-00000-00&amp;context=" TargetMode="External" /><Relationship Id="rId330" Type="http://schemas.openxmlformats.org/officeDocument/2006/relationships/header" Target="header50.xml" /><Relationship Id="rId331" Type="http://schemas.openxmlformats.org/officeDocument/2006/relationships/footer" Target="footer49.xml" /><Relationship Id="rId332" Type="http://schemas.openxmlformats.org/officeDocument/2006/relationships/footer" Target="footer50.xml" /><Relationship Id="rId333" Type="http://schemas.openxmlformats.org/officeDocument/2006/relationships/header" Target="header51.xml" /><Relationship Id="rId334" Type="http://schemas.openxmlformats.org/officeDocument/2006/relationships/footer" Target="footer51.xml" /><Relationship Id="rId335" Type="http://schemas.openxmlformats.org/officeDocument/2006/relationships/hyperlink" Target="https://advance.lexis.com/api/document?collection=cases-ca&amp;id=urn:contentItem:5R43-WS31-F5KY-B0B1-00000-00&amp;context=" TargetMode="External" /><Relationship Id="rId336" Type="http://schemas.openxmlformats.org/officeDocument/2006/relationships/hyperlink" Target="https://advance.lexis.com/api/document?collection=cases-ca&amp;id=urn:contentItem:5F7T-S7N1-JJ1H-X2YN-00000-00&amp;context=" TargetMode="External" /><Relationship Id="rId337" Type="http://schemas.openxmlformats.org/officeDocument/2006/relationships/hyperlink" Target="https://advance.lexis.com/api/document?collection=cases-ca&amp;id=urn:contentItem:5F7T-S7K1-JX3N-B349-00000-00&amp;context=" TargetMode="External" /><Relationship Id="rId338" Type="http://schemas.openxmlformats.org/officeDocument/2006/relationships/hyperlink" Target="https://advance.lexis.com/api/document?collection=cases-ca&amp;id=urn:contentItem:5F81-VJX1-FCK4-G1RV-00000-00&amp;context=" TargetMode="External" /><Relationship Id="rId339" Type="http://schemas.openxmlformats.org/officeDocument/2006/relationships/hyperlink" Target="https://advance.lexis.com/api/document?collection=cases-ca&amp;id=urn:contentItem:5F7T-S6T1-F2F4-G1FK-00000-00&amp;context=" TargetMode="External" /><Relationship Id="rId34" Type="http://schemas.openxmlformats.org/officeDocument/2006/relationships/hyperlink" Target="https://advance.lexis.com/api/document?collection=cases-ca&amp;id=urn:contentItem:5MS1-JVC1-F7VM-S3TM-00000-00&amp;context=" TargetMode="External" /><Relationship Id="rId340" Type="http://schemas.openxmlformats.org/officeDocument/2006/relationships/hyperlink" Target="https://advance.lexis.com/api/document?collection=cases-ca&amp;id=urn:contentItem:5F7D-YKB1-DYV0-G08B-00000-00&amp;context=" TargetMode="External" /><Relationship Id="rId341" Type="http://schemas.openxmlformats.org/officeDocument/2006/relationships/hyperlink" Target="https://advance.lexis.com/api/document?collection=cases-ca&amp;id=urn:contentItem:5F7T-S721-F5T5-M21G-00000-00&amp;context=" TargetMode="External" /><Relationship Id="rId342" Type="http://schemas.openxmlformats.org/officeDocument/2006/relationships/hyperlink" Target="https://advance.lexis.com/api/document?collection=cases-ca&amp;id=urn:contentItem:5GBX-BXM1-FGRY-B3H7-00000-00&amp;context=" TargetMode="External" /><Relationship Id="rId343" Type="http://schemas.openxmlformats.org/officeDocument/2006/relationships/hyperlink" Target="https://advance.lexis.com/api/document?collection=cases-ca&amp;id=urn:contentItem:5F7T-S7G1-JPP5-21TY-00000-00&amp;context=" TargetMode="External" /><Relationship Id="rId344" Type="http://schemas.openxmlformats.org/officeDocument/2006/relationships/hyperlink" Target="https://advance.lexis.com/api/document?collection=cases-ca&amp;id=urn:contentItem:5GCC-XVB1-FK0M-S52Y-00000-00&amp;context=" TargetMode="External" /><Relationship Id="rId345" Type="http://schemas.openxmlformats.org/officeDocument/2006/relationships/header" Target="header52.xml" /><Relationship Id="rId346" Type="http://schemas.openxmlformats.org/officeDocument/2006/relationships/header" Target="header53.xml" /><Relationship Id="rId347" Type="http://schemas.openxmlformats.org/officeDocument/2006/relationships/footer" Target="footer52.xml" /><Relationship Id="rId348" Type="http://schemas.openxmlformats.org/officeDocument/2006/relationships/footer" Target="footer53.xml" /><Relationship Id="rId349" Type="http://schemas.openxmlformats.org/officeDocument/2006/relationships/header" Target="header54.xml" /><Relationship Id="rId35" Type="http://schemas.openxmlformats.org/officeDocument/2006/relationships/header" Target="header4.xml" /><Relationship Id="rId350" Type="http://schemas.openxmlformats.org/officeDocument/2006/relationships/footer" Target="footer54.xml" /><Relationship Id="rId351" Type="http://schemas.openxmlformats.org/officeDocument/2006/relationships/hyperlink" Target="https://advance.lexis.com/api/document?collection=cases-ca&amp;id=urn:contentItem:5F7T-S7P1-JNJT-B2D7-00000-00&amp;context=" TargetMode="External" /><Relationship Id="rId352" Type="http://schemas.openxmlformats.org/officeDocument/2006/relationships/hyperlink" Target="https://advance.lexis.com/api/document?collection=cases-ca&amp;id=urn:contentItem:5K6Y-81N1-JNY7-X1WW-00000-00&amp;context=" TargetMode="External" /><Relationship Id="rId353" Type="http://schemas.openxmlformats.org/officeDocument/2006/relationships/hyperlink" Target="https://advance.lexis.com/api/document?collection=legislation-ca&amp;id=urn:contentItem:5F41-1FG1-F4NT-X0BX-00000-00&amp;context=" TargetMode="External" /><Relationship Id="rId354" Type="http://schemas.openxmlformats.org/officeDocument/2006/relationships/hyperlink" Target="https://advance.lexis.com/api/document?collection=cases-ca&amp;id=urn:contentItem:5F7T-S7H1-FCSB-S3MY-00000-00&amp;context=" TargetMode="External" /><Relationship Id="rId355" Type="http://schemas.openxmlformats.org/officeDocument/2006/relationships/hyperlink" Target="https://advance.lexis.com/api/document?collection=cases-ca&amp;id=urn:contentItem:5F8T-N3V1-JF75-M3S6-00000-00&amp;context=" TargetMode="External" /><Relationship Id="rId356" Type="http://schemas.openxmlformats.org/officeDocument/2006/relationships/hyperlink" Target="https://advance.lexis.com/api/document?collection=cases-ca&amp;id=urn:contentItem:5F7T-S7C1-JSRM-60TP-00000-00&amp;context=" TargetMode="External" /><Relationship Id="rId357" Type="http://schemas.openxmlformats.org/officeDocument/2006/relationships/hyperlink" Target="https://advance.lexis.com/api/document?collection=cases-ca&amp;id=urn:contentItem:5F7T-S771-JWBS-61HG-00000-00&amp;context=" TargetMode="External" /><Relationship Id="rId358" Type="http://schemas.openxmlformats.org/officeDocument/2006/relationships/hyperlink" Target="https://advance.lexis.com/api/document?collection=cases-ca&amp;id=urn:contentItem:5F7T-S7D1-JG02-S2Y2-00000-00&amp;context=" TargetMode="External" /><Relationship Id="rId359" Type="http://schemas.openxmlformats.org/officeDocument/2006/relationships/hyperlink" Target="https://advance.lexis.com/api/document?collection=cases-ca&amp;id=urn:contentItem:5F7T-S7G1-JWR6-S1K1-00000-00&amp;context=" TargetMode="External" /><Relationship Id="rId36" Type="http://schemas.openxmlformats.org/officeDocument/2006/relationships/header" Target="header5.xml" /><Relationship Id="rId360" Type="http://schemas.openxmlformats.org/officeDocument/2006/relationships/hyperlink" Target="https://advance.lexis.com/api/document?collection=cases-ca&amp;id=urn:contentItem:5F7T-S7D1-JN6B-S16W-00000-00&amp;context=" TargetMode="External" /><Relationship Id="rId361" Type="http://schemas.openxmlformats.org/officeDocument/2006/relationships/hyperlink" Target="https://advance.lexis.com/api/document?collection=cases-ca&amp;id=urn:contentItem:5F7T-S731-F60C-X11W-00000-00&amp;context=" TargetMode="External" /><Relationship Id="rId362" Type="http://schemas.openxmlformats.org/officeDocument/2006/relationships/hyperlink" Target="https://advance.lexis.com/api/document?collection=cases-ca&amp;id=urn:contentItem:5F7T-S771-JSJC-X05N-00000-00&amp;context=" TargetMode="External" /><Relationship Id="rId363" Type="http://schemas.openxmlformats.org/officeDocument/2006/relationships/header" Target="header55.xml" /><Relationship Id="rId364" Type="http://schemas.openxmlformats.org/officeDocument/2006/relationships/header" Target="header56.xml" /><Relationship Id="rId365" Type="http://schemas.openxmlformats.org/officeDocument/2006/relationships/footer" Target="footer55.xml" /><Relationship Id="rId366" Type="http://schemas.openxmlformats.org/officeDocument/2006/relationships/footer" Target="footer56.xml" /><Relationship Id="rId367" Type="http://schemas.openxmlformats.org/officeDocument/2006/relationships/header" Target="header57.xml" /><Relationship Id="rId368" Type="http://schemas.openxmlformats.org/officeDocument/2006/relationships/footer" Target="footer57.xml" /><Relationship Id="rId369" Type="http://schemas.openxmlformats.org/officeDocument/2006/relationships/hyperlink" Target="https://advance.lexis.com/api/document?collection=cases-ca&amp;id=urn:contentItem:5GCC-XVB1-FK0M-S4RX-00000-00&amp;context=" TargetMode="External" /><Relationship Id="rId37" Type="http://schemas.openxmlformats.org/officeDocument/2006/relationships/footer" Target="footer4.xml" /><Relationship Id="rId370" Type="http://schemas.openxmlformats.org/officeDocument/2006/relationships/header" Target="header58.xml" /><Relationship Id="rId371" Type="http://schemas.openxmlformats.org/officeDocument/2006/relationships/header" Target="header59.xml" /><Relationship Id="rId372" Type="http://schemas.openxmlformats.org/officeDocument/2006/relationships/footer" Target="footer58.xml" /><Relationship Id="rId373" Type="http://schemas.openxmlformats.org/officeDocument/2006/relationships/footer" Target="footer59.xml" /><Relationship Id="rId374" Type="http://schemas.openxmlformats.org/officeDocument/2006/relationships/header" Target="header60.xml" /><Relationship Id="rId375" Type="http://schemas.openxmlformats.org/officeDocument/2006/relationships/footer" Target="footer60.xml" /><Relationship Id="rId376" Type="http://schemas.openxmlformats.org/officeDocument/2006/relationships/hyperlink" Target="https://advance.lexis.com/api/document?collection=cases-ca&amp;id=urn:contentItem:5GGK-45G1-F7VM-S3BM-00000-00&amp;context=" TargetMode="External" /><Relationship Id="rId377" Type="http://schemas.openxmlformats.org/officeDocument/2006/relationships/hyperlink" Target="https://advance.lexis.com/api/document?collection=legislation-ca&amp;id=urn:contentItem:5F3B-BB41-JYYX-60CN-00000-00&amp;context=" TargetMode="External" /><Relationship Id="rId378" Type="http://schemas.openxmlformats.org/officeDocument/2006/relationships/hyperlink" Target="https://advance.lexis.com/api/document?collection=legislation-ca&amp;id=urn:contentItem:5F41-1FH1-JT42-S1GJ-00000-00&amp;context=" TargetMode="External" /><Relationship Id="rId379" Type="http://schemas.openxmlformats.org/officeDocument/2006/relationships/hyperlink" Target="https://advance.lexis.com/api/document?collection=legislation-ca&amp;id=urn:contentItem:5F3B-B791-JW09-M0PK-00000-00&amp;context=" TargetMode="External" /><Relationship Id="rId38" Type="http://schemas.openxmlformats.org/officeDocument/2006/relationships/footer" Target="footer5.xml" /><Relationship Id="rId380" Type="http://schemas.openxmlformats.org/officeDocument/2006/relationships/hyperlink" Target="https://advance.lexis.com/api/document?collection=legislation-ca&amp;id=urn:contentItem:5VYK-WB11-F5KY-B48X-00000-00&amp;context=" TargetMode="External" /><Relationship Id="rId381" Type="http://schemas.openxmlformats.org/officeDocument/2006/relationships/hyperlink" Target="https://advance.lexis.com/api/document?collection=cases-ca&amp;id=urn:contentItem:5F7T-S7N1-F57G-S2MH-00000-00&amp;context=" TargetMode="External" /><Relationship Id="rId382" Type="http://schemas.openxmlformats.org/officeDocument/2006/relationships/hyperlink" Target="https://advance.lexis.com/api/document?collection=cases-ca&amp;id=urn:contentItem:5F7T-S711-F4GK-M2V2-00000-00&amp;context=" TargetMode="External" /><Relationship Id="rId383" Type="http://schemas.openxmlformats.org/officeDocument/2006/relationships/hyperlink" Target="https://advance.lexis.com/api/document?collection=cases-ca&amp;id=urn:contentItem:5F7T-S711-JNS1-M175-00000-00&amp;context=" TargetMode="External" /><Relationship Id="rId384" Type="http://schemas.openxmlformats.org/officeDocument/2006/relationships/hyperlink" Target="https://advance.lexis.com/api/document?collection=cases-ca&amp;id=urn:contentItem:5F8P-SF81-JF75-M1MG-00000-00&amp;context=" TargetMode="External" /><Relationship Id="rId385" Type="http://schemas.openxmlformats.org/officeDocument/2006/relationships/hyperlink" Target="https://advance.lexis.com/api/document?collection=cases-ca&amp;id=urn:contentItem:5F7V-3DM1-JNCK-236R-00000-00&amp;context=" TargetMode="External" /><Relationship Id="rId386" Type="http://schemas.openxmlformats.org/officeDocument/2006/relationships/hyperlink" Target="https://advance.lexis.com/api/document?collection=cases-ca&amp;id=urn:contentItem:5F8T-N3V1-FC1F-M415-00000-00&amp;context=" TargetMode="External" /><Relationship Id="rId387" Type="http://schemas.openxmlformats.org/officeDocument/2006/relationships/hyperlink" Target="https://advance.lexis.com/api/document?collection=cases-ca&amp;id=urn:contentItem:5F8T-N3T1-JGHR-M26Y-00000-00&amp;context=" TargetMode="External" /><Relationship Id="rId388" Type="http://schemas.openxmlformats.org/officeDocument/2006/relationships/hyperlink" Target="https://advance.lexis.com/api/document?collection=cases-ca&amp;id=urn:contentItem:5F8T-N3V1-FC1F-M4C3-00000-00&amp;context=" TargetMode="External" /><Relationship Id="rId389" Type="http://schemas.openxmlformats.org/officeDocument/2006/relationships/hyperlink" Target="https://advance.lexis.com/api/document?collection=cases-ca&amp;id=urn:contentItem:5F7T-S7P1-JNJT-B2WT-00000-00&amp;context=" TargetMode="External" /><Relationship Id="rId39" Type="http://schemas.openxmlformats.org/officeDocument/2006/relationships/header" Target="header6.xml" /><Relationship Id="rId390" Type="http://schemas.openxmlformats.org/officeDocument/2006/relationships/header" Target="header61.xml" /><Relationship Id="rId391" Type="http://schemas.openxmlformats.org/officeDocument/2006/relationships/header" Target="header62.xml" /><Relationship Id="rId392" Type="http://schemas.openxmlformats.org/officeDocument/2006/relationships/footer" Target="footer61.xml" /><Relationship Id="rId393" Type="http://schemas.openxmlformats.org/officeDocument/2006/relationships/footer" Target="footer62.xml" /><Relationship Id="rId394" Type="http://schemas.openxmlformats.org/officeDocument/2006/relationships/header" Target="header63.xml" /><Relationship Id="rId395" Type="http://schemas.openxmlformats.org/officeDocument/2006/relationships/footer" Target="footer63.xml" /><Relationship Id="rId396" Type="http://schemas.openxmlformats.org/officeDocument/2006/relationships/hyperlink" Target="https://advance.lexis.com/api/document?collection=cases-ca&amp;id=urn:contentItem:5T3S-1CN1-JT42-S2TC-00000-00&amp;context=" TargetMode="External" /><Relationship Id="rId397" Type="http://schemas.openxmlformats.org/officeDocument/2006/relationships/hyperlink" Target="https://advance.lexis.com/api/document?collection=cases-ca&amp;id=urn:contentItem:5S9C-3741-F7VM-S1J2-00000-00&amp;context=" TargetMode="External" /><Relationship Id="rId398" Type="http://schemas.openxmlformats.org/officeDocument/2006/relationships/hyperlink" Target="https://advance.lexis.com/api/document?collection=cases-ca&amp;id=urn:contentItem:5F8T-N3S1-JT99-24N1-00000-00&amp;context=" TargetMode="External" /><Relationship Id="rId399" Type="http://schemas.openxmlformats.org/officeDocument/2006/relationships/hyperlink" Target="https://advance.lexis.com/api/document?collection=cases-ca&amp;id=urn:contentItem:5F7T-S7G1-JX3N-B1YS-00000-00&amp;context=" TargetMode="External" /><Relationship Id="rId4" Type="http://schemas.openxmlformats.org/officeDocument/2006/relationships/header" Target="header1.xml" /><Relationship Id="rId40" Type="http://schemas.openxmlformats.org/officeDocument/2006/relationships/footer" Target="footer6.xml" /><Relationship Id="rId400" Type="http://schemas.openxmlformats.org/officeDocument/2006/relationships/hyperlink" Target="https://advance.lexis.com/api/document?collection=cases-ca&amp;id=urn:contentItem:5JBT-WT01-JT42-S159-00000-00&amp;context=" TargetMode="External" /><Relationship Id="rId401" Type="http://schemas.openxmlformats.org/officeDocument/2006/relationships/hyperlink" Target="https://advance.lexis.com/api/document?collection=cases-ca&amp;id=urn:contentItem:5S71-S5N1-F4NT-X1VD-00000-00&amp;context=" TargetMode="External" /><Relationship Id="rId402" Type="http://schemas.openxmlformats.org/officeDocument/2006/relationships/hyperlink" Target="https://advance.lexis.com/api/document?collection=cases-ca&amp;id=urn:contentItem:5RT3-H8C1-FJM6-64BT-00000-00&amp;context=" TargetMode="External" /><Relationship Id="rId403" Type="http://schemas.openxmlformats.org/officeDocument/2006/relationships/hyperlink" Target="https://advance.lexis.com/api/document?collection=cases-ca&amp;id=urn:contentItem:5F7T-S7H1-JCRC-B16V-00000-00&amp;context=" TargetMode="External" /><Relationship Id="rId404" Type="http://schemas.openxmlformats.org/officeDocument/2006/relationships/hyperlink" Target="https://advance.lexis.com/api/document?collection=cases-ca&amp;id=urn:contentItem:5GSP-CPF1-JB7K-2008-00000-00&amp;context=" TargetMode="External" /><Relationship Id="rId405" Type="http://schemas.openxmlformats.org/officeDocument/2006/relationships/hyperlink" Target="https://advance.lexis.com/api/document?collection=cases-ca&amp;id=urn:contentItem:5F7T-S731-JC0G-637P-00000-00&amp;context=" TargetMode="External" /><Relationship Id="rId406" Type="http://schemas.openxmlformats.org/officeDocument/2006/relationships/hyperlink" Target="https://advance.lexis.com/api/document?collection=cases-ca&amp;id=urn:contentItem:5F7T-S7D1-F7ND-G0C0-00000-00&amp;context=" TargetMode="External" /><Relationship Id="rId407" Type="http://schemas.openxmlformats.org/officeDocument/2006/relationships/header" Target="header64.xml" /><Relationship Id="rId408" Type="http://schemas.openxmlformats.org/officeDocument/2006/relationships/header" Target="header65.xml" /><Relationship Id="rId409" Type="http://schemas.openxmlformats.org/officeDocument/2006/relationships/footer" Target="footer64.xml" /><Relationship Id="rId41" Type="http://schemas.openxmlformats.org/officeDocument/2006/relationships/hyperlink" Target="https://advance.lexis.com/api/document?collection=cases-ca&amp;id=urn:contentItem:5F7T-S7P1-JBDT-B137-00000-00&amp;context=" TargetMode="External" /><Relationship Id="rId410" Type="http://schemas.openxmlformats.org/officeDocument/2006/relationships/footer" Target="footer65.xml" /><Relationship Id="rId411" Type="http://schemas.openxmlformats.org/officeDocument/2006/relationships/header" Target="header66.xml" /><Relationship Id="rId412" Type="http://schemas.openxmlformats.org/officeDocument/2006/relationships/footer" Target="footer66.xml" /><Relationship Id="rId413" Type="http://schemas.openxmlformats.org/officeDocument/2006/relationships/hyperlink" Target="https://advance.lexis.com/api/document?collection=cases-ca&amp;id=urn:contentItem:5F7T-S781-F27X-61FH-00000-00&amp;context=" TargetMode="External" /><Relationship Id="rId414" Type="http://schemas.openxmlformats.org/officeDocument/2006/relationships/hyperlink" Target="https://advance.lexis.com/api/document?collection=cases-ca&amp;id=urn:contentItem:5F7T-S761-JS5Y-B1P4-00000-00&amp;context=" TargetMode="External" /><Relationship Id="rId415" Type="http://schemas.openxmlformats.org/officeDocument/2006/relationships/hyperlink" Target="https://advance.lexis.com/api/document?collection=cases-ca&amp;id=urn:contentItem:5F7T-S771-JSJC-X04S-00000-00&amp;context=" TargetMode="External" /><Relationship Id="rId416" Type="http://schemas.openxmlformats.org/officeDocument/2006/relationships/hyperlink" Target="https://advance.lexis.com/api/document?collection=cases-ca&amp;id=urn:contentItem:5F7T-S6V1-JFKM-6132-00000-00&amp;context=" TargetMode="External" /><Relationship Id="rId417" Type="http://schemas.openxmlformats.org/officeDocument/2006/relationships/hyperlink" Target="https://advance.lexis.com/api/document?collection=cases-ca&amp;id=urn:contentItem:5F7T-S741-F528-G2FD-00000-00&amp;context=" TargetMode="External" /><Relationship Id="rId418" Type="http://schemas.openxmlformats.org/officeDocument/2006/relationships/hyperlink" Target="https://advance.lexis.com/api/document?collection=cases-ca&amp;id=urn:contentItem:5F7T-S771-FG68-G119-00000-00&amp;context=" TargetMode="External" /><Relationship Id="rId419" Type="http://schemas.openxmlformats.org/officeDocument/2006/relationships/hyperlink" Target="https://advance.lexis.com/api/document?collection=cases-ca&amp;id=urn:contentItem:5F7T-S761-F7ND-G4DM-00000-00&amp;context=" TargetMode="External" /><Relationship Id="rId42" Type="http://schemas.openxmlformats.org/officeDocument/2006/relationships/hyperlink" Target="https://advance.lexis.com/api/document?collection=legislation-ca&amp;id=urn:contentItem:5TXS-5HB1-K0BB-S022-00000-00&amp;context=" TargetMode="External" /><Relationship Id="rId420" Type="http://schemas.openxmlformats.org/officeDocument/2006/relationships/header" Target="header67.xml" /><Relationship Id="rId421" Type="http://schemas.openxmlformats.org/officeDocument/2006/relationships/header" Target="header68.xml" /><Relationship Id="rId422" Type="http://schemas.openxmlformats.org/officeDocument/2006/relationships/footer" Target="footer67.xml" /><Relationship Id="rId423" Type="http://schemas.openxmlformats.org/officeDocument/2006/relationships/footer" Target="footer68.xml" /><Relationship Id="rId424" Type="http://schemas.openxmlformats.org/officeDocument/2006/relationships/header" Target="header69.xml" /><Relationship Id="rId425" Type="http://schemas.openxmlformats.org/officeDocument/2006/relationships/footer" Target="footer69.xml" /><Relationship Id="rId426" Type="http://schemas.openxmlformats.org/officeDocument/2006/relationships/hyperlink" Target="https://advance.lexis.com/api/document?collection=cases-ca&amp;id=urn:contentItem:5WTN-NHC1-FD4T-B4FM-00000-00&amp;context=" TargetMode="External" /><Relationship Id="rId427" Type="http://schemas.openxmlformats.org/officeDocument/2006/relationships/hyperlink" Target="https://advance.lexis.com/api/document?collection=legislation-ca&amp;id=urn:contentItem:5WC4-20H1-DXWW-209Y-00000-00&amp;context=" TargetMode="External" /><Relationship Id="rId428" Type="http://schemas.openxmlformats.org/officeDocument/2006/relationships/hyperlink" Target="https://advance.lexis.com/api/document?collection=legislation-ca&amp;id=urn:contentItem:5F3B-B7M1-F1WF-M166-00000-00&amp;context=" TargetMode="External" /><Relationship Id="rId429" Type="http://schemas.openxmlformats.org/officeDocument/2006/relationships/hyperlink" Target="https://advance.lexis.com/api/document?collection=legislation-ca&amp;id=urn:contentItem:5W00-SYR1-JX8W-M4S2-00000-00&amp;context=" TargetMode="External" /><Relationship Id="rId43" Type="http://schemas.openxmlformats.org/officeDocument/2006/relationships/hyperlink" Target="https://advance.lexis.com/api/document?collection=legislation-ca&amp;id=urn:contentItem:5F41-1FJ1-JBDT-B02W-00000-00&amp;context=" TargetMode="External" /><Relationship Id="rId430" Type="http://schemas.openxmlformats.org/officeDocument/2006/relationships/hyperlink" Target="https://advance.lexis.com/api/document?collection=cases-ca&amp;id=urn:contentItem:5F7T-S7H1-F016-S3WK-00000-00&amp;context=" TargetMode="External" /><Relationship Id="rId431" Type="http://schemas.openxmlformats.org/officeDocument/2006/relationships/hyperlink" Target="https://advance.lexis.com/api/document?collection=cases-ca&amp;id=urn:contentItem:5F7T-S7K1-JNY7-X4DW-00000-00&amp;context=" TargetMode="External" /><Relationship Id="rId432" Type="http://schemas.openxmlformats.org/officeDocument/2006/relationships/hyperlink" Target="https://advance.lexis.com/api/document?collection=cases-ca&amp;id=urn:contentItem:5F8T-N3V1-JF75-M3CB-00000-00&amp;context=" TargetMode="External" /><Relationship Id="rId433" Type="http://schemas.openxmlformats.org/officeDocument/2006/relationships/hyperlink" Target="https://advance.lexis.com/api/document?collection=cases-ca&amp;id=urn:contentItem:5RXP-NCC1-JT42-S4WX-00000-00&amp;context=" TargetMode="External" /><Relationship Id="rId434" Type="http://schemas.openxmlformats.org/officeDocument/2006/relationships/hyperlink" Target="https://advance.lexis.com/api/document?collection=cases-ca&amp;id=urn:contentItem:5KHN-KX81-JWR6-S42S-00000-00&amp;context=" TargetMode="External" /><Relationship Id="rId435" Type="http://schemas.openxmlformats.org/officeDocument/2006/relationships/hyperlink" Target="https://advance.lexis.com/api/document?collection=cases-ca&amp;id=urn:contentItem:5F7T-S7K1-JKHB-62XB-00000-00&amp;context=" TargetMode="External" /><Relationship Id="rId436" Type="http://schemas.openxmlformats.org/officeDocument/2006/relationships/hyperlink" Target="https://advance.lexis.com/api/document?collection=cases-ca&amp;id=urn:contentItem:5PMX-0BW1-FCSB-S2DW-00000-00&amp;context=" TargetMode="External" /><Relationship Id="rId437" Type="http://schemas.openxmlformats.org/officeDocument/2006/relationships/hyperlink" Target="https://advance.lexis.com/api/document?collection=cases-ca&amp;id=urn:contentItem:5TBC-4G11-F1P7-B2TK-00000-00&amp;context=" TargetMode="External" /><Relationship Id="rId438" Type="http://schemas.openxmlformats.org/officeDocument/2006/relationships/hyperlink" Target="https://advance.lexis.com/api/document?collection=legislation-ca&amp;id=urn:contentItem:5VYK-W9V1-JS0R-23WX-00000-00&amp;context=" TargetMode="External" /><Relationship Id="rId439" Type="http://schemas.openxmlformats.org/officeDocument/2006/relationships/hyperlink" Target="https://advance.lexis.com/api/document?collection=cases-ca&amp;id=urn:contentItem:5F8T-N3V1-JFKM-60C0-00000-00&amp;context=" TargetMode="External" /><Relationship Id="rId44" Type="http://schemas.openxmlformats.org/officeDocument/2006/relationships/hyperlink" Target="https://advance.lexis.com/api/document?collection=legislation-ca&amp;id=urn:contentItem:5VYK-W9W1-DY33-B2SS-00000-00&amp;context=" TargetMode="External" /><Relationship Id="rId440" Type="http://schemas.openxmlformats.org/officeDocument/2006/relationships/hyperlink" Target="https://advance.lexis.com/api/document?collection=cases-ca&amp;id=urn:contentItem:5F7T-S7P1-JP4G-61N9-00000-00&amp;context=" TargetMode="External" /><Relationship Id="rId441" Type="http://schemas.openxmlformats.org/officeDocument/2006/relationships/hyperlink" Target="https://advance.lexis.com/api/document?collection=cases-ca&amp;id=urn:contentItem:5F81-VJY1-F016-S2GB-00000-00&amp;context=" TargetMode="External" /><Relationship Id="rId442" Type="http://schemas.openxmlformats.org/officeDocument/2006/relationships/hyperlink" Target="https://advance.lexis.com/api/document?collection=cases-ca&amp;id=urn:contentItem:5RW1-G3B1-JTNR-M34R-00000-00&amp;context=" TargetMode="External" /><Relationship Id="rId443" Type="http://schemas.openxmlformats.org/officeDocument/2006/relationships/hyperlink" Target="https://advance.lexis.com/api/document?collection=cases-ca&amp;id=urn:contentItem:5F7T-S7K1-F528-G33S-00000-00&amp;context=" TargetMode="External" /><Relationship Id="rId444" Type="http://schemas.openxmlformats.org/officeDocument/2006/relationships/hyperlink" Target="https://advance.lexis.com/api/document?collection=cases-ca&amp;id=urn:contentItem:5F7T-S7N1-JC5P-G1WX-00000-00&amp;context=" TargetMode="External" /><Relationship Id="rId445" Type="http://schemas.openxmlformats.org/officeDocument/2006/relationships/header" Target="header70.xml" /><Relationship Id="rId446" Type="http://schemas.openxmlformats.org/officeDocument/2006/relationships/header" Target="header71.xml" /><Relationship Id="rId447" Type="http://schemas.openxmlformats.org/officeDocument/2006/relationships/footer" Target="footer70.xml" /><Relationship Id="rId448" Type="http://schemas.openxmlformats.org/officeDocument/2006/relationships/footer" Target="footer71.xml" /><Relationship Id="rId449" Type="http://schemas.openxmlformats.org/officeDocument/2006/relationships/header" Target="header72.xml" /><Relationship Id="rId45" Type="http://schemas.openxmlformats.org/officeDocument/2006/relationships/hyperlink" Target="https://advance.lexis.com/api/document?collection=cases-ca&amp;id=urn:contentItem:5F8T-N3V1-JTGH-B1DR-00000-00&amp;context=" TargetMode="External" /><Relationship Id="rId450" Type="http://schemas.openxmlformats.org/officeDocument/2006/relationships/footer" Target="footer72.xml" /><Relationship Id="rId451" Type="http://schemas.openxmlformats.org/officeDocument/2006/relationships/hyperlink" Target="https://advance.lexis.com/api/document?collection=cases-ca&amp;id=urn:contentItem:5F7T-S7D1-JS5Y-B29N-00000-00&amp;context=" TargetMode="External" /><Relationship Id="rId452" Type="http://schemas.openxmlformats.org/officeDocument/2006/relationships/hyperlink" Target="https://advance.lexis.com/api/document?collection=cases-ca&amp;id=urn:contentItem:5F7T-S7C1-F4NT-X2WR-00000-00&amp;context=" TargetMode="External" /><Relationship Id="rId453" Type="http://schemas.openxmlformats.org/officeDocument/2006/relationships/hyperlink" Target="https://advance.lexis.com/api/document?collection=cases-ca&amp;id=urn:contentItem:5F7T-S7G1-JBT7-X40C-00000-00&amp;context=" TargetMode="External" /><Relationship Id="rId454" Type="http://schemas.openxmlformats.org/officeDocument/2006/relationships/hyperlink" Target="https://advance.lexis.com/api/document?collection=cases-ca&amp;id=urn:contentItem:5F81-YGW1-DYFH-X025-00000-00&amp;context=" TargetMode="External" /><Relationship Id="rId455" Type="http://schemas.openxmlformats.org/officeDocument/2006/relationships/hyperlink" Target="https://advance.lexis.com/api/document?collection=cases-ca&amp;id=urn:contentItem:5F81-VJW1-JGPY-X4KV-00000-00&amp;context=" TargetMode="External" /><Relationship Id="rId456" Type="http://schemas.openxmlformats.org/officeDocument/2006/relationships/hyperlink" Target="https://advance.lexis.com/api/document?collection=cases-ca&amp;id=urn:contentItem:5F7T-S6V1-JC0G-62J7-00000-00&amp;context=" TargetMode="External" /><Relationship Id="rId457" Type="http://schemas.openxmlformats.org/officeDocument/2006/relationships/hyperlink" Target="https://advance.lexis.com/api/document?collection=cases-ca&amp;id=urn:contentItem:5F8T-N3V1-JFKM-607N-00000-00&amp;context=" TargetMode="External" /><Relationship Id="rId458" Type="http://schemas.openxmlformats.org/officeDocument/2006/relationships/hyperlink" Target="https://advance.lexis.com/api/document?collection=cases-ca&amp;id=urn:contentItem:5F7T-S741-FJM6-61BF-00000-00&amp;context=" TargetMode="External" /><Relationship Id="rId459" Type="http://schemas.openxmlformats.org/officeDocument/2006/relationships/header" Target="header73.xml" /><Relationship Id="rId46" Type="http://schemas.openxmlformats.org/officeDocument/2006/relationships/hyperlink" Target="https://advance.lexis.com/api/document?collection=cases-ca&amp;id=urn:contentItem:5F7T-S7M1-JJK6-S1XR-00000-00&amp;context=" TargetMode="External" /><Relationship Id="rId460" Type="http://schemas.openxmlformats.org/officeDocument/2006/relationships/header" Target="header74.xml" /><Relationship Id="rId461" Type="http://schemas.openxmlformats.org/officeDocument/2006/relationships/footer" Target="footer73.xml" /><Relationship Id="rId462" Type="http://schemas.openxmlformats.org/officeDocument/2006/relationships/footer" Target="footer74.xml" /><Relationship Id="rId463" Type="http://schemas.openxmlformats.org/officeDocument/2006/relationships/header" Target="header75.xml" /><Relationship Id="rId464" Type="http://schemas.openxmlformats.org/officeDocument/2006/relationships/footer" Target="footer75.xml" /><Relationship Id="rId465" Type="http://schemas.openxmlformats.org/officeDocument/2006/relationships/hyperlink" Target="https://advance.lexis.com/api/document?collection=cases-ca&amp;id=urn:contentItem:5F7T-S781-JSC5-M462-00000-00&amp;context=" TargetMode="External" /><Relationship Id="rId466" Type="http://schemas.openxmlformats.org/officeDocument/2006/relationships/hyperlink" Target="https://advance.lexis.com/api/document?collection=cases-ca&amp;id=urn:contentItem:5F8T-N3T1-JJSF-235C-00000-00&amp;context=" TargetMode="External" /><Relationship Id="rId467" Type="http://schemas.openxmlformats.org/officeDocument/2006/relationships/hyperlink" Target="https://advance.lexis.com/api/document?collection=cases-ca&amp;id=urn:contentItem:5F8T-N3T1-JJSF-2393-00000-00&amp;context=" TargetMode="External" /><Relationship Id="rId468" Type="http://schemas.openxmlformats.org/officeDocument/2006/relationships/hyperlink" Target="https://advance.lexis.com/api/document?collection=cases-ca&amp;id=urn:contentItem:5F7T-S761-JGHR-M2DJ-00000-00&amp;context=" TargetMode="External" /><Relationship Id="rId469" Type="http://schemas.openxmlformats.org/officeDocument/2006/relationships/header" Target="header76.xml" /><Relationship Id="rId47" Type="http://schemas.openxmlformats.org/officeDocument/2006/relationships/hyperlink" Target="https://advance.lexis.com/api/document?collection=cases-ca&amp;id=urn:contentItem:5F8P-SD31-DYMS-64N9-00000-00&amp;context=" TargetMode="External" /><Relationship Id="rId470" Type="http://schemas.openxmlformats.org/officeDocument/2006/relationships/header" Target="header77.xml" /><Relationship Id="rId471" Type="http://schemas.openxmlformats.org/officeDocument/2006/relationships/footer" Target="footer76.xml" /><Relationship Id="rId472" Type="http://schemas.openxmlformats.org/officeDocument/2006/relationships/footer" Target="footer77.xml" /><Relationship Id="rId473" Type="http://schemas.openxmlformats.org/officeDocument/2006/relationships/header" Target="header78.xml" /><Relationship Id="rId474" Type="http://schemas.openxmlformats.org/officeDocument/2006/relationships/footer" Target="footer78.xml" /><Relationship Id="rId475" Type="http://schemas.openxmlformats.org/officeDocument/2006/relationships/hyperlink" Target="https://advance.lexis.com/api/document?collection=cases-ca&amp;id=urn:contentItem:5F7T-S7D1-JG02-S2KC-00000-00&amp;context=" TargetMode="External" /><Relationship Id="rId476" Type="http://schemas.openxmlformats.org/officeDocument/2006/relationships/hyperlink" Target="https://advance.lexis.com/api/document?collection=cases-ca&amp;id=urn:contentItem:5F16-9371-DXHD-G4V6-00000-00&amp;context=" TargetMode="External" /><Relationship Id="rId477" Type="http://schemas.openxmlformats.org/officeDocument/2006/relationships/hyperlink" Target="https://advance.lexis.com/api/document?collection=legislation-ca&amp;id=urn:contentItem:5F41-1FK1-JGBH-B10K-00000-00&amp;context=" TargetMode="External" /><Relationship Id="rId478" Type="http://schemas.openxmlformats.org/officeDocument/2006/relationships/hyperlink" Target="https://advance.lexis.com/api/document?collection=cases-ca&amp;id=urn:contentItem:5F7T-S741-F2F4-G22W-00000-00&amp;context=" TargetMode="External" /><Relationship Id="rId479" Type="http://schemas.openxmlformats.org/officeDocument/2006/relationships/hyperlink" Target="https://advance.lexis.com/api/document?collection=cases-ca&amp;id=urn:contentItem:5F7T-S741-DY89-M38K-00000-00&amp;context=" TargetMode="External" /><Relationship Id="rId48" Type="http://schemas.openxmlformats.org/officeDocument/2006/relationships/hyperlink" Target="https://advance.lexis.com/api/document?collection=cases-ca&amp;id=urn:contentItem:5F16-9301-FD4T-B1TP-00000-00&amp;context=" TargetMode="External" /><Relationship Id="rId480" Type="http://schemas.openxmlformats.org/officeDocument/2006/relationships/hyperlink" Target="https://advance.lexis.com/api/document?collection=cases-ca&amp;id=urn:contentItem:5F7T-S731-F60C-X160-00000-00&amp;context=" TargetMode="External" /><Relationship Id="rId481" Type="http://schemas.openxmlformats.org/officeDocument/2006/relationships/hyperlink" Target="https://advance.lexis.com/api/document?collection=cases-ca&amp;id=urn:contentItem:5F7T-S761-FGJR-22NC-00000-00&amp;context=" TargetMode="External" /><Relationship Id="rId482" Type="http://schemas.openxmlformats.org/officeDocument/2006/relationships/hyperlink" Target="https://advance.lexis.com/api/document?collection=cases-ca&amp;id=urn:contentItem:5F7T-S731-F60C-X19P-00000-00&amp;context=" TargetMode="External" /><Relationship Id="rId483" Type="http://schemas.openxmlformats.org/officeDocument/2006/relationships/header" Target="header79.xml" /><Relationship Id="rId484" Type="http://schemas.openxmlformats.org/officeDocument/2006/relationships/header" Target="header80.xml" /><Relationship Id="rId485" Type="http://schemas.openxmlformats.org/officeDocument/2006/relationships/footer" Target="footer79.xml" /><Relationship Id="rId486" Type="http://schemas.openxmlformats.org/officeDocument/2006/relationships/footer" Target="footer80.xml" /><Relationship Id="rId487" Type="http://schemas.openxmlformats.org/officeDocument/2006/relationships/header" Target="header81.xml" /><Relationship Id="rId488" Type="http://schemas.openxmlformats.org/officeDocument/2006/relationships/footer" Target="footer81.xml" /><Relationship Id="rId489" Type="http://schemas.openxmlformats.org/officeDocument/2006/relationships/hyperlink" Target="https://advance.lexis.com/api/document?collection=cases-ca&amp;id=urn:contentItem:5F7T-S7D1-FC6N-X0TR-00000-00&amp;context=" TargetMode="External" /><Relationship Id="rId49" Type="http://schemas.openxmlformats.org/officeDocument/2006/relationships/hyperlink" Target="https://advance.lexis.com/api/document?collection=cases-ca&amp;id=urn:contentItem:5F7T-S711-JC0G-632H-00000-00&amp;context=" TargetMode="External" /><Relationship Id="rId490" Type="http://schemas.openxmlformats.org/officeDocument/2006/relationships/hyperlink" Target="https://advance.lexis.com/api/document?collection=cases-ca&amp;id=urn:contentItem:5F7T-S7D1-DY89-M49W-00000-00&amp;context=" TargetMode="External" /><Relationship Id="rId491" Type="http://schemas.openxmlformats.org/officeDocument/2006/relationships/hyperlink" Target="https://advance.lexis.com/api/document?collection=cases-ca&amp;id=urn:contentItem:5F7T-S731-JC0G-63HG-00000-00&amp;context=" TargetMode="External" /><Relationship Id="rId492" Type="http://schemas.openxmlformats.org/officeDocument/2006/relationships/hyperlink" Target="https://advance.lexis.com/api/document?collection=cases-ca&amp;id=urn:contentItem:5F8T-N3V1-JTGH-B10F-00000-00&amp;context=" TargetMode="External" /><Relationship Id="rId493" Type="http://schemas.openxmlformats.org/officeDocument/2006/relationships/hyperlink" Target="https://advance.lexis.com/api/document?collection=cases-ca&amp;id=urn:contentItem:5F7T-S7C1-F4NT-X42T-00000-00&amp;context=" TargetMode="External" /><Relationship Id="rId494" Type="http://schemas.openxmlformats.org/officeDocument/2006/relationships/hyperlink" Target="https://advance.lexis.com/api/document?collection=cases-ca&amp;id=urn:contentItem:5F7T-S6W1-JB7K-21CJ-00000-00&amp;context=" TargetMode="External" /><Relationship Id="rId495" Type="http://schemas.openxmlformats.org/officeDocument/2006/relationships/hyperlink" Target="https://advance.lexis.com/api/document?collection=cases-ca&amp;id=urn:contentItem:5F7T-S721-F956-S1DP-00000-00&amp;context=" TargetMode="External" /><Relationship Id="rId496" Type="http://schemas.openxmlformats.org/officeDocument/2006/relationships/hyperlink" Target="https://advance.lexis.com/api/document?collection=cases-ca&amp;id=urn:contentItem:5F7T-S7C1-FCSB-S23K-00000-00&amp;context=" TargetMode="External" /><Relationship Id="rId497" Type="http://schemas.openxmlformats.org/officeDocument/2006/relationships/hyperlink" Target="https://advance.lexis.com/api/document?collection=cases-ca&amp;id=urn:contentItem:5F7T-S791-JCJ5-24WK-00000-00&amp;context=" TargetMode="External" /><Relationship Id="rId498" Type="http://schemas.openxmlformats.org/officeDocument/2006/relationships/hyperlink" Target="https://advance.lexis.com/api/document?collection=cases-ca&amp;id=urn:contentItem:5F7T-S7D1-JN6B-S0X4-00000-00&amp;context=" TargetMode="External" /><Relationship Id="rId499" Type="http://schemas.openxmlformats.org/officeDocument/2006/relationships/hyperlink" Target="https://advance.lexis.com/api/document?collection=cases-ca&amp;id=urn:contentItem:5F7T-S7C1-F7VM-S3HT-00000-00&amp;context=" TargetMode="External" /><Relationship Id="rId5" Type="http://schemas.openxmlformats.org/officeDocument/2006/relationships/header" Target="header2.xml" /><Relationship Id="rId50" Type="http://schemas.openxmlformats.org/officeDocument/2006/relationships/hyperlink" Target="https://advance.lexis.com/api/document?collection=cases-ca&amp;id=urn:contentItem:5F7T-S7P1-JSJC-X1NB-00000-00&amp;context=" TargetMode="External" /><Relationship Id="rId500" Type="http://schemas.openxmlformats.org/officeDocument/2006/relationships/hyperlink" Target="https://advance.lexis.com/api/document?collection=cases-ca&amp;id=urn:contentItem:5F7T-S7B1-FH4C-X39F-00000-00&amp;context=" TargetMode="External" /><Relationship Id="rId501" Type="http://schemas.openxmlformats.org/officeDocument/2006/relationships/header" Target="header82.xml" /><Relationship Id="rId502" Type="http://schemas.openxmlformats.org/officeDocument/2006/relationships/header" Target="header83.xml" /><Relationship Id="rId503" Type="http://schemas.openxmlformats.org/officeDocument/2006/relationships/footer" Target="footer82.xml" /><Relationship Id="rId504" Type="http://schemas.openxmlformats.org/officeDocument/2006/relationships/footer" Target="footer83.xml" /><Relationship Id="rId505" Type="http://schemas.openxmlformats.org/officeDocument/2006/relationships/header" Target="header84.xml" /><Relationship Id="rId506" Type="http://schemas.openxmlformats.org/officeDocument/2006/relationships/footer" Target="footer84.xml" /><Relationship Id="rId507" Type="http://schemas.openxmlformats.org/officeDocument/2006/relationships/hyperlink" Target="https://advance.lexis.com/api/document?collection=cases-ca&amp;id=urn:contentItem:5F7T-S7J1-DXWW-24V0-00000-00&amp;context=" TargetMode="External" /><Relationship Id="rId508" Type="http://schemas.openxmlformats.org/officeDocument/2006/relationships/hyperlink" Target="https://advance.lexis.com/api/document?collection=legislation-ca&amp;id=urn:contentItem:5F41-1FM1-FCK4-G01C-00000-00&amp;context=" TargetMode="External" /><Relationship Id="rId509" Type="http://schemas.openxmlformats.org/officeDocument/2006/relationships/hyperlink" Target="https://advance.lexis.com/api/document?collection=cases-ca&amp;id=urn:contentItem:5F7T-S781-F06F-240G-00000-00&amp;context=" TargetMode="External" /><Relationship Id="rId51" Type="http://schemas.openxmlformats.org/officeDocument/2006/relationships/hyperlink" Target="https://advance.lexis.com/api/document?collection=cases-ca&amp;id=urn:contentItem:5F7T-S7B1-FH4C-X3D4-00000-00&amp;context=" TargetMode="External" /><Relationship Id="rId510" Type="http://schemas.openxmlformats.org/officeDocument/2006/relationships/hyperlink" Target="https://advance.lexis.com/api/document?collection=cases-ca&amp;id=urn:contentItem:5F8T-N3R1-JJSF-2323-00000-00&amp;context=" TargetMode="External" /><Relationship Id="rId511" Type="http://schemas.openxmlformats.org/officeDocument/2006/relationships/hyperlink" Target="https://advance.lexis.com/api/document?collection=cases-ca&amp;id=urn:contentItem:5F8T-N3T1-JFKM-655K-00000-00&amp;context=" TargetMode="External" /><Relationship Id="rId512" Type="http://schemas.openxmlformats.org/officeDocument/2006/relationships/hyperlink" Target="https://advance.lexis.com/api/document?collection=cases-ca&amp;id=urn:contentItem:5F8P-SD21-JNS1-M4TG-00000-00&amp;context=" TargetMode="External" /><Relationship Id="rId513" Type="http://schemas.openxmlformats.org/officeDocument/2006/relationships/hyperlink" Target="https://advance.lexis.com/api/document?collection=cases-ca&amp;id=urn:contentItem:5F8T-N3P1-F956-S184-00000-00&amp;context=" TargetMode="External" /><Relationship Id="rId514" Type="http://schemas.openxmlformats.org/officeDocument/2006/relationships/hyperlink" Target="https://advance.lexis.com/api/document?collection=cases-ca&amp;id=urn:contentItem:5F81-YGV1-DYFH-X4XP-00000-00&amp;context=" TargetMode="External" /><Relationship Id="rId515" Type="http://schemas.openxmlformats.org/officeDocument/2006/relationships/hyperlink" Target="https://advance.lexis.com/api/document?collection=cases-ca&amp;id=urn:contentItem:5F7T-S7H1-JFSV-G30V-00000-00&amp;context=" TargetMode="External" /><Relationship Id="rId516" Type="http://schemas.openxmlformats.org/officeDocument/2006/relationships/hyperlink" Target="https://advance.lexis.com/api/document?collection=cases-ca&amp;id=urn:contentItem:5F82-1SD1-FC1F-M35N-00000-00&amp;context=" TargetMode="External" /><Relationship Id="rId517" Type="http://schemas.openxmlformats.org/officeDocument/2006/relationships/hyperlink" Target="https://advance.lexis.com/api/document?collection=cases-ca&amp;id=urn:contentItem:5F7T-S771-JSJC-X0FT-00000-00&amp;context=" TargetMode="External" /><Relationship Id="rId518" Type="http://schemas.openxmlformats.org/officeDocument/2006/relationships/hyperlink" Target="https://advance.lexis.com/api/document?collection=cases-ca&amp;id=urn:contentItem:5F81-VJV1-F60C-X3C9-00000-00&amp;context=" TargetMode="External" /><Relationship Id="rId519" Type="http://schemas.openxmlformats.org/officeDocument/2006/relationships/hyperlink" Target="https://advance.lexis.com/api/document?collection=cases-ca&amp;id=urn:contentItem:5F7T-S6Y1-JP9P-G1SM-00000-00&amp;context=" TargetMode="External" /><Relationship Id="rId52" Type="http://schemas.openxmlformats.org/officeDocument/2006/relationships/hyperlink" Target="https://advance.lexis.com/api/document?collection=cases-ca&amp;id=urn:contentItem:5F7T-S751-JGHR-M1SS-00000-00&amp;context=" TargetMode="External" /><Relationship Id="rId520" Type="http://schemas.openxmlformats.org/officeDocument/2006/relationships/hyperlink" Target="https://advance.lexis.com/api/document?collection=cases-ca&amp;id=urn:contentItem:5F7T-S731-JC0G-63VT-00000-00&amp;context=" TargetMode="External" /><Relationship Id="rId521" Type="http://schemas.openxmlformats.org/officeDocument/2006/relationships/hyperlink" Target="https://advance.lexis.com/api/document?collection=cases-ca&amp;id=urn:contentItem:5F7T-S7G1-JNY7-X420-00000-00&amp;context=" TargetMode="External" /><Relationship Id="rId522" Type="http://schemas.openxmlformats.org/officeDocument/2006/relationships/hyperlink" Target="https://advance.lexis.com/api/document?collection=cases-ca&amp;id=urn:contentItem:5F7T-S741-F1H1-21SS-00000-00&amp;context=" TargetMode="External" /><Relationship Id="rId523" Type="http://schemas.openxmlformats.org/officeDocument/2006/relationships/hyperlink" Target="https://advance.lexis.com/api/document?collection=cases-ca&amp;id=urn:contentItem:5F7T-S6S1-JTNR-M23M-00000-00&amp;context=" TargetMode="External" /><Relationship Id="rId524" Type="http://schemas.openxmlformats.org/officeDocument/2006/relationships/hyperlink" Target="https://advance.lexis.com/api/document?collection=cases-ca&amp;id=urn:contentItem:5F7T-S761-JS5Y-B1SX-00000-00&amp;context=" TargetMode="External" /><Relationship Id="rId525" Type="http://schemas.openxmlformats.org/officeDocument/2006/relationships/hyperlink" Target="https://advance.lexis.com/api/document?collection=cases-ca&amp;id=urn:contentItem:5F7T-S6Y1-F81W-2133-00000-00&amp;context=" TargetMode="External" /><Relationship Id="rId526" Type="http://schemas.openxmlformats.org/officeDocument/2006/relationships/hyperlink" Target="https://advance.lexis.com/api/document?collection=cases-ca&amp;id=urn:contentItem:5F7T-S6X1-F7G6-62GY-00000-00&amp;context=" TargetMode="External" /><Relationship Id="rId527" Type="http://schemas.openxmlformats.org/officeDocument/2006/relationships/hyperlink" Target="https://advance.lexis.com/api/document?collection=cases-ca&amp;id=urn:contentItem:5F8T-N3S1-JT99-24MJ-00000-00&amp;context=" TargetMode="External" /><Relationship Id="rId528" Type="http://schemas.openxmlformats.org/officeDocument/2006/relationships/hyperlink" Target="https://advance.lexis.com/api/document?collection=cases-ca&amp;id=urn:contentItem:5F7T-S771-F2TK-2352-00000-00&amp;context=" TargetMode="External" /><Relationship Id="rId529" Type="http://schemas.openxmlformats.org/officeDocument/2006/relationships/hyperlink" Target="https://advance.lexis.com/api/document?collection=cases-ca&amp;id=urn:contentItem:5F7T-S7F1-FFFC-B23G-00000-00&amp;context=" TargetMode="External" /><Relationship Id="rId53" Type="http://schemas.openxmlformats.org/officeDocument/2006/relationships/hyperlink" Target="https://advance.lexis.com/api/document?collection=cases-ca&amp;id=urn:contentItem:5F81-VJX1-FFTT-X1NN-00000-00&amp;context=" TargetMode="External" /><Relationship Id="rId530" Type="http://schemas.openxmlformats.org/officeDocument/2006/relationships/hyperlink" Target="https://advance.lexis.com/api/document?collection=cases-ca&amp;id=urn:contentItem:5F7T-S7J1-FGCG-S0BP-00000-00&amp;context=" TargetMode="External" /><Relationship Id="rId531" Type="http://schemas.openxmlformats.org/officeDocument/2006/relationships/hyperlink" Target="https://advance.lexis.com/api/document?collection=cases-ca&amp;id=urn:contentItem:5F7T-S751-JP4G-61D3-00000-00&amp;context=" TargetMode="External" /><Relationship Id="rId532" Type="http://schemas.openxmlformats.org/officeDocument/2006/relationships/hyperlink" Target="https://advance.lexis.com/api/document?collection=cases-ca&amp;id=urn:contentItem:5F8P-T8V1-FBN1-211B-00000-00&amp;context=" TargetMode="External" /><Relationship Id="rId533" Type="http://schemas.openxmlformats.org/officeDocument/2006/relationships/header" Target="header85.xml" /><Relationship Id="rId534" Type="http://schemas.openxmlformats.org/officeDocument/2006/relationships/header" Target="header86.xml" /><Relationship Id="rId535" Type="http://schemas.openxmlformats.org/officeDocument/2006/relationships/footer" Target="footer85.xml" /><Relationship Id="rId536" Type="http://schemas.openxmlformats.org/officeDocument/2006/relationships/footer" Target="footer86.xml" /><Relationship Id="rId537" Type="http://schemas.openxmlformats.org/officeDocument/2006/relationships/header" Target="header87.xml" /><Relationship Id="rId538" Type="http://schemas.openxmlformats.org/officeDocument/2006/relationships/footer" Target="footer87.xml" /><Relationship Id="rId539" Type="http://schemas.openxmlformats.org/officeDocument/2006/relationships/hyperlink" Target="https://advance.lexis.com/api/document?collection=cases-ca&amp;id=urn:contentItem:5F7T-S7N1-JJ1H-X2P9-00000-00&amp;context=" TargetMode="External" /><Relationship Id="rId54" Type="http://schemas.openxmlformats.org/officeDocument/2006/relationships/hyperlink" Target="https://advance.lexis.com/api/document?collection=cases-ca&amp;id=urn:contentItem:5F8P-SDD1-F57G-S09H-00000-00&amp;context=" TargetMode="External" /><Relationship Id="rId540" Type="http://schemas.openxmlformats.org/officeDocument/2006/relationships/hyperlink" Target="https://advance.lexis.com/api/document?collection=cases-ca&amp;id=urn:contentItem:5F81-VJX1-FCK4-G1S0-00000-00&amp;context=" TargetMode="External" /><Relationship Id="rId541" Type="http://schemas.openxmlformats.org/officeDocument/2006/relationships/hyperlink" Target="https://advance.lexis.com/api/document?collection=cases-ca&amp;id=urn:contentItem:5F7T-S7M1-JCRC-B1T0-00000-00&amp;context=" TargetMode="External" /><Relationship Id="rId542" Type="http://schemas.openxmlformats.org/officeDocument/2006/relationships/hyperlink" Target="https://advance.lexis.com/api/document?collection=cases-ca&amp;id=urn:contentItem:5F7T-S7D1-FC6N-X0JH-00000-00&amp;context=" TargetMode="External" /><Relationship Id="rId543" Type="http://schemas.openxmlformats.org/officeDocument/2006/relationships/hyperlink" Target="https://advance.lexis.com/api/document?collection=cases-ca&amp;id=urn:contentItem:5F8T-N3V1-FC1F-M428-00000-00&amp;context=" TargetMode="External" /><Relationship Id="rId544" Type="http://schemas.openxmlformats.org/officeDocument/2006/relationships/hyperlink" Target="https://advance.lexis.com/api/document?collection=cases-ca&amp;id=urn:contentItem:5F7T-S7H1-F016-S3RP-00000-00&amp;context=" TargetMode="External" /><Relationship Id="rId545" Type="http://schemas.openxmlformats.org/officeDocument/2006/relationships/hyperlink" Target="https://advance.lexis.com/api/document?collection=cases-ca&amp;id=urn:contentItem:5F7T-S6Y1-FJDY-X23K-00000-00&amp;context=" TargetMode="External" /><Relationship Id="rId546" Type="http://schemas.openxmlformats.org/officeDocument/2006/relationships/hyperlink" Target="https://advance.lexis.com/api/document?collection=cases-ca&amp;id=urn:contentItem:5F7T-S781-JC5P-G1HX-00000-00&amp;context=" TargetMode="External" /><Relationship Id="rId547" Type="http://schemas.openxmlformats.org/officeDocument/2006/relationships/hyperlink" Target="https://advance.lexis.com/api/document?collection=cases-ca&amp;id=urn:contentItem:5F7T-S7C1-JSRM-60TS-00000-00&amp;context=" TargetMode="External" /><Relationship Id="rId548" Type="http://schemas.openxmlformats.org/officeDocument/2006/relationships/hyperlink" Target="https://advance.lexis.com/api/document?collection=cases-ca&amp;id=urn:contentItem:5F7T-S7C1-FGRY-B0BG-00000-00&amp;context=" TargetMode="External" /><Relationship Id="rId549" Type="http://schemas.openxmlformats.org/officeDocument/2006/relationships/header" Target="header88.xml" /><Relationship Id="rId55" Type="http://schemas.openxmlformats.org/officeDocument/2006/relationships/hyperlink" Target="https://advance.lexis.com/api/document?collection=legislation-ca&amp;id=urn:contentItem:5W07-7G51-F528-G3J5-00000-00&amp;context=" TargetMode="External" /><Relationship Id="rId550" Type="http://schemas.openxmlformats.org/officeDocument/2006/relationships/header" Target="header89.xml" /><Relationship Id="rId551" Type="http://schemas.openxmlformats.org/officeDocument/2006/relationships/footer" Target="footer88.xml" /><Relationship Id="rId552" Type="http://schemas.openxmlformats.org/officeDocument/2006/relationships/footer" Target="footer89.xml" /><Relationship Id="rId553" Type="http://schemas.openxmlformats.org/officeDocument/2006/relationships/header" Target="header90.xml" /><Relationship Id="rId554" Type="http://schemas.openxmlformats.org/officeDocument/2006/relationships/footer" Target="footer90.xml" /><Relationship Id="rId555" Type="http://schemas.openxmlformats.org/officeDocument/2006/relationships/hyperlink" Target="https://advance.lexis.com/api/document?collection=cases-ca&amp;id=urn:contentItem:5F7T-S7B1-F7ND-G523-00000-00&amp;context=" TargetMode="External" /><Relationship Id="rId556" Type="http://schemas.openxmlformats.org/officeDocument/2006/relationships/hyperlink" Target="https://advance.lexis.com/api/document?collection=cases-ca&amp;id=urn:contentItem:5F7T-S6S1-F60C-X0SM-00000-00&amp;context=" TargetMode="External" /><Relationship Id="rId557" Type="http://schemas.openxmlformats.org/officeDocument/2006/relationships/hyperlink" Target="https://advance.lexis.com/api/document?collection=cases-ca&amp;id=urn:contentItem:5F7T-S6T1-JP9P-G13M-00000-00&amp;context=" TargetMode="External" /><Relationship Id="rId558" Type="http://schemas.openxmlformats.org/officeDocument/2006/relationships/hyperlink" Target="https://advance.lexis.com/api/document?collection=cases-ca&amp;id=urn:contentItem:5F7T-S781-F06F-23WM-00000-00&amp;context=" TargetMode="External" /><Relationship Id="rId559" Type="http://schemas.openxmlformats.org/officeDocument/2006/relationships/hyperlink" Target="https://advance.lexis.com/api/document?collection=cases-ca&amp;id=urn:contentItem:5F7T-S6T1-JT99-20X6-00000-00&amp;context=" TargetMode="External" /><Relationship Id="rId56" Type="http://schemas.openxmlformats.org/officeDocument/2006/relationships/hyperlink" Target="https://advance.lexis.com/api/document?collection=cases-ca&amp;id=urn:contentItem:5F7T-S761-JS5Y-B1SR-00000-00&amp;context=" TargetMode="External" /><Relationship Id="rId560" Type="http://schemas.openxmlformats.org/officeDocument/2006/relationships/hyperlink" Target="https://advance.lexis.com/api/document?collection=cases-ca&amp;id=urn:contentItem:5F7T-S731-JNJT-B1S7-00000-00&amp;context=" TargetMode="External" /><Relationship Id="rId561" Type="http://schemas.openxmlformats.org/officeDocument/2006/relationships/hyperlink" Target="https://advance.lexis.com/api/document?collection=cases-ca&amp;id=urn:contentItem:5F7T-S6Y1-JPP5-21C7-00000-00&amp;context=" TargetMode="External" /><Relationship Id="rId562" Type="http://schemas.openxmlformats.org/officeDocument/2006/relationships/hyperlink" Target="https://advance.lexis.com/api/document?collection=cases-ca&amp;id=urn:contentItem:5F7T-S761-FGJR-22TN-00000-00&amp;context=" TargetMode="External" /><Relationship Id="rId563" Type="http://schemas.openxmlformats.org/officeDocument/2006/relationships/hyperlink" Target="https://advance.lexis.com/api/document?collection=cases-ca&amp;id=urn:contentItem:5F7T-S711-JB2B-S17T-00000-00&amp;context=" TargetMode="External" /><Relationship Id="rId564" Type="http://schemas.openxmlformats.org/officeDocument/2006/relationships/header" Target="header91.xml" /><Relationship Id="rId565" Type="http://schemas.openxmlformats.org/officeDocument/2006/relationships/header" Target="header92.xml" /><Relationship Id="rId566" Type="http://schemas.openxmlformats.org/officeDocument/2006/relationships/footer" Target="footer91.xml" /><Relationship Id="rId567" Type="http://schemas.openxmlformats.org/officeDocument/2006/relationships/footer" Target="footer92.xml" /><Relationship Id="rId568" Type="http://schemas.openxmlformats.org/officeDocument/2006/relationships/header" Target="header93.xml" /><Relationship Id="rId569" Type="http://schemas.openxmlformats.org/officeDocument/2006/relationships/footer" Target="footer93.xml" /><Relationship Id="rId57" Type="http://schemas.openxmlformats.org/officeDocument/2006/relationships/hyperlink" Target="https://advance.lexis.com/api/document?collection=cases-ca&amp;id=urn:contentItem:5F7T-S6T1-JJ1H-X27G-00000-00&amp;context=" TargetMode="External" /><Relationship Id="rId570" Type="http://schemas.openxmlformats.org/officeDocument/2006/relationships/hyperlink" Target="https://advance.lexis.com/api/document?collection=cases-ca&amp;id=urn:contentItem:5F7T-S7F1-DXWW-23DR-00000-00&amp;context=" TargetMode="External" /><Relationship Id="rId571" Type="http://schemas.openxmlformats.org/officeDocument/2006/relationships/hyperlink" Target="https://advance.lexis.com/api/document?collection=cases-ca&amp;id=urn:contentItem:5F7T-S7D1-JS5Y-B2KV-00000-00&amp;context=" TargetMode="External" /><Relationship Id="rId572" Type="http://schemas.openxmlformats.org/officeDocument/2006/relationships/hyperlink" Target="https://advance.lexis.com/api/document?collection=cases-ca&amp;id=urn:contentItem:5F7T-S701-F8KH-X18G-00000-00&amp;context=" TargetMode="External" /><Relationship Id="rId573" Type="http://schemas.openxmlformats.org/officeDocument/2006/relationships/hyperlink" Target="https://advance.lexis.com/api/document?collection=cases-ca&amp;id=urn:contentItem:5F7T-S711-JB2B-S11F-00000-00&amp;context=" TargetMode="External" /><Relationship Id="rId574" Type="http://schemas.openxmlformats.org/officeDocument/2006/relationships/hyperlink" Target="https://advance.lexis.com/api/document?collection=cases-ca&amp;id=urn:contentItem:5F7T-S711-JC0G-634X-00000-00&amp;context=" TargetMode="External" /><Relationship Id="rId575" Type="http://schemas.openxmlformats.org/officeDocument/2006/relationships/hyperlink" Target="https://advance.lexis.com/api/document?collection=cases-ca&amp;id=urn:contentItem:5F7T-S7D1-DY89-M4DC-00000-00&amp;context=" TargetMode="External" /><Relationship Id="rId576" Type="http://schemas.openxmlformats.org/officeDocument/2006/relationships/hyperlink" Target="https://advance.lexis.com/api/document?collection=cases-ca&amp;id=urn:contentItem:5F7T-S771-F2TK-233J-00000-00&amp;context=" TargetMode="External" /><Relationship Id="rId577" Type="http://schemas.openxmlformats.org/officeDocument/2006/relationships/hyperlink" Target="https://advance.lexis.com/api/document?collection=cases-ca&amp;id=urn:contentItem:5F7T-S7D1-JS5Y-B24S-00000-00&amp;context=" TargetMode="External" /><Relationship Id="rId578" Type="http://schemas.openxmlformats.org/officeDocument/2006/relationships/hyperlink" Target="https://advance.lexis.com/api/document?collection=cases-ca&amp;id=urn:contentItem:5F7T-S731-DY33-B0PM-00000-00&amp;context=" TargetMode="External" /><Relationship Id="rId579" Type="http://schemas.openxmlformats.org/officeDocument/2006/relationships/hyperlink" Target="https://advance.lexis.com/api/document?collection=cases-ca&amp;id=urn:contentItem:5F7T-S6Y1-JNY7-X2NF-00000-00&amp;context=" TargetMode="External" /><Relationship Id="rId58" Type="http://schemas.openxmlformats.org/officeDocument/2006/relationships/hyperlink" Target="https://advance.lexis.com/api/document?collection=cases-ca&amp;id=urn:contentItem:5F7T-S6S1-F60C-X0P8-00000-00&amp;context=" TargetMode="External" /><Relationship Id="rId580" Type="http://schemas.openxmlformats.org/officeDocument/2006/relationships/hyperlink" Target="https://advance.lexis.com/api/document?collection=cases-ca&amp;id=urn:contentItem:5F82-1SB1-FBFS-S47Y-00000-00&amp;context=" TargetMode="External" /><Relationship Id="rId581" Type="http://schemas.openxmlformats.org/officeDocument/2006/relationships/hyperlink" Target="https://advance.lexis.com/api/document?collection=cases-ca&amp;id=urn:contentItem:5F7T-S7C1-F7ND-G059-00000-00&amp;context=" TargetMode="External" /><Relationship Id="rId582" Type="http://schemas.openxmlformats.org/officeDocument/2006/relationships/hyperlink" Target="https://advance.lexis.com/api/document?collection=cases-ca&amp;id=urn:contentItem:5F7T-S731-F1WF-M2C0-00000-00&amp;context=" TargetMode="External" /><Relationship Id="rId583" Type="http://schemas.openxmlformats.org/officeDocument/2006/relationships/header" Target="header94.xml" /><Relationship Id="rId584" Type="http://schemas.openxmlformats.org/officeDocument/2006/relationships/header" Target="header95.xml" /><Relationship Id="rId585" Type="http://schemas.openxmlformats.org/officeDocument/2006/relationships/footer" Target="footer94.xml" /><Relationship Id="rId586" Type="http://schemas.openxmlformats.org/officeDocument/2006/relationships/footer" Target="footer95.xml" /><Relationship Id="rId587" Type="http://schemas.openxmlformats.org/officeDocument/2006/relationships/header" Target="header96.xml" /><Relationship Id="rId588" Type="http://schemas.openxmlformats.org/officeDocument/2006/relationships/footer" Target="footer96.xml" /><Relationship Id="rId589" Type="http://schemas.openxmlformats.org/officeDocument/2006/relationships/hyperlink" Target="https://advance.lexis.com/api/document?collection=cases-ca&amp;id=urn:contentItem:5F7T-S7C1-F7VM-S37B-00000-00&amp;context=" TargetMode="External" /><Relationship Id="rId59" Type="http://schemas.openxmlformats.org/officeDocument/2006/relationships/hyperlink" Target="https://advance.lexis.com/api/document?collection=cases-ca&amp;id=urn:contentItem:5F7T-S6Y1-F65M-60J6-00000-00&amp;context=" TargetMode="External" /><Relationship Id="rId590" Type="http://schemas.openxmlformats.org/officeDocument/2006/relationships/hyperlink" Target="https://advance.lexis.com/api/document?collection=cases-ca&amp;id=urn:contentItem:5F7T-S711-FJDY-X3DM-00000-00&amp;context=" TargetMode="External" /><Relationship Id="rId591" Type="http://schemas.openxmlformats.org/officeDocument/2006/relationships/hyperlink" Target="https://advance.lexis.com/api/document?collection=cases-ca&amp;id=urn:contentItem:5F7T-S6Y1-JNY7-X2P3-00000-00&amp;context=" TargetMode="External" /><Relationship Id="rId592" Type="http://schemas.openxmlformats.org/officeDocument/2006/relationships/hyperlink" Target="https://advance.lexis.com/api/document?collection=cases-ca&amp;id=urn:contentItem:5F7T-S781-F900-G0SS-00000-00&amp;context=" TargetMode="External" /><Relationship Id="rId593" Type="http://schemas.openxmlformats.org/officeDocument/2006/relationships/hyperlink" Target="https://advance.lexis.com/api/document?collection=cases-ca&amp;id=urn:contentItem:5F7T-S751-JX3N-B12X-00000-00&amp;context=" TargetMode="External" /><Relationship Id="rId594" Type="http://schemas.openxmlformats.org/officeDocument/2006/relationships/hyperlink" Target="https://advance.lexis.com/api/document?collection=cases-ca&amp;id=urn:contentItem:5F8T-N3V1-JFKM-609G-00000-00&amp;context=" TargetMode="External" /><Relationship Id="rId595" Type="http://schemas.openxmlformats.org/officeDocument/2006/relationships/hyperlink" Target="https://advance.lexis.com/api/document?collection=cases-ca&amp;id=urn:contentItem:5F7T-S7B1-JSRM-602H-00000-00&amp;context=" TargetMode="External" /><Relationship Id="rId596" Type="http://schemas.openxmlformats.org/officeDocument/2006/relationships/hyperlink" Target="https://advance.lexis.com/api/document?collection=cases-ca&amp;id=urn:contentItem:5F7T-S741-F528-G1YJ-00000-00&amp;context=" TargetMode="External" /><Relationship Id="rId597" Type="http://schemas.openxmlformats.org/officeDocument/2006/relationships/hyperlink" Target="https://advance.lexis.com/api/document?collection=cases-ca&amp;id=urn:contentItem:5F7T-S6Y1-JNY7-X2BH-00000-00&amp;context=" TargetMode="External" /><Relationship Id="rId598" Type="http://schemas.openxmlformats.org/officeDocument/2006/relationships/hyperlink" Target="https://advance.lexis.com/api/document?collection=cases-ca&amp;id=urn:contentItem:5F7T-S741-F57G-S21M-00000-00&amp;context=" TargetMode="External" /><Relationship Id="rId599" Type="http://schemas.openxmlformats.org/officeDocument/2006/relationships/hyperlink" Target="https://advance.lexis.com/api/document?collection=cases-ca&amp;id=urn:contentItem:5F7T-S7C1-JS0R-22FH-00000-00&amp;context=" TargetMode="External" /><Relationship Id="rId6" Type="http://schemas.openxmlformats.org/officeDocument/2006/relationships/footer" Target="footer1.xml" /><Relationship Id="rId60" Type="http://schemas.openxmlformats.org/officeDocument/2006/relationships/hyperlink" Target="https://advance.lexis.com/api/document?collection=cases-ca&amp;id=urn:contentItem:5F7T-S731-F60C-X107-00000-00&amp;context=" TargetMode="External" /><Relationship Id="rId600" Type="http://schemas.openxmlformats.org/officeDocument/2006/relationships/header" Target="header97.xml" /><Relationship Id="rId601" Type="http://schemas.openxmlformats.org/officeDocument/2006/relationships/header" Target="header98.xml" /><Relationship Id="rId602" Type="http://schemas.openxmlformats.org/officeDocument/2006/relationships/footer" Target="footer97.xml" /><Relationship Id="rId603" Type="http://schemas.openxmlformats.org/officeDocument/2006/relationships/footer" Target="footer98.xml" /><Relationship Id="rId604" Type="http://schemas.openxmlformats.org/officeDocument/2006/relationships/header" Target="header99.xml" /><Relationship Id="rId605" Type="http://schemas.openxmlformats.org/officeDocument/2006/relationships/footer" Target="footer99.xml" /><Relationship Id="rId606" Type="http://schemas.openxmlformats.org/officeDocument/2006/relationships/hyperlink" Target="https://advance.lexis.com/api/document?collection=cases-ca&amp;id=urn:contentItem:5RTH-41C1-FG68-G0NY-00000-00&amp;context=" TargetMode="External" /><Relationship Id="rId607" Type="http://schemas.openxmlformats.org/officeDocument/2006/relationships/hyperlink" Target="https://advance.lexis.com/api/document?collection=legislation-ca&amp;id=urn:contentItem:5F41-1FK1-F2TK-2152-00000-00&amp;context=" TargetMode="External" /><Relationship Id="rId608" Type="http://schemas.openxmlformats.org/officeDocument/2006/relationships/hyperlink" Target="https://advance.lexis.com/api/document?collection=cases-ca&amp;id=urn:contentItem:5RYS-K5V1-FD4T-B459-00000-00&amp;context=" TargetMode="External" /><Relationship Id="rId609" Type="http://schemas.openxmlformats.org/officeDocument/2006/relationships/hyperlink" Target="https://advance.lexis.com/api/document?collection=legislation-ca&amp;id=urn:contentItem:5W2X-D8Y1-F7ND-G08T-00000-00&amp;context=" TargetMode="External" /><Relationship Id="rId61" Type="http://schemas.openxmlformats.org/officeDocument/2006/relationships/hyperlink" Target="https://advance.lexis.com/api/document?collection=cases-ca&amp;id=urn:contentItem:5F8N-K751-F528-G2GF-00000-00&amp;context=" TargetMode="External" /><Relationship Id="rId610" Type="http://schemas.openxmlformats.org/officeDocument/2006/relationships/hyperlink" Target="https://advance.lexis.com/api/document?collection=cases-ca&amp;id=urn:contentItem:5F7T-S7J1-JGBH-B2DS-00000-00&amp;context=" TargetMode="External" /><Relationship Id="rId611" Type="http://schemas.openxmlformats.org/officeDocument/2006/relationships/hyperlink" Target="https://advance.lexis.com/api/document?collection=cases-ca&amp;id=urn:contentItem:5F81-VJX1-FD4T-B31M-00000-00&amp;context=" TargetMode="External" /><Relationship Id="rId612" Type="http://schemas.openxmlformats.org/officeDocument/2006/relationships/hyperlink" Target="https://advance.lexis.com/api/document?collection=cases-ca&amp;id=urn:contentItem:5F7T-S7D1-JXG3-X16K-00000-00&amp;context=" TargetMode="External" /><Relationship Id="rId613" Type="http://schemas.openxmlformats.org/officeDocument/2006/relationships/hyperlink" Target="https://advance.lexis.com/api/document?collection=cases-ca&amp;id=urn:contentItem:5F7T-S7H1-FCSB-S37Y-00000-00&amp;context=" TargetMode="External" /><Relationship Id="rId614" Type="http://schemas.openxmlformats.org/officeDocument/2006/relationships/hyperlink" Target="https://advance.lexis.com/api/document?collection=cases-ca&amp;id=urn:contentItem:5F8P-SDF1-JXNB-64H1-00000-00&amp;context=" TargetMode="External" /><Relationship Id="rId615" Type="http://schemas.openxmlformats.org/officeDocument/2006/relationships/hyperlink" Target="https://advance.lexis.com/api/document?collection=cases-ca&amp;id=urn:contentItem:5F8T-N3V1-JTGH-B111-00000-00&amp;context=" TargetMode="External" /><Relationship Id="rId616" Type="http://schemas.openxmlformats.org/officeDocument/2006/relationships/hyperlink" Target="https://advance.lexis.com/api/document?collection=cases-ca&amp;id=urn:contentItem:5F7T-S7N1-DXWW-20M3-00000-00&amp;context=" TargetMode="External" /><Relationship Id="rId617" Type="http://schemas.openxmlformats.org/officeDocument/2006/relationships/hyperlink" Target="https://advance.lexis.com/api/document?collection=cases-ca&amp;id=urn:contentItem:5F7T-S7H1-F4GK-M2WT-00000-00&amp;context=" TargetMode="External" /><Relationship Id="rId618" Type="http://schemas.openxmlformats.org/officeDocument/2006/relationships/hyperlink" Target="https://advance.lexis.com/api/document?collection=cases-ca&amp;id=urn:contentItem:5F7T-S7H1-F016-S3X5-00000-00&amp;context=" TargetMode="External" /><Relationship Id="rId619" Type="http://schemas.openxmlformats.org/officeDocument/2006/relationships/hyperlink" Target="https://advance.lexis.com/api/document?collection=cases-ca&amp;id=urn:contentItem:5F8T-N3V1-FH4C-X1WM-00000-00&amp;context=" TargetMode="External" /><Relationship Id="rId62" Type="http://schemas.openxmlformats.org/officeDocument/2006/relationships/hyperlink" Target="https://advance.lexis.com/api/document?collection=cases-ca&amp;id=urn:contentItem:5F7T-S731-DY33-B176-00000-00&amp;context=" TargetMode="External" /><Relationship Id="rId620" Type="http://schemas.openxmlformats.org/officeDocument/2006/relationships/hyperlink" Target="https://advance.lexis.com/api/document?collection=cases-ca&amp;id=urn:contentItem:5F7T-S7D1-DY89-M485-00000-00&amp;context=" TargetMode="External" /><Relationship Id="rId621" Type="http://schemas.openxmlformats.org/officeDocument/2006/relationships/hyperlink" Target="https://advance.lexis.com/api/document?collection=cases-ca&amp;id=urn:contentItem:5PHP-1331-F956-S2C0-00000-00&amp;context=" TargetMode="External" /><Relationship Id="rId622" Type="http://schemas.openxmlformats.org/officeDocument/2006/relationships/hyperlink" Target="https://advance.lexis.com/api/document?collection=cases-ca&amp;id=urn:contentItem:5F8P-SF91-JSC5-M298-00000-00&amp;context=" TargetMode="External" /><Relationship Id="rId623" Type="http://schemas.openxmlformats.org/officeDocument/2006/relationships/hyperlink" Target="https://advance.lexis.com/api/document?collection=cases-ca&amp;id=urn:contentItem:5F7T-S7M1-JCRC-B1R6-00000-00&amp;context=" TargetMode="External" /><Relationship Id="rId624" Type="http://schemas.openxmlformats.org/officeDocument/2006/relationships/hyperlink" Target="https://advance.lexis.com/api/document?collection=cases-ca&amp;id=urn:contentItem:5F7T-S7D1-JN6B-S0TP-00000-00&amp;context=" TargetMode="External" /><Relationship Id="rId625" Type="http://schemas.openxmlformats.org/officeDocument/2006/relationships/hyperlink" Target="https://advance.lexis.com/api/document?collection=cases-ca&amp;id=urn:contentItem:5F7T-S7D1-FCSB-S2X9-00000-00&amp;context=" TargetMode="External" /><Relationship Id="rId626" Type="http://schemas.openxmlformats.org/officeDocument/2006/relationships/hyperlink" Target="https://advance.lexis.com/api/document?collection=cases-ca&amp;id=urn:contentItem:5F7T-S791-JCJ5-2555-00000-00&amp;context=" TargetMode="External" /><Relationship Id="rId627" Type="http://schemas.openxmlformats.org/officeDocument/2006/relationships/hyperlink" Target="https://advance.lexis.com/api/document?collection=cases-ca&amp;id=urn:contentItem:5F7T-S7C1-F4NT-X35C-00000-00&amp;context=" TargetMode="External" /><Relationship Id="rId628" Type="http://schemas.openxmlformats.org/officeDocument/2006/relationships/hyperlink" Target="https://advance.lexis.com/api/document?collection=cases-ca&amp;id=urn:contentItem:5G8K-Y431-JWR6-S2F3-00000-00&amp;context=" TargetMode="External" /><Relationship Id="rId629" Type="http://schemas.openxmlformats.org/officeDocument/2006/relationships/hyperlink" Target="https://advance.lexis.com/api/document?collection=cases-ca&amp;id=urn:contentItem:5KRM-JB41-F81W-2100-00000-00&amp;context=" TargetMode="External" /><Relationship Id="rId63" Type="http://schemas.openxmlformats.org/officeDocument/2006/relationships/hyperlink" Target="https://advance.lexis.com/api/document?collection=cases-ca&amp;id=urn:contentItem:5F7T-S7K1-JWXF-210J-00000-00&amp;context=" TargetMode="External" /><Relationship Id="rId630" Type="http://schemas.openxmlformats.org/officeDocument/2006/relationships/hyperlink" Target="https://advance.lexis.com/api/document?collection=cases-ca&amp;id=urn:contentItem:5F8N-K711-F1P7-B3NX-00000-00&amp;context=" TargetMode="External" /><Relationship Id="rId631" Type="http://schemas.openxmlformats.org/officeDocument/2006/relationships/hyperlink" Target="https://advance.lexis.com/api/document?collection=cases-ca&amp;id=urn:contentItem:5F7V-3DM1-JNCK-238F-00000-00&amp;context=" TargetMode="External" /><Relationship Id="rId632" Type="http://schemas.openxmlformats.org/officeDocument/2006/relationships/hyperlink" Target="https://advance.lexis.com/api/document?collection=cases-ca&amp;id=urn:contentItem:5F7T-S7P1-JCRC-B242-00000-00&amp;context=" TargetMode="External" /><Relationship Id="rId633" Type="http://schemas.openxmlformats.org/officeDocument/2006/relationships/hyperlink" Target="https://advance.lexis.com/api/document?collection=cases-ca&amp;id=urn:contentItem:5JCG-40J1-JG02-S13D-00000-00&amp;context=" TargetMode="External" /><Relationship Id="rId634" Type="http://schemas.openxmlformats.org/officeDocument/2006/relationships/hyperlink" Target="https://advance.lexis.com/api/document?collection=cases-ca&amp;id=urn:contentItem:5F8P-SFC1-JX8W-M0JS-00000-00&amp;context=" TargetMode="External" /><Relationship Id="rId635" Type="http://schemas.openxmlformats.org/officeDocument/2006/relationships/hyperlink" Target="https://advance.lexis.com/api/document?collection=cases-ca&amp;id=urn:contentItem:5F8T-N3V1-FC1F-M4G5-00000-00&amp;context=" TargetMode="External" /><Relationship Id="rId636" Type="http://schemas.openxmlformats.org/officeDocument/2006/relationships/hyperlink" Target="https://advance.lexis.com/api/document?collection=cases-ca&amp;id=urn:contentItem:5G8T-89T1-JNCK-22VR-00000-00&amp;context=" TargetMode="External" /><Relationship Id="rId637" Type="http://schemas.openxmlformats.org/officeDocument/2006/relationships/header" Target="header100.xml" /><Relationship Id="rId638" Type="http://schemas.openxmlformats.org/officeDocument/2006/relationships/header" Target="header101.xml" /><Relationship Id="rId639" Type="http://schemas.openxmlformats.org/officeDocument/2006/relationships/footer" Target="footer100.xml" /><Relationship Id="rId64" Type="http://schemas.openxmlformats.org/officeDocument/2006/relationships/image" Target="media/image1.jpeg" /><Relationship Id="rId640" Type="http://schemas.openxmlformats.org/officeDocument/2006/relationships/footer" Target="footer101.xml" /><Relationship Id="rId641" Type="http://schemas.openxmlformats.org/officeDocument/2006/relationships/header" Target="header102.xml" /><Relationship Id="rId642" Type="http://schemas.openxmlformats.org/officeDocument/2006/relationships/footer" Target="footer102.xml" /><Relationship Id="rId643" Type="http://schemas.openxmlformats.org/officeDocument/2006/relationships/hyperlink" Target="https://advance.lexis.com/api/document?collection=cases-ca&amp;id=urn:contentItem:5F7T-S7F1-FBN1-21CX-00000-00&amp;context=" TargetMode="External" /><Relationship Id="rId644" Type="http://schemas.openxmlformats.org/officeDocument/2006/relationships/hyperlink" Target="https://advance.lexis.com/api/document?collection=cases-ca&amp;id=urn:contentItem:5F7T-S701-JF75-M4J3-00000-00&amp;context=" TargetMode="External" /><Relationship Id="rId645" Type="http://schemas.openxmlformats.org/officeDocument/2006/relationships/hyperlink" Target="https://advance.lexis.com/api/document?collection=cases-ca&amp;id=urn:contentItem:5F7T-S741-F528-G21K-00000-00&amp;context=" TargetMode="External" /><Relationship Id="rId646" Type="http://schemas.openxmlformats.org/officeDocument/2006/relationships/hyperlink" Target="https://advance.lexis.com/api/document?collection=cases-ca&amp;id=urn:contentItem:5F7T-S771-JN14-G2DF-00000-00&amp;context=" TargetMode="External" /><Relationship Id="rId647" Type="http://schemas.openxmlformats.org/officeDocument/2006/relationships/hyperlink" Target="https://advance.lexis.com/api/document?collection=cases-ca&amp;id=urn:contentItem:5F7T-S7F1-FJTD-G3DS-00000-00&amp;context=" TargetMode="External" /><Relationship Id="rId648" Type="http://schemas.openxmlformats.org/officeDocument/2006/relationships/hyperlink" Target="https://advance.lexis.com/api/document?collection=cases-ca&amp;id=urn:contentItem:5F7T-S7D1-JXG3-X0PB-00000-00&amp;context=" TargetMode="External" /><Relationship Id="rId649" Type="http://schemas.openxmlformats.org/officeDocument/2006/relationships/header" Target="header103.xml" /><Relationship Id="rId65" Type="http://schemas.openxmlformats.org/officeDocument/2006/relationships/image" Target="media/image2.jpeg" /><Relationship Id="rId650" Type="http://schemas.openxmlformats.org/officeDocument/2006/relationships/header" Target="header104.xml" /><Relationship Id="rId651" Type="http://schemas.openxmlformats.org/officeDocument/2006/relationships/footer" Target="footer103.xml" /><Relationship Id="rId652" Type="http://schemas.openxmlformats.org/officeDocument/2006/relationships/footer" Target="footer104.xml" /><Relationship Id="rId653" Type="http://schemas.openxmlformats.org/officeDocument/2006/relationships/header" Target="header105.xml" /><Relationship Id="rId654" Type="http://schemas.openxmlformats.org/officeDocument/2006/relationships/footer" Target="footer105.xml" /><Relationship Id="rId655" Type="http://schemas.openxmlformats.org/officeDocument/2006/relationships/hyperlink" Target="https://advance.lexis.com/api/document?collection=cases-ca&amp;id=urn:contentItem:5F7T-S7D1-DY89-M3XH-00000-00&amp;context=" TargetMode="External" /><Relationship Id="rId656" Type="http://schemas.openxmlformats.org/officeDocument/2006/relationships/hyperlink" Target="https://advance.lexis.com/api/document?collection=cases-ca&amp;id=urn:contentItem:5F7T-S771-JJD0-G128-00000-00&amp;context=" TargetMode="External" /><Relationship Id="rId657" Type="http://schemas.openxmlformats.org/officeDocument/2006/relationships/hyperlink" Target="https://advance.lexis.com/api/document?collection=cases-ca&amp;id=urn:contentItem:5F7T-S751-JBM1-M21W-00000-00&amp;context=" TargetMode="External" /><Relationship Id="rId658" Type="http://schemas.openxmlformats.org/officeDocument/2006/relationships/hyperlink" Target="https://advance.lexis.com/api/document?collection=cases-ca&amp;id=urn:contentItem:5F7T-S741-F2F4-G259-00000-00&amp;context=" TargetMode="External" /><Relationship Id="rId659" Type="http://schemas.openxmlformats.org/officeDocument/2006/relationships/header" Target="header106.xml" /><Relationship Id="rId66" Type="http://schemas.openxmlformats.org/officeDocument/2006/relationships/hyperlink" Target="https://advance.lexis.com/api/document?collection=cases-ca&amp;id=urn:contentItem:5F7T-S7B1-FH4C-X3P6-00000-00&amp;context=" TargetMode="External" /><Relationship Id="rId660" Type="http://schemas.openxmlformats.org/officeDocument/2006/relationships/header" Target="header107.xml" /><Relationship Id="rId661" Type="http://schemas.openxmlformats.org/officeDocument/2006/relationships/footer" Target="footer106.xml" /><Relationship Id="rId662" Type="http://schemas.openxmlformats.org/officeDocument/2006/relationships/footer" Target="footer107.xml" /><Relationship Id="rId663" Type="http://schemas.openxmlformats.org/officeDocument/2006/relationships/header" Target="header108.xml" /><Relationship Id="rId664" Type="http://schemas.openxmlformats.org/officeDocument/2006/relationships/footer" Target="footer108.xml" /><Relationship Id="rId665" Type="http://schemas.openxmlformats.org/officeDocument/2006/relationships/hyperlink" Target="https://advance.lexis.com/api/document?collection=cases-ca&amp;id=urn:contentItem:5F7T-S7C1-FCSB-S287-00000-00&amp;context=" TargetMode="External" /><Relationship Id="rId666" Type="http://schemas.openxmlformats.org/officeDocument/2006/relationships/hyperlink" Target="https://advance.lexis.com/api/document?collection=cases-ca&amp;id=urn:contentItem:5F7T-S6Y1-F4GK-M1MX-00000-00&amp;context=" TargetMode="External" /><Relationship Id="rId667" Type="http://schemas.openxmlformats.org/officeDocument/2006/relationships/hyperlink" Target="https://advance.lexis.com/api/document?collection=cases-ca&amp;id=urn:contentItem:5F7T-S6Y1-F7G6-634G-00000-00&amp;context=" TargetMode="External" /><Relationship Id="rId668" Type="http://schemas.openxmlformats.org/officeDocument/2006/relationships/hyperlink" Target="https://advance.lexis.com/api/document?collection=cases-ca&amp;id=urn:contentItem:5F7T-S741-F1H1-21HP-00000-00&amp;context=" TargetMode="External" /><Relationship Id="rId669" Type="http://schemas.openxmlformats.org/officeDocument/2006/relationships/hyperlink" Target="https://advance.lexis.com/api/document?collection=cases-ca&amp;id=urn:contentItem:5F7T-S771-JTGH-B12P-00000-00&amp;context=" TargetMode="External" /><Relationship Id="rId67" Type="http://schemas.openxmlformats.org/officeDocument/2006/relationships/hyperlink" Target="https://advance.lexis.com/api/document?collection=cases-ca&amp;id=urn:contentItem:5F7T-S7D1-FBFS-S1P3-00000-00&amp;context=" TargetMode="External" /><Relationship Id="rId670" Type="http://schemas.openxmlformats.org/officeDocument/2006/relationships/hyperlink" Target="https://advance.lexis.com/api/document?collection=cases-ca&amp;id=urn:contentItem:5F7T-S721-JSC5-M3H8-00000-00&amp;context=" TargetMode="External" /><Relationship Id="rId671" Type="http://schemas.openxmlformats.org/officeDocument/2006/relationships/hyperlink" Target="https://advance.lexis.com/api/document?collection=cases-ca&amp;id=urn:contentItem:5F7T-S731-F016-S30C-00000-00&amp;context=" TargetMode="External" /><Relationship Id="rId672" Type="http://schemas.openxmlformats.org/officeDocument/2006/relationships/hyperlink" Target="https://advance.lexis.com/api/document?collection=cases-ca&amp;id=urn:contentItem:5F7T-S771-JW5H-X24J-00000-00&amp;context=" TargetMode="External" /><Relationship Id="rId673" Type="http://schemas.openxmlformats.org/officeDocument/2006/relationships/hyperlink" Target="https://advance.lexis.com/api/document?collection=cases-ca&amp;id=urn:contentItem:5F7T-S781-F900-G178-00000-00&amp;context=" TargetMode="External" /><Relationship Id="rId674" Type="http://schemas.openxmlformats.org/officeDocument/2006/relationships/header" Target="header109.xml" /><Relationship Id="rId675" Type="http://schemas.openxmlformats.org/officeDocument/2006/relationships/header" Target="header110.xml" /><Relationship Id="rId676" Type="http://schemas.openxmlformats.org/officeDocument/2006/relationships/footer" Target="footer109.xml" /><Relationship Id="rId677" Type="http://schemas.openxmlformats.org/officeDocument/2006/relationships/footer" Target="footer110.xml" /><Relationship Id="rId678" Type="http://schemas.openxmlformats.org/officeDocument/2006/relationships/header" Target="header111.xml" /><Relationship Id="rId679" Type="http://schemas.openxmlformats.org/officeDocument/2006/relationships/footer" Target="footer111.xml" /><Relationship Id="rId68" Type="http://schemas.openxmlformats.org/officeDocument/2006/relationships/hyperlink" Target="https://advance.lexis.com/api/document?collection=cases-ca&amp;id=urn:contentItem:5F7T-S7J1-DXWW-255R-00000-00&amp;context=" TargetMode="External" /><Relationship Id="rId680" Type="http://schemas.openxmlformats.org/officeDocument/2006/relationships/hyperlink" Target="https://advance.lexis.com/api/document?collection=cases-ca&amp;id=urn:contentItem:5K56-XS31-FC6N-X384-00000-00&amp;context=" TargetMode="External" /><Relationship Id="rId681" Type="http://schemas.openxmlformats.org/officeDocument/2006/relationships/hyperlink" Target="https://advance.lexis.com/api/document?collection=cases-ca&amp;id=urn:contentItem:5F7T-S7P1-JBDT-B164-00000-00&amp;context=" TargetMode="External" /><Relationship Id="rId682" Type="http://schemas.openxmlformats.org/officeDocument/2006/relationships/hyperlink" Target="https://advance.lexis.com/api/document?collection=cases-ca&amp;id=urn:contentItem:5HTX-5F91-JWBS-62MD-00000-00&amp;context=" TargetMode="External" /><Relationship Id="rId683" Type="http://schemas.openxmlformats.org/officeDocument/2006/relationships/hyperlink" Target="https://advance.lexis.com/api/document?collection=cases-ca&amp;id=urn:contentItem:5F8T-N3V1-FH4C-X23P-00000-00&amp;context=" TargetMode="External" /><Relationship Id="rId684" Type="http://schemas.openxmlformats.org/officeDocument/2006/relationships/hyperlink" Target="https://advance.lexis.com/api/document?collection=cases-ca&amp;id=urn:contentItem:5F7T-S721-F8D9-M0WV-00000-00&amp;context=" TargetMode="External" /><Relationship Id="rId685" Type="http://schemas.openxmlformats.org/officeDocument/2006/relationships/hyperlink" Target="https://advance.lexis.com/api/document?collection=cases-ca&amp;id=urn:contentItem:5F7T-S7M1-F4W2-6274-00000-00&amp;context=" TargetMode="External" /><Relationship Id="rId686" Type="http://schemas.openxmlformats.org/officeDocument/2006/relationships/hyperlink" Target="https://advance.lexis.com/api/document?collection=cases-ca&amp;id=urn:contentItem:5K1C-F351-DXWW-23FH-00000-00&amp;context=" TargetMode="External" /><Relationship Id="rId687" Type="http://schemas.openxmlformats.org/officeDocument/2006/relationships/hyperlink" Target="https://advance.lexis.com/api/document?collection=cases-ca&amp;id=urn:contentItem:5GB3-MY31-JX3N-B2CM-00000-00&amp;context=" TargetMode="External" /><Relationship Id="rId688" Type="http://schemas.openxmlformats.org/officeDocument/2006/relationships/hyperlink" Target="https://advance.lexis.com/api/document?collection=cases-ca&amp;id=urn:contentItem:5HD5-ST21-F2F4-G3K8-00000-00&amp;context=" TargetMode="External" /><Relationship Id="rId689" Type="http://schemas.openxmlformats.org/officeDocument/2006/relationships/header" Target="header112.xml" /><Relationship Id="rId69" Type="http://schemas.openxmlformats.org/officeDocument/2006/relationships/hyperlink" Target="https://advance.lexis.com/api/document?collection=cases-ca&amp;id=urn:contentItem:5F7V-3DH1-FCK4-G12S-00000-00&amp;context=" TargetMode="External" /><Relationship Id="rId690" Type="http://schemas.openxmlformats.org/officeDocument/2006/relationships/header" Target="header113.xml" /><Relationship Id="rId691" Type="http://schemas.openxmlformats.org/officeDocument/2006/relationships/footer" Target="footer112.xml" /><Relationship Id="rId692" Type="http://schemas.openxmlformats.org/officeDocument/2006/relationships/footer" Target="footer113.xml" /><Relationship Id="rId693" Type="http://schemas.openxmlformats.org/officeDocument/2006/relationships/header" Target="header114.xml" /><Relationship Id="rId694" Type="http://schemas.openxmlformats.org/officeDocument/2006/relationships/footer" Target="footer114.xml" /><Relationship Id="rId695" Type="http://schemas.openxmlformats.org/officeDocument/2006/relationships/hyperlink" Target="https://advance.lexis.com/api/document?collection=cases-ca&amp;id=urn:contentItem:5R7H-T5F1-JX3N-B0NV-00000-00&amp;context=" TargetMode="External" /><Relationship Id="rId696" Type="http://schemas.openxmlformats.org/officeDocument/2006/relationships/hyperlink" Target="https://advance.lexis.com/api/document?collection=cases-ca&amp;id=urn:contentItem:5K3Y-46B1-JXG3-X0TT-00000-00&amp;context=" TargetMode="External" /><Relationship Id="rId697" Type="http://schemas.openxmlformats.org/officeDocument/2006/relationships/hyperlink" Target="https://advance.lexis.com/api/document?collection=cases-ca&amp;id=urn:contentItem:5F7T-S7M1-JPP5-22J6-00000-00&amp;context=" TargetMode="External" /><Relationship Id="rId698" Type="http://schemas.openxmlformats.org/officeDocument/2006/relationships/hyperlink" Target="https://advance.lexis.com/api/document?collection=cases-ca&amp;id=urn:contentItem:5F8T-N3V1-FC1F-M490-00000-00&amp;context=" TargetMode="External" /><Relationship Id="rId699" Type="http://schemas.openxmlformats.org/officeDocument/2006/relationships/hyperlink" Target="https://advance.lexis.com/api/document?collection=cases-ca&amp;id=urn:contentItem:5F7T-S6S1-DXHD-G13M-00000-00&amp;context=" TargetMode="External" /><Relationship Id="rId7" Type="http://schemas.openxmlformats.org/officeDocument/2006/relationships/footer" Target="footer2.xml" /><Relationship Id="rId70" Type="http://schemas.openxmlformats.org/officeDocument/2006/relationships/hyperlink" Target="https://advance.lexis.com/api/document?collection=cases-ca&amp;id=urn:contentItem:5F7T-S7G1-JPP5-21TP-00000-00&amp;context=" TargetMode="External" /><Relationship Id="rId700" Type="http://schemas.openxmlformats.org/officeDocument/2006/relationships/hyperlink" Target="https://advance.lexis.com/api/document?collection=cases-ca&amp;id=urn:contentItem:5F7T-S6T1-JTNR-M2MX-00000-00&amp;context=" TargetMode="External" /><Relationship Id="rId701" Type="http://schemas.openxmlformats.org/officeDocument/2006/relationships/hyperlink" Target="https://advance.lexis.com/api/document?collection=cases-ca&amp;id=urn:contentItem:5F7T-S771-F2TK-22YF-00000-00&amp;context=" TargetMode="External" /><Relationship Id="rId702" Type="http://schemas.openxmlformats.org/officeDocument/2006/relationships/hyperlink" Target="https://advance.lexis.com/api/document?collection=cases-ca&amp;id=urn:contentItem:5F7T-S711-F4GK-M2FW-00000-00&amp;context=" TargetMode="External" /><Relationship Id="rId703" Type="http://schemas.openxmlformats.org/officeDocument/2006/relationships/hyperlink" Target="https://advance.lexis.com/api/document?collection=cases-ca&amp;id=urn:contentItem:5F7T-S7K1-F1H1-22DB-00000-00&amp;context=" TargetMode="External" /><Relationship Id="rId704" Type="http://schemas.openxmlformats.org/officeDocument/2006/relationships/header" Target="header115.xml" /><Relationship Id="rId705" Type="http://schemas.openxmlformats.org/officeDocument/2006/relationships/header" Target="header116.xml" /><Relationship Id="rId706" Type="http://schemas.openxmlformats.org/officeDocument/2006/relationships/footer" Target="footer115.xml" /><Relationship Id="rId707" Type="http://schemas.openxmlformats.org/officeDocument/2006/relationships/footer" Target="footer116.xml" /><Relationship Id="rId708" Type="http://schemas.openxmlformats.org/officeDocument/2006/relationships/header" Target="header117.xml" /><Relationship Id="rId709" Type="http://schemas.openxmlformats.org/officeDocument/2006/relationships/footer" Target="footer117.xml" /><Relationship Id="rId71" Type="http://schemas.openxmlformats.org/officeDocument/2006/relationships/hyperlink" Target="https://advance.lexis.com/api/document?collection=cases-ca&amp;id=urn:contentItem:5F16-9371-JBT7-X22M-00000-00&amp;context=" TargetMode="External" /><Relationship Id="rId710" Type="http://schemas.openxmlformats.org/officeDocument/2006/relationships/hyperlink" Target="https://advance.lexis.com/api/document?collection=cases-ca&amp;id=urn:contentItem:5F7T-S7G1-JWR6-S1KM-00000-00&amp;context=" TargetMode="External" /><Relationship Id="rId711" Type="http://schemas.openxmlformats.org/officeDocument/2006/relationships/hyperlink" Target="https://advance.lexis.com/api/document?collection=cases-ca&amp;id=urn:contentItem:5F7T-S7C1-FCSB-S2G2-00000-00&amp;context=" TargetMode="External" /><Relationship Id="rId712" Type="http://schemas.openxmlformats.org/officeDocument/2006/relationships/hyperlink" Target="https://advance.lexis.com/api/document?collection=cases-ca&amp;id=urn:contentItem:5F7T-S7F1-JX3N-B1H3-00000-00&amp;context=" TargetMode="External" /><Relationship Id="rId713" Type="http://schemas.openxmlformats.org/officeDocument/2006/relationships/hyperlink" Target="https://advance.lexis.com/api/document?collection=cases-ca&amp;id=urn:contentItem:5F7T-S7G1-FBFS-S2K3-00000-00&amp;context=" TargetMode="External" /><Relationship Id="rId714" Type="http://schemas.openxmlformats.org/officeDocument/2006/relationships/hyperlink" Target="https://advance.lexis.com/api/document?collection=cases-ca&amp;id=urn:contentItem:5F7T-S771-F361-M1KW-00000-00&amp;context=" TargetMode="External" /><Relationship Id="rId715" Type="http://schemas.openxmlformats.org/officeDocument/2006/relationships/hyperlink" Target="https://advance.lexis.com/api/document?collection=cases-ca&amp;id=urn:contentItem:5F8T-N3V1-JTGH-B184-00000-00&amp;context=" TargetMode="External" /><Relationship Id="rId716" Type="http://schemas.openxmlformats.org/officeDocument/2006/relationships/hyperlink" Target="https://advance.lexis.com/api/document?collection=cases-ca&amp;id=urn:contentItem:5F8T-N3V1-FC1F-M4C6-00000-00&amp;context=" TargetMode="External" /><Relationship Id="rId717" Type="http://schemas.openxmlformats.org/officeDocument/2006/relationships/hyperlink" Target="https://advance.lexis.com/api/document?collection=cases-ca&amp;id=urn:contentItem:5F8T-N3V1-JTGH-B19N-00000-00&amp;context=" TargetMode="External" /><Relationship Id="rId718" Type="http://schemas.openxmlformats.org/officeDocument/2006/relationships/hyperlink" Target="https://advance.lexis.com/api/document?collection=cases-ca&amp;id=urn:contentItem:5F7T-S7G1-JBT7-X3JN-00000-00&amp;context=" TargetMode="External" /><Relationship Id="rId719" Type="http://schemas.openxmlformats.org/officeDocument/2006/relationships/header" Target="header118.xml" /><Relationship Id="rId72" Type="http://schemas.openxmlformats.org/officeDocument/2006/relationships/hyperlink" Target="https://advance.lexis.com/api/document?collection=cases-ca&amp;id=urn:contentItem:5F7T-S771-JW5H-X230-00000-00&amp;context=" TargetMode="External" /><Relationship Id="rId720" Type="http://schemas.openxmlformats.org/officeDocument/2006/relationships/header" Target="header119.xml" /><Relationship Id="rId721" Type="http://schemas.openxmlformats.org/officeDocument/2006/relationships/footer" Target="footer118.xml" /><Relationship Id="rId722" Type="http://schemas.openxmlformats.org/officeDocument/2006/relationships/footer" Target="footer119.xml" /><Relationship Id="rId723" Type="http://schemas.openxmlformats.org/officeDocument/2006/relationships/header" Target="header120.xml" /><Relationship Id="rId724" Type="http://schemas.openxmlformats.org/officeDocument/2006/relationships/footer" Target="footer120.xml" /><Relationship Id="rId725" Type="http://schemas.openxmlformats.org/officeDocument/2006/relationships/hyperlink" Target="https://advance.lexis.com/api/document?collection=cases-ca&amp;id=urn:contentItem:5F7T-S7G1-JWR6-S1RG-00000-00&amp;context=" TargetMode="External" /><Relationship Id="rId726" Type="http://schemas.openxmlformats.org/officeDocument/2006/relationships/hyperlink" Target="https://advance.lexis.com/api/document?collection=cases-ca&amp;id=urn:contentItem:5F7T-S6T1-JK4W-M089-00000-00&amp;context=" TargetMode="External" /><Relationship Id="rId727" Type="http://schemas.openxmlformats.org/officeDocument/2006/relationships/hyperlink" Target="https://advance.lexis.com/api/document?collection=cases-ca&amp;id=urn:contentItem:5F7T-S771-JW5H-X24S-00000-00&amp;context=" TargetMode="External" /><Relationship Id="rId728" Type="http://schemas.openxmlformats.org/officeDocument/2006/relationships/hyperlink" Target="https://advance.lexis.com/api/document?collection=cases-ca&amp;id=urn:contentItem:5F7T-S7C1-JCJ5-20JF-00000-00&amp;context=" TargetMode="External" /><Relationship Id="rId729" Type="http://schemas.openxmlformats.org/officeDocument/2006/relationships/hyperlink" Target="https://advance.lexis.com/api/document?collection=cases-ca&amp;id=urn:contentItem:5F7T-S751-F361-M0PS-00000-00&amp;context=" TargetMode="External" /><Relationship Id="rId73" Type="http://schemas.openxmlformats.org/officeDocument/2006/relationships/hyperlink" Target="https://advance.lexis.com/api/document?collection=cases-ca&amp;id=urn:contentItem:5F7T-S781-DYMS-61GK-00000-00&amp;context=" TargetMode="External" /><Relationship Id="rId730" Type="http://schemas.openxmlformats.org/officeDocument/2006/relationships/hyperlink" Target="https://advance.lexis.com/api/document?collection=cases-ca&amp;id=urn:contentItem:5F7T-S771-JW5H-X1W2-00000-00&amp;context=" TargetMode="External" /><Relationship Id="rId731" Type="http://schemas.openxmlformats.org/officeDocument/2006/relationships/hyperlink" Target="https://advance.lexis.com/api/document?collection=cases-ca&amp;id=urn:contentItem:5F8T-N3T1-JGHR-M27Y-00000-00&amp;context=" TargetMode="External" /><Relationship Id="rId732" Type="http://schemas.openxmlformats.org/officeDocument/2006/relationships/hyperlink" Target="https://advance.lexis.com/api/document?collection=cases-ca&amp;id=urn:contentItem:5F8P-SCG1-F5KY-B2VG-00000-00&amp;context=" TargetMode="External" /><Relationship Id="rId733" Type="http://schemas.openxmlformats.org/officeDocument/2006/relationships/hyperlink" Target="https://advance.lexis.com/api/document?collection=cases-ca&amp;id=urn:contentItem:5F7T-S701-F8KH-X1C7-00000-00&amp;context=" TargetMode="External" /><Relationship Id="rId734" Type="http://schemas.openxmlformats.org/officeDocument/2006/relationships/hyperlink" Target="https://advance.lexis.com/api/document?collection=cases-ca&amp;id=urn:contentItem:5F8T-N3V1-FC1F-M4BS-00000-00&amp;context=" TargetMode="External" /><Relationship Id="rId735" Type="http://schemas.openxmlformats.org/officeDocument/2006/relationships/hyperlink" Target="https://advance.lexis.com/api/document?collection=cases-ca&amp;id=urn:contentItem:5F7T-S7C1-JCJ5-20V0-00000-00&amp;context=" TargetMode="External" /><Relationship Id="rId736" Type="http://schemas.openxmlformats.org/officeDocument/2006/relationships/hyperlink" Target="https://advance.lexis.com/api/document?collection=cases-ca&amp;id=urn:contentItem:5F7T-S791-JCJ5-2553-00000-00&amp;context=" TargetMode="External" /><Relationship Id="rId737" Type="http://schemas.openxmlformats.org/officeDocument/2006/relationships/hyperlink" Target="https://advance.lexis.com/api/document?collection=cases-ca&amp;id=urn:contentItem:5F7T-S7C1-JCJ5-208G-00000-00&amp;context=" TargetMode="External" /><Relationship Id="rId738" Type="http://schemas.openxmlformats.org/officeDocument/2006/relationships/header" Target="header121.xml" /><Relationship Id="rId739" Type="http://schemas.openxmlformats.org/officeDocument/2006/relationships/header" Target="header122.xml" /><Relationship Id="rId74" Type="http://schemas.openxmlformats.org/officeDocument/2006/relationships/hyperlink" Target="https://advance.lexis.com/api/document?collection=cases-ca&amp;id=urn:contentItem:5F7T-S7D1-JN6B-S0XF-00000-00&amp;context=" TargetMode="External" /><Relationship Id="rId740" Type="http://schemas.openxmlformats.org/officeDocument/2006/relationships/footer" Target="footer121.xml" /><Relationship Id="rId741" Type="http://schemas.openxmlformats.org/officeDocument/2006/relationships/footer" Target="footer122.xml" /><Relationship Id="rId742" Type="http://schemas.openxmlformats.org/officeDocument/2006/relationships/header" Target="header123.xml" /><Relationship Id="rId743" Type="http://schemas.openxmlformats.org/officeDocument/2006/relationships/footer" Target="footer123.xml" /><Relationship Id="rId744" Type="http://schemas.openxmlformats.org/officeDocument/2006/relationships/hyperlink" Target="https://advance.lexis.com/api/document?collection=cases-ca&amp;id=urn:contentItem:5F7T-S6X1-F06F-22K3-00000-00&amp;context=" TargetMode="External" /><Relationship Id="rId745" Type="http://schemas.openxmlformats.org/officeDocument/2006/relationships/hyperlink" Target="https://iclr.co.uk/pubrefLookup/redirectTo?ref=1924+P.+140" TargetMode="External" /><Relationship Id="rId746" Type="http://schemas.openxmlformats.org/officeDocument/2006/relationships/image" Target="media/image4.png" /><Relationship Id="rId747" Type="http://schemas.openxmlformats.org/officeDocument/2006/relationships/hyperlink" Target="https://advance.lexis.com/api/document?collection=cases-ca&amp;id=urn:contentItem:5F7T-S751-JGHR-M1Y9-00000-00&amp;context=" TargetMode="External" /><Relationship Id="rId748" Type="http://schemas.openxmlformats.org/officeDocument/2006/relationships/hyperlink" Target="https://advance.lexis.com/api/document?collection=cases-ca&amp;id=urn:contentItem:5F8T-N3T1-JJSF-23P9-00000-00&amp;context=" TargetMode="External" /><Relationship Id="rId749" Type="http://schemas.openxmlformats.org/officeDocument/2006/relationships/hyperlink" Target="https://advance.lexis.com/api/document?collection=cases-ca&amp;id=urn:contentItem:5F2P-NNM1-JCRC-B52T-00000-00&amp;context=" TargetMode="External" /><Relationship Id="rId75" Type="http://schemas.openxmlformats.org/officeDocument/2006/relationships/hyperlink" Target="https://advance.lexis.com/api/document?collection=cases-ca&amp;id=urn:contentItem:5F7T-S7F1-DXWW-2473-00000-00&amp;context=" TargetMode="External" /><Relationship Id="rId750" Type="http://schemas.openxmlformats.org/officeDocument/2006/relationships/hyperlink" Target="https://advance.lexis.com/api/document?collection=cases-ca&amp;id=urn:contentItem:5F8T-N3V1-JF75-M3K1-00000-00&amp;context=" TargetMode="External" /><Relationship Id="rId751" Type="http://schemas.openxmlformats.org/officeDocument/2006/relationships/hyperlink" Target="https://advance.lexis.com/api/document?collection=cases-ca&amp;id=urn:contentItem:5F7T-S741-F1H1-21PK-00000-00&amp;context=" TargetMode="External" /><Relationship Id="rId752" Type="http://schemas.openxmlformats.org/officeDocument/2006/relationships/header" Target="header124.xml" /><Relationship Id="rId753" Type="http://schemas.openxmlformats.org/officeDocument/2006/relationships/header" Target="header125.xml" /><Relationship Id="rId754" Type="http://schemas.openxmlformats.org/officeDocument/2006/relationships/footer" Target="footer124.xml" /><Relationship Id="rId755" Type="http://schemas.openxmlformats.org/officeDocument/2006/relationships/footer" Target="footer125.xml" /><Relationship Id="rId756" Type="http://schemas.openxmlformats.org/officeDocument/2006/relationships/header" Target="header126.xml" /><Relationship Id="rId757" Type="http://schemas.openxmlformats.org/officeDocument/2006/relationships/footer" Target="footer126.xml" /><Relationship Id="rId758" Type="http://schemas.openxmlformats.org/officeDocument/2006/relationships/hyperlink" Target="https://advance.lexis.com/api/document?collection=cases-ca&amp;id=urn:contentItem:5F7T-S7P1-JCRC-B292-00000-00&amp;context=" TargetMode="External" /><Relationship Id="rId759" Type="http://schemas.openxmlformats.org/officeDocument/2006/relationships/hyperlink" Target="https://advance.lexis.com/api/document?collection=cases-ca&amp;id=urn:contentItem:5F7T-S7K1-JX3N-B2V4-00000-00&amp;context=" TargetMode="External" /><Relationship Id="rId76" Type="http://schemas.openxmlformats.org/officeDocument/2006/relationships/hyperlink" Target="https://advance.lexis.com/api/document?collection=cases-ca&amp;id=urn:contentItem:5F7T-S7C1-F30T-B2CJ-00000-00&amp;context=" TargetMode="External" /><Relationship Id="rId760" Type="http://schemas.openxmlformats.org/officeDocument/2006/relationships/hyperlink" Target="https://advance.lexis.com/api/document?collection=cases-ca&amp;id=urn:contentItem:5F7T-S7N1-F06F-24KX-00000-00&amp;context=" TargetMode="External" /><Relationship Id="rId761" Type="http://schemas.openxmlformats.org/officeDocument/2006/relationships/header" Target="header127.xml" /><Relationship Id="rId762" Type="http://schemas.openxmlformats.org/officeDocument/2006/relationships/header" Target="header128.xml" /><Relationship Id="rId763" Type="http://schemas.openxmlformats.org/officeDocument/2006/relationships/footer" Target="footer127.xml" /><Relationship Id="rId764" Type="http://schemas.openxmlformats.org/officeDocument/2006/relationships/footer" Target="footer128.xml" /><Relationship Id="rId765" Type="http://schemas.openxmlformats.org/officeDocument/2006/relationships/header" Target="header129.xml" /><Relationship Id="rId766" Type="http://schemas.openxmlformats.org/officeDocument/2006/relationships/footer" Target="footer129.xml" /><Relationship Id="rId767" Type="http://schemas.openxmlformats.org/officeDocument/2006/relationships/hyperlink" Target="https://advance.lexis.com/api/document?collection=cases-ca&amp;id=urn:contentItem:5F7T-S791-FJTD-G2HT-00000-00&amp;context=" TargetMode="External" /><Relationship Id="rId768" Type="http://schemas.openxmlformats.org/officeDocument/2006/relationships/header" Target="header130.xml" /><Relationship Id="rId769" Type="http://schemas.openxmlformats.org/officeDocument/2006/relationships/header" Target="header131.xml" /><Relationship Id="rId77" Type="http://schemas.openxmlformats.org/officeDocument/2006/relationships/hyperlink" Target="https://advance.lexis.com/api/document?collection=cases-ca&amp;id=urn:contentItem:5F7T-S7N1-JC5P-G2DG-00000-00&amp;context=" TargetMode="External" /><Relationship Id="rId770" Type="http://schemas.openxmlformats.org/officeDocument/2006/relationships/footer" Target="footer130.xml" /><Relationship Id="rId771" Type="http://schemas.openxmlformats.org/officeDocument/2006/relationships/footer" Target="footer131.xml" /><Relationship Id="rId772" Type="http://schemas.openxmlformats.org/officeDocument/2006/relationships/header" Target="header132.xml" /><Relationship Id="rId773" Type="http://schemas.openxmlformats.org/officeDocument/2006/relationships/footer" Target="footer132.xml" /><Relationship Id="rId774" Type="http://schemas.openxmlformats.org/officeDocument/2006/relationships/hyperlink" Target="https://advance.lexis.com/api/document?collection=cases-ca&amp;id=urn:contentItem:5J4V-Y9D1-DXPM-S4PV-00000-00&amp;context=" TargetMode="External" /><Relationship Id="rId775" Type="http://schemas.openxmlformats.org/officeDocument/2006/relationships/hyperlink" Target="https://advance.lexis.com/api/document?collection=cases-ca&amp;id=urn:contentItem:5HG9-CT61-FGJR-22WM-00000-00&amp;context=" TargetMode="External" /><Relationship Id="rId776" Type="http://schemas.openxmlformats.org/officeDocument/2006/relationships/hyperlink" Target="https://advance.lexis.com/api/document?collection=cases-ca&amp;id=urn:contentItem:5F7T-S7F1-FFFC-B25Y-00000-00&amp;context=" TargetMode="External" /><Relationship Id="rId777" Type="http://schemas.openxmlformats.org/officeDocument/2006/relationships/hyperlink" Target="https://advance.lexis.com/api/document?collection=cases-ca&amp;id=urn:contentItem:5F7T-S771-F361-M1HH-00000-00&amp;context=" TargetMode="External" /><Relationship Id="rId778" Type="http://schemas.openxmlformats.org/officeDocument/2006/relationships/hyperlink" Target="https://advance.lexis.com/api/document?collection=cases-ca&amp;id=urn:contentItem:5F7T-S751-FJDY-X3SJ-00000-00&amp;context=" TargetMode="External" /><Relationship Id="rId779" Type="http://schemas.openxmlformats.org/officeDocument/2006/relationships/hyperlink" Target="https://advance.lexis.com/api/document?collection=cases-ca&amp;id=urn:contentItem:5F7T-S781-F900-G0P8-00000-00&amp;context=" TargetMode="External" /><Relationship Id="rId78" Type="http://schemas.openxmlformats.org/officeDocument/2006/relationships/hyperlink" Target="https://advance.lexis.com/api/document?collection=cases-ca&amp;id=urn:contentItem:5F7T-S7M1-JJK6-S1W6-00000-00&amp;context=" TargetMode="External" /><Relationship Id="rId780" Type="http://schemas.openxmlformats.org/officeDocument/2006/relationships/hyperlink" Target="https://advance.lexis.com/api/document?collection=cases-ca&amp;id=urn:contentItem:5F7T-S7N1-JW09-M0YW-00000-00&amp;context=" TargetMode="External" /><Relationship Id="rId781" Type="http://schemas.openxmlformats.org/officeDocument/2006/relationships/hyperlink" Target="https://advance.lexis.com/api/document?collection=cases-ca&amp;id=urn:contentItem:5F8T-N3V1-FH4C-X1XK-00000-00&amp;context=" TargetMode="External" /><Relationship Id="rId782" Type="http://schemas.openxmlformats.org/officeDocument/2006/relationships/hyperlink" Target="https://advance.lexis.com/api/document?collection=cases-ca&amp;id=urn:contentItem:5F7T-S7G1-JPP5-222K-00000-00&amp;context=" TargetMode="External" /><Relationship Id="rId783" Type="http://schemas.openxmlformats.org/officeDocument/2006/relationships/hyperlink" Target="https://advance.lexis.com/api/document?collection=cases-ca&amp;id=urn:contentItem:5F7T-S7K1-F1H1-22F0-00000-00&amp;context=" TargetMode="External" /><Relationship Id="rId784" Type="http://schemas.openxmlformats.org/officeDocument/2006/relationships/hyperlink" Target="https://advance.lexis.com/api/document?collection=cases-ca&amp;id=urn:contentItem:5F7T-S7H1-JS5Y-B31F-00000-00&amp;context=" TargetMode="External" /><Relationship Id="rId785" Type="http://schemas.openxmlformats.org/officeDocument/2006/relationships/hyperlink" Target="https://advance.lexis.com/api/document?collection=cases-ca&amp;id=urn:contentItem:5F7T-S7F1-DXWW-24DB-00000-00&amp;context=" TargetMode="External" /><Relationship Id="rId786" Type="http://schemas.openxmlformats.org/officeDocument/2006/relationships/hyperlink" Target="https://advance.lexis.com/api/document?collection=cases-ca&amp;id=urn:contentItem:5F7T-S7B1-FH4C-X3V5-00000-00&amp;context=" TargetMode="External" /><Relationship Id="rId787" Type="http://schemas.openxmlformats.org/officeDocument/2006/relationships/hyperlink" Target="https://advance.lexis.com/api/document?collection=cases-ca&amp;id=urn:contentItem:5F7T-S761-F7ND-G48N-00000-00&amp;context=" TargetMode="External" /><Relationship Id="rId788" Type="http://schemas.openxmlformats.org/officeDocument/2006/relationships/hyperlink" Target="https://advance.lexis.com/api/document?collection=cases-ca&amp;id=urn:contentItem:5G74-D9V1-F2TK-22FC-00000-00&amp;context=" TargetMode="External" /><Relationship Id="rId789" Type="http://schemas.openxmlformats.org/officeDocument/2006/relationships/hyperlink" Target="https://advance.lexis.com/api/document?collection=cases-ca&amp;id=urn:contentItem:5F7T-S7M1-F4W2-629C-00000-00&amp;context=" TargetMode="External" /><Relationship Id="rId79" Type="http://schemas.openxmlformats.org/officeDocument/2006/relationships/hyperlink" Target="https://advance.lexis.com/api/document?collection=cases-ca&amp;id=urn:contentItem:5F7T-S7H1-FCSB-S3JB-00000-00&amp;context=" TargetMode="External" /><Relationship Id="rId790" Type="http://schemas.openxmlformats.org/officeDocument/2006/relationships/hyperlink" Target="https://advance.lexis.com/api/document?collection=cases-ca&amp;id=urn:contentItem:5GB3-MY31-JX3N-B2CW-00000-00&amp;context=" TargetMode="External" /><Relationship Id="rId791" Type="http://schemas.openxmlformats.org/officeDocument/2006/relationships/hyperlink" Target="https://advance.lexis.com/api/document?collection=cases-ca&amp;id=urn:contentItem:5H5B-FTG1-K0BB-S186-00000-00&amp;context=" TargetMode="External" /><Relationship Id="rId792" Type="http://schemas.openxmlformats.org/officeDocument/2006/relationships/header" Target="header133.xml" /><Relationship Id="rId793" Type="http://schemas.openxmlformats.org/officeDocument/2006/relationships/header" Target="header134.xml" /><Relationship Id="rId794" Type="http://schemas.openxmlformats.org/officeDocument/2006/relationships/footer" Target="footer133.xml" /><Relationship Id="rId795" Type="http://schemas.openxmlformats.org/officeDocument/2006/relationships/footer" Target="footer134.xml" /><Relationship Id="rId796" Type="http://schemas.openxmlformats.org/officeDocument/2006/relationships/header" Target="header135.xml" /><Relationship Id="rId797" Type="http://schemas.openxmlformats.org/officeDocument/2006/relationships/footer" Target="footer135.xml" /><Relationship Id="rId798" Type="http://schemas.openxmlformats.org/officeDocument/2006/relationships/hyperlink" Target="https://advance.lexis.com/api/document?collection=cases-ca&amp;id=urn:contentItem:5F7T-S7J1-JNS1-M2BT-00000-00&amp;context=" TargetMode="External" /><Relationship Id="rId799" Type="http://schemas.openxmlformats.org/officeDocument/2006/relationships/hyperlink" Target="https://advance.lexis.com/api/document?collection=legislation-ca&amp;id=urn:contentItem:5F41-1FN1-FCCX-61SW-00000-00&amp;context=" TargetMode="External" /><Relationship Id="rId8" Type="http://schemas.openxmlformats.org/officeDocument/2006/relationships/header" Target="header3.xml" /><Relationship Id="rId80" Type="http://schemas.openxmlformats.org/officeDocument/2006/relationships/hyperlink" Target="https://advance.lexis.com/api/document?collection=cases-ca&amp;id=urn:contentItem:5F7T-S7D1-FFFC-B1HF-00000-00&amp;context=" TargetMode="External" /><Relationship Id="rId800" Type="http://schemas.openxmlformats.org/officeDocument/2006/relationships/hyperlink" Target="https://advance.lexis.com/api/document?collection=cases-ca&amp;id=urn:contentItem:5F8T-N3V1-JTGH-B101-00000-00&amp;context=" TargetMode="External" /><Relationship Id="rId801" Type="http://schemas.openxmlformats.org/officeDocument/2006/relationships/hyperlink" Target="https://advance.lexis.com/api/document?collection=cases-ca&amp;id=urn:contentItem:5F8P-SBT1-FGY5-M28N-00000-00&amp;context=" TargetMode="External" /><Relationship Id="rId802" Type="http://schemas.openxmlformats.org/officeDocument/2006/relationships/hyperlink" Target="https://advance.lexis.com/api/document?collection=cases-ca&amp;id=urn:contentItem:5F7T-S7F1-FJTD-G3CK-00000-00&amp;context=" TargetMode="External" /><Relationship Id="rId803" Type="http://schemas.openxmlformats.org/officeDocument/2006/relationships/hyperlink" Target="https://advance.lexis.com/api/document?collection=cases-ca&amp;id=urn:contentItem:5F7T-S7F1-JFKM-61ST-00000-00&amp;context=" TargetMode="External" /><Relationship Id="rId804" Type="http://schemas.openxmlformats.org/officeDocument/2006/relationships/hyperlink" Target="https://advance.lexis.com/api/document?collection=cases-ca&amp;id=urn:contentItem:5F8T-N3S1-JT99-24SK-00000-00&amp;context=" TargetMode="External" /><Relationship Id="rId805" Type="http://schemas.openxmlformats.org/officeDocument/2006/relationships/hyperlink" Target="https://advance.lexis.com/api/document?collection=cases-ca&amp;id=urn:contentItem:5F8T-N3V1-JFKM-601H-00000-00&amp;context=" TargetMode="External" /><Relationship Id="rId806" Type="http://schemas.openxmlformats.org/officeDocument/2006/relationships/hyperlink" Target="https://advance.lexis.com/api/document?collection=cases-ca&amp;id=urn:contentItem:5F7T-S7F1-F7VM-S3YB-00000-00&amp;context=" TargetMode="External" /><Relationship Id="rId807" Type="http://schemas.openxmlformats.org/officeDocument/2006/relationships/hyperlink" Target="https://advance.lexis.com/api/document?collection=cases-ca&amp;id=urn:contentItem:5F7T-S7H1-JCRC-B18T-00000-00&amp;context=" TargetMode="External" /><Relationship Id="rId808" Type="http://schemas.openxmlformats.org/officeDocument/2006/relationships/hyperlink" Target="https://advance.lexis.com/api/document?collection=cases-ca&amp;id=urn:contentItem:5F7T-S7H1-F016-S451-00000-00&amp;context=" TargetMode="External" /><Relationship Id="rId809" Type="http://schemas.openxmlformats.org/officeDocument/2006/relationships/header" Target="header136.xml" /><Relationship Id="rId81" Type="http://schemas.openxmlformats.org/officeDocument/2006/relationships/hyperlink" Target="https://advance.lexis.com/api/document?collection=cases-ca&amp;id=urn:contentItem:5F7T-S751-F361-M0YG-00000-00&amp;context=" TargetMode="External" /><Relationship Id="rId810" Type="http://schemas.openxmlformats.org/officeDocument/2006/relationships/header" Target="header137.xml" /><Relationship Id="rId811" Type="http://schemas.openxmlformats.org/officeDocument/2006/relationships/footer" Target="footer136.xml" /><Relationship Id="rId812" Type="http://schemas.openxmlformats.org/officeDocument/2006/relationships/footer" Target="footer137.xml" /><Relationship Id="rId813" Type="http://schemas.openxmlformats.org/officeDocument/2006/relationships/header" Target="header138.xml" /><Relationship Id="rId814" Type="http://schemas.openxmlformats.org/officeDocument/2006/relationships/footer" Target="footer138.xml" /><Relationship Id="rId815" Type="http://schemas.openxmlformats.org/officeDocument/2006/relationships/hyperlink" Target="https://advance.lexis.com/api/document?collection=cases-ca&amp;id=urn:contentItem:5H60-GJS1-FD4T-B161-00000-00&amp;context=" TargetMode="External" /><Relationship Id="rId816" Type="http://schemas.openxmlformats.org/officeDocument/2006/relationships/hyperlink" Target="https://advance.lexis.com/api/document?collection=legislation-ca&amp;id=urn:contentItem:5F3B-B9X1-FFMK-M0D4-00000-00&amp;context=" TargetMode="External" /><Relationship Id="rId817" Type="http://schemas.openxmlformats.org/officeDocument/2006/relationships/hyperlink" Target="https://advance.lexis.com/api/document?collection=cases-ca&amp;id=urn:contentItem:5F7T-S7K1-JNY7-X4B3-00000-00&amp;context=" TargetMode="External" /><Relationship Id="rId818" Type="http://schemas.openxmlformats.org/officeDocument/2006/relationships/hyperlink" Target="https://advance.lexis.com/api/document?collection=cases-ca&amp;id=urn:contentItem:5F7V-3DJ1-JF1Y-B2G6-00000-00&amp;context=" TargetMode="External" /><Relationship Id="rId819" Type="http://schemas.openxmlformats.org/officeDocument/2006/relationships/hyperlink" Target="https://advance.lexis.com/api/document?collection=cases-ca&amp;id=urn:contentItem:5F7V-3DJ1-JK4W-M3SN-00000-00&amp;context=" TargetMode="External" /><Relationship Id="rId82" Type="http://schemas.openxmlformats.org/officeDocument/2006/relationships/hyperlink" Target="https://advance.lexis.com/api/document?collection=cases-ca&amp;id=urn:contentItem:5F7T-S731-JNJT-B21X-00000-00&amp;context=" TargetMode="External" /><Relationship Id="rId820" Type="http://schemas.openxmlformats.org/officeDocument/2006/relationships/hyperlink" Target="https://advance.lexis.com/api/document?collection=cases-ca&amp;id=urn:contentItem:5F82-1SF1-F1P7-B446-00000-00&amp;context=" TargetMode="External" /><Relationship Id="rId821" Type="http://schemas.openxmlformats.org/officeDocument/2006/relationships/hyperlink" Target="https://advance.lexis.com/api/document?collection=cases-ca&amp;id=urn:contentItem:5F7T-S7H1-JCRC-B0X9-00000-00&amp;context=" TargetMode="External" /><Relationship Id="rId822" Type="http://schemas.openxmlformats.org/officeDocument/2006/relationships/hyperlink" Target="https://advance.lexis.com/api/document?collection=cases-ca&amp;id=urn:contentItem:5F7T-S7D1-JXG3-X0WS-00000-00&amp;context=" TargetMode="External" /><Relationship Id="rId823" Type="http://schemas.openxmlformats.org/officeDocument/2006/relationships/hyperlink" Target="https://advance.lexis.com/api/document?collection=cases-ca&amp;id=urn:contentItem:5JB0-48F1-FG68-G0W1-00000-00&amp;context=" TargetMode="External" /><Relationship Id="rId824" Type="http://schemas.openxmlformats.org/officeDocument/2006/relationships/hyperlink" Target="https://advance.lexis.com/api/document?collection=cases-ca&amp;id=urn:contentItem:5F7T-S7M1-F4W2-620J-00000-00&amp;context=" TargetMode="External" /><Relationship Id="rId825" Type="http://schemas.openxmlformats.org/officeDocument/2006/relationships/header" Target="header139.xml" /><Relationship Id="rId826" Type="http://schemas.openxmlformats.org/officeDocument/2006/relationships/header" Target="header140.xml" /><Relationship Id="rId827" Type="http://schemas.openxmlformats.org/officeDocument/2006/relationships/footer" Target="footer139.xml" /><Relationship Id="rId828" Type="http://schemas.openxmlformats.org/officeDocument/2006/relationships/footer" Target="footer140.xml" /><Relationship Id="rId829" Type="http://schemas.openxmlformats.org/officeDocument/2006/relationships/header" Target="header141.xml" /><Relationship Id="rId83" Type="http://schemas.openxmlformats.org/officeDocument/2006/relationships/hyperlink" Target="https://advance.lexis.com/api/document?collection=cases-ca&amp;id=urn:contentItem:5F7T-S741-F8D9-M1GD-00000-00&amp;context=" TargetMode="External" /><Relationship Id="rId830" Type="http://schemas.openxmlformats.org/officeDocument/2006/relationships/footer" Target="footer141.xml" /><Relationship Id="rId831" Type="http://schemas.openxmlformats.org/officeDocument/2006/relationships/hyperlink" Target="https://advance.lexis.com/api/document?collection=cases-ca&amp;id=urn:contentItem:5F7T-S7F1-DXWW-24J8-00000-00&amp;context=" TargetMode="External" /><Relationship Id="rId832" Type="http://schemas.openxmlformats.org/officeDocument/2006/relationships/hyperlink" Target="https://advance.lexis.com/api/document?collection=cases-ca&amp;id=urn:contentItem:5F7T-S741-F7VM-S34X-00000-00&amp;context=" TargetMode="External" /><Relationship Id="rId833" Type="http://schemas.openxmlformats.org/officeDocument/2006/relationships/hyperlink" Target="https://advance.lexis.com/api/document?collection=cases-ca&amp;id=urn:contentItem:5F7T-S751-F361-M126-00000-00&amp;context=" TargetMode="External" /><Relationship Id="rId834" Type="http://schemas.openxmlformats.org/officeDocument/2006/relationships/hyperlink" Target="https://advance.lexis.com/api/document?collection=cases-ca&amp;id=urn:contentItem:5F7T-S751-F361-M175-00000-00&amp;context=" TargetMode="External" /><Relationship Id="rId835" Type="http://schemas.openxmlformats.org/officeDocument/2006/relationships/hyperlink" Target="https://advance.lexis.com/api/document?collection=cases-ca&amp;id=urn:contentItem:5F7T-S7F1-FJTD-G3J9-00000-00&amp;context=" TargetMode="External" /><Relationship Id="rId836" Type="http://schemas.openxmlformats.org/officeDocument/2006/relationships/header" Target="header142.xml" /><Relationship Id="rId837" Type="http://schemas.openxmlformats.org/officeDocument/2006/relationships/header" Target="header143.xml" /><Relationship Id="rId838" Type="http://schemas.openxmlformats.org/officeDocument/2006/relationships/footer" Target="footer142.xml" /><Relationship Id="rId839" Type="http://schemas.openxmlformats.org/officeDocument/2006/relationships/footer" Target="footer143.xml" /><Relationship Id="rId84" Type="http://schemas.openxmlformats.org/officeDocument/2006/relationships/hyperlink" Target="https://advance.lexis.com/api/document?collection=cases-ca&amp;id=urn:contentItem:5F82-1SD1-F8D9-M253-00000-00&amp;context=" TargetMode="External" /><Relationship Id="rId840" Type="http://schemas.openxmlformats.org/officeDocument/2006/relationships/header" Target="header144.xml" /><Relationship Id="rId841" Type="http://schemas.openxmlformats.org/officeDocument/2006/relationships/footer" Target="footer144.xml" /><Relationship Id="rId842" Type="http://schemas.openxmlformats.org/officeDocument/2006/relationships/hyperlink" Target="https://advance.lexis.com/api/document?collection=cases-ca&amp;id=urn:contentItem:5F7T-S7F1-FFFC-B1PY-00000-00&amp;context=" TargetMode="External" /><Relationship Id="rId843" Type="http://schemas.openxmlformats.org/officeDocument/2006/relationships/hyperlink" Target="https://advance.lexis.com/api/document?collection=cases-ca&amp;id=urn:contentItem:5F7T-S711-F4W2-61K3-00000-00&amp;context=" TargetMode="External" /><Relationship Id="rId844" Type="http://schemas.openxmlformats.org/officeDocument/2006/relationships/hyperlink" Target="https://advance.lexis.com/api/document?collection=cases-ca&amp;id=urn:contentItem:5F81-VJX1-FFTT-X1W8-00000-00&amp;context=" TargetMode="External" /><Relationship Id="rId845" Type="http://schemas.openxmlformats.org/officeDocument/2006/relationships/header" Target="header145.xml" /><Relationship Id="rId846" Type="http://schemas.openxmlformats.org/officeDocument/2006/relationships/header" Target="header146.xml" /><Relationship Id="rId847" Type="http://schemas.openxmlformats.org/officeDocument/2006/relationships/footer" Target="footer145.xml" /><Relationship Id="rId848" Type="http://schemas.openxmlformats.org/officeDocument/2006/relationships/footer" Target="footer146.xml" /><Relationship Id="rId849" Type="http://schemas.openxmlformats.org/officeDocument/2006/relationships/header" Target="header147.xml" /><Relationship Id="rId85" Type="http://schemas.openxmlformats.org/officeDocument/2006/relationships/hyperlink" Target="https://advance.lexis.com/api/document?collection=cases-ca&amp;id=urn:contentItem:5F7T-S7P1-JG02-S422-00000-00&amp;context=" TargetMode="External" /><Relationship Id="rId850" Type="http://schemas.openxmlformats.org/officeDocument/2006/relationships/footer" Target="footer147.xml" /><Relationship Id="rId851" Type="http://schemas.openxmlformats.org/officeDocument/2006/relationships/hyperlink" Target="https://advance.lexis.com/api/document?collection=cases-ca&amp;id=urn:contentItem:5F7T-S7J1-FGCG-S04G-00000-00&amp;context=" TargetMode="External" /><Relationship Id="rId852" Type="http://schemas.openxmlformats.org/officeDocument/2006/relationships/hyperlink" Target="https://advance.lexis.com/api/document?collection=cases-ca&amp;id=urn:contentItem:5F7T-S7H1-F016-S3RK-00000-00&amp;context=" TargetMode="External" /><Relationship Id="rId853" Type="http://schemas.openxmlformats.org/officeDocument/2006/relationships/hyperlink" Target="https://advance.lexis.com/api/document?collection=cases-ca&amp;id=urn:contentItem:5F7T-S7F1-F7VM-S435-00000-00&amp;context=" TargetMode="External" /><Relationship Id="rId854" Type="http://schemas.openxmlformats.org/officeDocument/2006/relationships/header" Target="header148.xml" /><Relationship Id="rId855" Type="http://schemas.openxmlformats.org/officeDocument/2006/relationships/header" Target="header149.xml" /><Relationship Id="rId856" Type="http://schemas.openxmlformats.org/officeDocument/2006/relationships/footer" Target="footer148.xml" /><Relationship Id="rId857" Type="http://schemas.openxmlformats.org/officeDocument/2006/relationships/footer" Target="footer149.xml" /><Relationship Id="rId858" Type="http://schemas.openxmlformats.org/officeDocument/2006/relationships/header" Target="header150.xml" /><Relationship Id="rId859" Type="http://schemas.openxmlformats.org/officeDocument/2006/relationships/footer" Target="footer150.xml" /><Relationship Id="rId86" Type="http://schemas.openxmlformats.org/officeDocument/2006/relationships/hyperlink" Target="https://advance.lexis.com/api/document?collection=cases-ca&amp;id=urn:contentItem:5F8T-N3S1-JBDT-B06N-00000-00&amp;context=" TargetMode="External" /><Relationship Id="rId860" Type="http://schemas.openxmlformats.org/officeDocument/2006/relationships/hyperlink" Target="https://advance.lexis.com/api/document?collection=cases-ca&amp;id=urn:contentItem:5HG3-DFV1-JNCK-218M-00000-00&amp;context=" TargetMode="External" /><Relationship Id="rId861" Type="http://schemas.openxmlformats.org/officeDocument/2006/relationships/hyperlink" Target="https://advance.lexis.com/api/document?collection=legislation-ca&amp;id=urn:contentItem:5MTG-54W1-DYFH-X1ST-00000-00&amp;context=" TargetMode="External" /><Relationship Id="rId862" Type="http://schemas.openxmlformats.org/officeDocument/2006/relationships/numbering" Target="numbering.xml" /><Relationship Id="rId863" Type="http://schemas.openxmlformats.org/officeDocument/2006/relationships/styles" Target="styles.xml" /><Relationship Id="rId87" Type="http://schemas.openxmlformats.org/officeDocument/2006/relationships/header" Target="header7.xml" /><Relationship Id="rId88" Type="http://schemas.openxmlformats.org/officeDocument/2006/relationships/header" Target="header8.xml" /><Relationship Id="rId89" Type="http://schemas.openxmlformats.org/officeDocument/2006/relationships/footer" Target="footer7.xml" /><Relationship Id="rId9" Type="http://schemas.openxmlformats.org/officeDocument/2006/relationships/footer" Target="footer3.xml" /><Relationship Id="rId90" Type="http://schemas.openxmlformats.org/officeDocument/2006/relationships/footer" Target="footer8.xml" /><Relationship Id="rId91" Type="http://schemas.openxmlformats.org/officeDocument/2006/relationships/header" Target="header9.xml" /><Relationship Id="rId92" Type="http://schemas.openxmlformats.org/officeDocument/2006/relationships/footer" Target="footer9.xml" /><Relationship Id="rId93" Type="http://schemas.openxmlformats.org/officeDocument/2006/relationships/hyperlink" Target="https://advance.lexis.com/api/document?collection=cases-ca&amp;id=urn:contentItem:5F7T-S7K1-JWXF-212F-00000-00&amp;context=" TargetMode="External" /><Relationship Id="rId94" Type="http://schemas.openxmlformats.org/officeDocument/2006/relationships/hyperlink" Target="https://advance.lexis.com/api/document?collection=cases-ca&amp;id=urn:contentItem:5F7T-S6V1-JFKM-61CW-00000-00&amp;context=" TargetMode="External" /><Relationship Id="rId95" Type="http://schemas.openxmlformats.org/officeDocument/2006/relationships/hyperlink" Target="https://advance.lexis.com/api/document?collection=cases-ca&amp;id=urn:contentItem:5F7T-S761-JS5Y-B1XS-00000-00&amp;context=" TargetMode="External" /><Relationship Id="rId96" Type="http://schemas.openxmlformats.org/officeDocument/2006/relationships/hyperlink" Target="https://advance.lexis.com/api/document?collection=cases-ca&amp;id=urn:contentItem:5F7T-S781-JC5P-G1JG-00000-00&amp;context=" TargetMode="External" /><Relationship Id="rId97" Type="http://schemas.openxmlformats.org/officeDocument/2006/relationships/hyperlink" Target="https://advance.lexis.com/api/document?collection=cases-ca&amp;id=urn:contentItem:5F7T-S7J1-JGBH-B2H4-00000-00&amp;context=" TargetMode="External" /><Relationship Id="rId98" Type="http://schemas.openxmlformats.org/officeDocument/2006/relationships/hyperlink" Target="https://advance.lexis.com/api/document?collection=cases-ca&amp;id=urn:contentItem:5F7T-S741-F1H1-21VJ-00000-00&amp;context=" TargetMode="External" /><Relationship Id="rId99" Type="http://schemas.openxmlformats.org/officeDocument/2006/relationships/hyperlink" Target="https://advance.lexis.com/api/document?collection=cases-ca&amp;id=urn:contentItem:5F7T-S7D1-JN6B-S0TN-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Merritt Flying Club v. Gordon, [2015] B.C.J. No. 2467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115052762</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