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9.7 -->
  <w:body>
    <w:p>
      <w:pPr>
        <w:rPr>
          <w:rFonts w:ascii="arial" w:eastAsia="arial" w:hAnsi="arial" w:cs="arial"/>
          <w:sz w:val="20"/>
          <w:lang w:val="en-US" w:eastAsia="en-US" w:bidi="ar-SA"/>
        </w:rPr>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 w:history="1">
        <w:r>
          <w:rPr>
            <w:rFonts w:ascii="arial" w:eastAsia="arial" w:hAnsi="arial" w:cs="arial"/>
            <w:b/>
            <w:bCs/>
            <w:i/>
            <w:color w:val="0077CC"/>
            <w:kern w:val="32"/>
            <w:sz w:val="28"/>
            <w:szCs w:val="32"/>
            <w:u w:val="single"/>
            <w:shd w:val="clear" w:color="auto" w:fill="FFFFFF"/>
            <w:lang w:val="en-US" w:eastAsia="en-US" w:bidi="ar-SA"/>
          </w:rPr>
          <w:t>Moir &amp; Moir v. Premanco Industries Ltd., [2002] B.C.J. No. 2580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Registrar Barber</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9 - 13,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November 18,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L012553</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[2002] B.C.J. No. 2580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2002 BCSC 1590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118 A.C.W.S. (3d) 142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Moir &amp; Moir, lawyers, solicitors, and Premanco Industries Ltd., client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(97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25" style="position:absolute;z-index:2516582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0" w:name="Keywords"/>
      <w:bookmarkEnd w:id="0"/>
      <w:r>
        <w:rPr>
          <w:rFonts w:ascii="arial" w:eastAsia="arial" w:hAnsi="arial" w:cs="arial"/>
          <w:b/>
          <w:color w:val="000000"/>
          <w:sz w:val="20"/>
          <w:lang w:val="en-US" w:eastAsia="en-US" w:bidi="ar-SA"/>
        </w:rPr>
        <w:t>Barristers and solicitors — Compensation — Duty to inform client of estimate of success — Taxation of accounts — Evidence — Measure of compensation.</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 w:name="Case Summary"/>
            <w:bookmarkEnd w:id="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Taxation of the applicant solicitor's bills to the respondent client. The solicitor had acted for the client for six years with respect to its claim for compensation for the expropriation of its mineral claims by the provincial government. The client had paid the solicitor's previous bills totalling over $35,000. It refused to pay the last bill of $57,575. A uniform hourly rate had not been charged. The parties had a retainer agreement based on a 20 per cent contingency fee. The solicitor had been dismissed half way through the hearing. The client had been awarded $150,000. Its expectation, fostered by the solicitor, had been for an award of over $1 million. The main reason for the dismissal was that the solicitor did not properly qualify a witness as a valuation expert. This was the solicitor's first case before the Expropriation Compensation Board. The main issues were the date of the expropriation and the value of the mineral claims. The solicitor had not completed discovery of the government's documents. He had failed to provide the client with a requested written opinion. He had complete conduct of the case and took very few instructions from the client's principal.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 w:name="Holdings of Court"/>
            <w:bookmarkEnd w:id="2"/>
            <w:r>
              <w:rPr>
                <w:rFonts w:ascii="arial" w:eastAsia="arial" w:hAnsi="arial" w:cs="arial"/>
                <w:color w:val="000000"/>
                <w:sz w:val="20"/>
                <w:lang w:val="en-US" w:eastAsia="en-US" w:bidi="ar-SA"/>
              </w:rPr>
              <w:t>HELD: The solicitor's bills were reduced and an appropriate fee for his work was set at $25,000 plus taxes.</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It was assumed that when the percentage was agreed upon, the solicitor took into account the risk of a successful claim being made. The solicitor had not attended to doing all the work necessary to prepare the case. The novelty of the case arose mainly because it was his first compensation case. The time spent by the solicitor in some cases was excessive. He spent time on claims that had little or no chance of success. The client was entitled to a written opinion.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 w:name="Legislation Cited"/>
      <w:bookmarkEnd w:id="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26" style="position:absolute;z-index:2517094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Expropriation Act, ss. 31(1), 53.</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Expropriation Act Practice and Procedure Regulation, Rule 13.</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Legal Profession Act, ss. 70, 71, 71(2), 71(4), 71(5).</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4" w:name="Counsel"/>
      <w:bookmarkEnd w:id="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27" style="position:absolute;z-index:2517606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 Mouzourakis, for the solicitors. B. van Halderen, for the client.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5" w:name="Judgment"/>
      <w:bookmarkEnd w:id="5"/>
      <w:r>
        <w:pict>
          <v:line id="_x0000_s1028" style="position:absolute;z-index:251811840"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40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6" w:name="REGISTRAR BARBER"/>
            <w:bookmarkEnd w:id="6"/>
            <w:r>
              <w:rPr>
                <w:rFonts w:ascii="arial" w:eastAsia="arial" w:hAnsi="arial" w:cs="arial"/>
                <w:b/>
                <w:color w:val="000000"/>
                <w:sz w:val="30"/>
                <w:lang w:val="en-US" w:eastAsia="en-US" w:bidi="ar-SA"/>
              </w:rPr>
              <w:t>REGISTRAR BARBER</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APPOINTMENT &amp; BILLS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matter came before me pursuant to an appointment taken out by the solicitor on September 19th, 2001 for the review of his bill dated November the 3rd, 2000. It was agreed in the course of the hearing that all the bills of the solicitor with respect to the client's claim for compensation for the expropriation of its mineral claims by the government of B.C. would be at issue. Those bills 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941"/>
        <w:gridCol w:w="1150"/>
        <w:gridCol w:w="941"/>
        <w:gridCol w:w="57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9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DATE</w:t>
            </w:r>
          </w:p>
        </w:tc>
        <w:tc>
          <w:tcPr>
            <w:tcW w:w="112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AMOUNT</w:t>
            </w:r>
          </w:p>
        </w:tc>
        <w:tc>
          <w:tcPr>
            <w:tcW w:w="9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PAID</w:t>
            </w:r>
          </w:p>
        </w:tc>
        <w:tc>
          <w:tcPr>
            <w:tcW w:w="563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UNPAID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1987"/>
        <w:gridCol w:w="1673"/>
        <w:gridCol w:w="523"/>
        <w:gridCol w:w="460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Sept. 4, 1997</w:t>
            </w:r>
          </w:p>
        </w:tc>
        <w:tc>
          <w:tcPr>
            <w:tcW w:w="163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$17,770.85</w:t>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Paid by Province of</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50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B.C.</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1987"/>
        <w:gridCol w:w="1673"/>
        <w:gridCol w:w="523"/>
        <w:gridCol w:w="460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Sept. 4, 1997</w:t>
            </w:r>
          </w:p>
        </w:tc>
        <w:tc>
          <w:tcPr>
            <w:tcW w:w="163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$ 2,859.90</w:t>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$ 2,229.15 paid by</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/Dec. 4, 1997</w:t>
            </w:r>
          </w:p>
        </w:tc>
        <w:tc>
          <w:tcPr>
            <w:tcW w:w="163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the Province of B.C.</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63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($630.75 paid by the</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50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client)</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091"/>
        <w:gridCol w:w="1568"/>
        <w:gridCol w:w="523"/>
        <w:gridCol w:w="460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04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Sept. 11, 1998</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$11,268.02</w:t>
            </w:r>
          </w:p>
        </w:tc>
        <w:tc>
          <w:tcPr>
            <w:tcW w:w="51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Paid by client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04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Sept. 24, 1998</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$ 6,383.77</w:t>
            </w:r>
          </w:p>
        </w:tc>
        <w:tc>
          <w:tcPr>
            <w:tcW w:w="51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50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Paid by client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1673"/>
        <w:gridCol w:w="5019"/>
        <w:gridCol w:w="115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Nov. 3, 2000</w:t>
            </w:r>
          </w:p>
        </w:tc>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$57,575.60</w:t>
            </w:r>
          </w:p>
        </w:tc>
        <w:tc>
          <w:tcPr>
            <w:tcW w:w="491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$57,575.60</w:t>
            </w:r>
          </w:p>
        </w:tc>
        <w:tc>
          <w:tcPr>
            <w:tcW w:w="112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client only takes issue with respect to the fee portion of the bills which are: from number 1 - $14,645.75, from number 4 - $5,438.34 and from number 5 - $50,504.92 totalling $70,589.01 plus tax of which $20,084.09 plus tax has been paid.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In his opening on behalf of the solicitors, Mr. Mouzourakis took the position that as the solicitor was discharged his fees should be determined on a quantum meruit basis. He stated that when considering the appropriate fee I should take into account that it was a complex case that was subject to delay, politics, and tactics by the other counsel. He submitted that great skill was exercised by the solicitor and that the solicitor had to deal with a hostile panel. He stated that the solicitor did a great deal of research and that the client was an experienced litigant.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representative of the client said in her opening that the solicitor was bound by his retainer agreement which was based on a 20% contingency. She said that as the award was $150,000 and as he was dismissed half way through the hearing, then he should be entitled to $15,000 which was 10% of $150,000, that is one-half of the contingency. She stated that as the solicitor had already been paid $20,000 plus disbursements, that the solicitor had been paid an appropriate amount. She stated that the solicitor was the moving force and Mr. Schroeder, the solicitor who took over for the client and completed the case simply completed what the solicitor had begun. She further stated that as the result was a bad one, the solicitor should have his fees reduced. The main reason for dismissal was that the solicitor did not properly qualify Mr. Croft as an expert.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main issue then was what was the value of the work done by the solicitor from 1992 through to September 4th,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 AND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solicitor met Mr. van Halderen, the principal of the client in about 1991 and shortly thereafter commenced acting for the client and Mr. van Halderen on various matters. The solicitor testified that the claim for compensation was the first large matter that he handled for the client. On February 24th, 1992 the client entered into a retainer agreement with the solicitors. That agreement provided, inter alia: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scope of this engagement is limited to pursuing your claim for compensation from the British Columbia government resulting from the government's prohibition from carrying further exploration or development work on the Crown Granted Mineral Claims within Kokanee Glacier Park, namely: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Six mineral claims were then detailed. The agreement provided for a 20% contingency based on any settlement or judgment. It also provided: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You have the right to discharge me. However, if I am discharged, I may be permitted by law to recover the reasonable value of my services. That could be more, less or the same as the amount which would have been obtained had I taken your case through trial or settled it and received my contingency fee.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S. Moir was the solicitor who was responsible for handling the file. At the time the contingency agreement was entered into he had been called to the bar for four years. Prior to 1991 he focussed on incorporation practice but after 1991 his brother took over that work and he did the litigation work in the firm. The solicitor carried this file from February 1992 through to the date of his discharge, namely, September 23rd, 1998 which was the 8th day of hearing of the client's claim for compensation before the Expropriation Compensation Board of British Columbia. On the 24th of September, 1998 the hearing was adjourned and other counsel was retained with the proceeding ultimately concluding on January 14th, 2000 with submissions to follow. The reasons of the Board were forthcoming on October 4th, 2000 - see Exhibit 28. In extensive reasons the Board ordered the Crown to pay compensation to Premanco Industries Ltd. in the amount of $150,000 for the market value of the mineral claims pursuant to s. 31(1) of the Expropriation Act, interest as set forth on page 57 of the said exhibit, and costs. The Board dismissed the claimant's claims for compensation for loss of special economic advantage and the other claims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Prior to the solicitor being retained by the client, the client had claimed compensation in the amount of $750,000 from the Crown. Between February, 1992 and the time the solicitor was dismissed the claim rose to over $3 million. The Crown maintained that the value of the mineral claims was between $50,000 and $100,000 according to their expert, Dr. Roscoe. From the time of the retainer until the date of discharge, this was the solicitor's first, and so far as I know, the only case he pled before the Expropriation Compensation Board.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client, Premanco Industries Ltd. acquired six Crown granted mineral claims on what was commonly referred to as the Scranton Mine property located within the boundaries of a provincial park known as the Kokanee Glacier Park in south-eastern British Columbia. They were acquired along with other assets from the receiver of David Minerals Ltd. by virtue of a court order sanctioning the purchase on February 1st, 1988. On or about April 25th, 1988 Premanco sought a permit from the Ministry of Mines, Energy and Petroleum resources to undertake some reclamation and exploration work on the Scranton Mine property. The local inspector refused the permit because he understood that legislation dealing with mining in the Kokanee Glacier Park might soon be passed. It was, though, left open to Premanco to reapply. On March 21st, 1989 the Lieutenant Governor in Council approved order in council number 394 reclassifying Kokanee Glacier Park from class B to class A which had the effect of prohibiting mining activity. Premanco said that the expropriation should be found to be as of April 25th, 1988; the Crown argued that the date was March 21st, 1989. The Board found for the Crown.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 very detailed history of the mineral claims purchased by Premanco and the proceedings is set forth in Exhibit 28: the Board's reasons for decision. The main issues before the Board were: (1) What was the date of expropriation, April 25th, 1988 or March 21, 1989; and (2) What was the value of those mineral claims at the date of expropriation? In addition, a solicitor in his opening to the Board - see Exhibit 13, Volume 1, page 25 and following - detailed the areas of compensation claim which included:</w:t>
      </w:r>
      <w:r>
        <w:rPr>
          <w:rFonts w:ascii="arial" w:eastAsia="arial" w:hAnsi="arial" w:cs="arial"/>
          <w:sz w:val="20"/>
          <w:lang w:val="en-US" w:eastAsia="en-US" w:bidi="ar-SA"/>
        </w:rPr>
        <w:cr/>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$1,000,000 for the loss of the right to mine,</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$2,500 disturbance damages for the loss of the $2,500 bond that was used by the government to demolish the buildings at the mine,</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Disturbance damages for the money spent to explore and develop the mine, to build an access road, to build tunnels and other minor improvements by the claimant's predecessors in title which totalled approximately $2,855,000,</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claim which the solicitor described as an academic claim for their loss of the right to use and possession of the service and the loss of the right to the timber from the mine. In this regard the solicitor said at page 28, line 12:</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Now, I say that these matters are academic because what will likely happen is at the end of the hearing you'll be asked by the expropriating authority to cancel Premanco's title to the properties. I suggest at that time that what you should do is refer the matter to the Supreme Court so that they can determine what rights Premanco actually had at the time. The interpretation of the Crown grants is a matter that probably has to be determined by the courts.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Double interest because of unreasonable delay in the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previous owner of the claims, David Minerals Ltd. filed a statement of material facts on July 11th, 1985 with the Superintendent of Brokers in support of an offering of shares to raise about $1.5 million. That statement included a description of the Scranton Mine property as having no known ore reserves and upon which no further exploration was contemplated. The offering was unsuccessful and David Minerals was put into receivership in May 1986.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Due to the fact that Premanco purchased more than the mineral claims from the Receiver, there was dispute about what value was actually paid for the mineral claims. It was suggested that it could be found to be $500 or $8100. However, by December 1997 the Crown had virtually conceded that neither of those figures represented the value of the mineral claims at the date of expropriation. On December the 17th, 1997, the Crown made an advance payment of $125,420.45 which included about $25,000 for costs. Further, the Crown's expert in his report which was put before the Board valued the claims at the date of expropriation at $50,000 to $100,000. In his opening before the Board, the Crown's solicitor commented on the price of either $500 or $8100 paid by the claimant: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Now my friend says, well, this wasn't arm's length and you can't pay attention to it. Certainly I wouldn't urge this evidence on you as being conclusive proof of the value of these claims. However, there's very clear authority that you must take into consideration any transactions that are relevant, particularly a transaction involving the very subjects of the claim themselves.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(line 13, page 52, volume 1, Exhibit 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Therefore, it was my conclusion that there was little risk, if any, that the Board would find the claims to be worth less than $50,000 - $100,000, plus interest and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This case was somewhat unusual in that there was no formal expropriation pursuant to the Act. Instead by virtue of reclassifying the park to Class A the Crown made a de facto expropriation of the claims. The solicitor for the claimant was concerned that there had been no formal expropriation and commenced action by issuing a writ and a statement of claim in the summer of 1993. Mr. Pierce of the Attorney General's department filed an appearance on September 9th, 1993. On December 9th, 1993 Mr. Moir wrote to Mr. Pierce acknowledging the appearance and at the same time sent him a copy of a default judgment he had obtained because no defence had been filed. The default judgment had been obtained October 12th, 1993. On January 5th, 1994, Mr. Pierce wrote and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 am advised by the Ministry of Parks that your client's Crown granted mineral claims do, indeed, pre-date the creation of the park and that consequently following the reasoning of the Tener case, your client's interest has been expropriated. That being the case, your client is entitled to compensation pursuant to the Expropriation Act which is the very relief that you were seeking in your Statement of Claim.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this regard, I think you will agree with me that the court has no jurisdiction to hear the matter.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you are interested in negotiating a resolution of your client's claim, I would be obliged if you would provide me with all of the geological data that your client is in possession of and we will assess it and provide you with an offer.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(see page 15 of Exhibit 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Therefore, the fact of expropriation had been conceded and even though the solicitor for the claimant seemed to be concerned about whether there had been an expropriation the Crown never resiled from that admission and formally admitted it in their pleadings before the Board and acknowledged it in the opening.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On February 21st, 1994 the solicitor wrote to Mr. Pierce and told him he was interested in negotiating a settlement. He referred to an earlier letter to the Ministry of the Attorney General by the client where the client had stated he believed the fair market value of the Scranton properties was $750,000. The solicitor further wrote that if a settlement wasn't possible, then: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Our alternative seems to be, as you suggest, to appear before the Expropriation Compensation Board and hire a number of experts at great cost to you (and free for us since the industry dislikes the threatened expropriation without adequate compensation).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Please speak with your experts and make us an offer. They will be able to get most of the information they need from government files.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There does not appear to be any response from the Crown and on July 5th, 1994 the solicitor wrote to the Expropriation Compensation Board sending the Form A formally commencing the proceeding. He served the Ministry of Environment, Lands &amp; Parks and when he received no response, he wrote on October 6th, 1994 to the Expropriation Compensation Board sending them proof of service and asking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have not received a reply. What happens if no reply is filed?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have received no advance payment pursuant to s. 19 of the Expropriation Act. When can we expect 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Are next step is to hire an expert to appraise the mineral claims. This will be very expensive. Can we expect to be reimbursed promptly for our appraisal costs pursuant to s. 44 of the Expropriation Act? -- See page 24 of Exhibit 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October 1994 Mr. Moir had instructions to obtain a hearing date. He contacted the Expropriation Commission Board and asked the Registrar for the procedure. She sent him the notice to the practising bar dated October 19, 1993 and hearing dates were obtained for February 3rd to the 14th,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At that time there was about a three year delay between the application and the hearing date. On November 14th, 1994, the Registrar wrote to the solicitor and Mr. Pierce confirming the dates and informing them that pursuant to Rule 13 of the Practice &amp; Procedure Regulation they were required to furnish the Board with three copies of the report of each expert no later than 30 days prior to the commencement of the hearing. In addition, she informed them that the Board also required a certificate of readiness from each party not later than 60 days prior to the commencement of the hearing. She informed them that if they wished a copy of the practice directions, they could request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On August 14th, 1995 Mr. Pierce wrote to the solicitor stating he would like to have their experts evaluate the claims and asked for information including a bibliography of the properties which he said had been requested earlier. He also asked for information on the price paid for the properties. On August 18th, 1995 the solicitor wrote to Mr. Pierce sending information and asked for a reply to the Form A. He further asked for an advance payment. On September 29th, 1995 Mr. Pierce wrote to the solicitor stating in part that the information that was sent did not provide him with a documentation which he requested. He asked for further information. He stated that he wished to wait until he had a consultant's report before he replied to the Form 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On July 12, 1996 the solicitor wrote to the client informing him of the results of his search at the Nelson Land Title office. He posited that Premanco owned the surface rights on all six claims. This was a continuing theme which the solicitor attempted to develop. In his opening before the Board he said that his client had the rights to the surface. The Board disagreed entirely with this proposition and said at paragraph 246 of their decision: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board considers that the claimant's claim for compensation for a loss of surface rights is founded on highly strained interpretations of the applicable statutes and of the Crown grants themselves. In the board's view, the attempt to construe the language of the grants, conveying the right to use and possession of the surface, as a unrestricted right which is the equivalent of registered fee simple ownership is completely unconvincing. Notwithstanding the placement or absence of punctuation, the clear intent of the Crown grants was to limit the undersurface owner's rights to the surface to those purposes directly connected with the business of mining.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At paragraph 247 the Board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claimant's alternative proposition, that as Crown grant holder of the undersurface rights it was, in any case, entitled to get in title to the surface is, to say the least, puzzling. Even assuming that the circumstances of this case were such that the claimant and the claimant's property might have qualified for what the board views as a restricted statutory entitlement to purchase the surface rights, it seems clear that the use of the surface would continue to be for mining purposes. In any case, the board agrees with the respondent that there is simply no evidence that the claimant exercised or attempted to exercise any such right to purchase surface rights at or before the date of expropriation.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At paragraph 248: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board finds equally unconvincing the claimant's notion that, even if the surface rights attached to its grants of the undersurface were limited to purposes connected with mining, it could have sold those surface rights to buyers interested in acquiring recreational property. In the board's view, such "creative real estate transactions" (to use Mr. Bouvette's term) could not properly form the basis for a compensation award since they would run afoul of the provision in s. 33(b) of the Act as previously cited. Furthermore, the board knows of no process by which it would be possible to sell or transfer such rights to the surface separate from the undersurface rights to which they are ancillary. As the evidence from the certificates of title make clear, it is the Crown which has registered fee simple ownership of the surface of the lands in question while the claimant has registered ownership only to the undersurface rights.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Board then went on to make highly critical remarks of Mr. Bouvette's testimony and said they gave no weight to it. The solicitor had spent a great deal of time in development of this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On January 6, 1997 the Registrar of the Board wrote both to the solicitor and to Mr. Pierce. She reminded them that the hearing was to commence on February 3rd, 1997 and that their expert reports were due and they had not been received. Further the certificate of readiness had not been received which was due December 5th, 1996. In addition, the Crown had not filed their Form B which is their response to the application Form 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On January 8th, 1997 Mr. Pierce telephoned the solicitor and informed him that he wanted an adjournment. On January 9th, 1997 Mr. Pierce wrote to the solicitor - page 53 of Exhibit 23 - and confirmed that the solicitor did not consent to the adjournment but would ask for instructions. Again, he asked for further information which he said had still not been sent. At page 54 of Exhibit 23 the solicitor's notes indicate that on January 12th, 1996 he had a telephone call from Mr. van Halderen. The notes say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Do summary trial ... we can apply for order of mandamus based on the summary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notes also indicate that the client was concerned with the delay. On January 15th, 1997 the solicitor wrote to Mr. Pierce and said he was instructed to consent to an adjournment if the Crown made an advance payment in the amount of $260,000. He further said that all the documentation that the client had was in the government files.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Crown refused to make the advance payment and both sides made applications on January 20th, 1997. There are no notes of the January 20th telephone conference between the Board, Mr. Pierce and the solicitor. The solicitor's testimony about that telephone application was extremely brief. As he did not consent to the adjournment, I can only assume that he contested it. His evidence was "the Board granted the request for the adjournment". The solicitor wrote to Mr. Pierce on January 16th, 1997 informing him that he would be making a cross application as set forth on page 67 of Exhibit 23. He applied, inter alia, for an order that the Crown file their Form B and that they produce a list of documents. Both those orders were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client was extremely upset about the adjournment and wrote to the solicitor - see page 69 of Exhibit 23 - and said,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From you, I must have evidence in writing that the Board has adjourned the compensation hearing set for February 3rd, 1997. I must be certain that we are not the reason for the adjournment since I do not want to learn differently from a third party and stand there with egg on my face.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It was clear from that letter that the client thought they were ready to proceed in February of 1997. It is also extremely clear that the solicitor was not ready to proceed. He neither had an expert report nor had he obtained a list of documents from the Crown as of that date. His first expert report - Exhibit 3 - dated May 23rd, 1997 was prepared by George G. Addie. While it appeared the solicitor genuinely believed that he could have proceeded in February of 1997, it was clear to me that that belief was ill founded. It is noteworthy that there was no explanation in writing to the client concerning the adjournment. The solicitor in evidence said he "believed they discussed it in his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It was obvious from the beginning that this case would be one which would revolve around documentary and opinion evidence concerning the value of the claims in 1988 or 1989. This is so because the expropriation occurred about a year after the client purchased the claims and the valuation would be as of the date of expropriation. The letters from the solicitor and his statements indicate that he was aware that much of the historical information would reside in government files. On June 25th, 1997 the solicitor noted that there were deficiencies in the list of documents. However, no application for a better list of documents was made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Although the Crown had agreed to get early dates, no date had been set by August 27th, 1997 and the Registrar of the Board arranged for a conference call between the chair and the two parties. Dates for October had been discussed and the week of October 6th was reserved. That date was lost as Mr. Pierce said he was not available. The hearing was then scheduled to begin December 16th,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solicitor's August 27th, 1997 note to himself said: "I may send interim bill based on my time and I will deduct that amount from contingency fee recovery". On September 4th, 1997 the solicitor did send a bill to the client for fees, taxes and disbursements in the amount of $17,770.85. Also on September 4th, 1997 he wrote to the Expropriation Compensation Board - see page 101 of Exhibit 23 and said,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Pursuant to s. 47(1) of the Expropriation Act enclosed please find a legal and expert's bill which we submit to the board for reimbursement.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Please remit a cheque to Moir &amp; Moir in the amount of $24,413.88.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response, the Registrar wrote back to Mr. Moir on September 5th and informed him that his claim should be directed to the Ministry of the Environment, Lands and Parks. She also referred him to a definition of the Board and referred to s. 53 which defined the constitution and powers of the Board.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By November, 1997 there was discussion between the solicitor and the client concerning adjourning the December hearing dates. The solicitor was concerned that the Court of Appeal had just given leave in Casamiro Resource Corporation v. British Columbia </w:t>
      </w:r>
      <w:hyperlink r:id="rId11" w:history="1">
        <w:r>
          <w:rPr>
            <w:rFonts w:ascii="arial" w:eastAsia="arial" w:hAnsi="arial" w:cs="arial"/>
            <w:i/>
            <w:color w:val="0077CC"/>
            <w:sz w:val="20"/>
            <w:u w:val="single"/>
            <w:shd w:val="clear" w:color="auto" w:fill="FFFFFF"/>
            <w:lang w:val="en-US" w:eastAsia="en-US" w:bidi="ar-SA"/>
          </w:rPr>
          <w:t>[1997] B.C.J. No. 2061</w:t>
        </w:r>
      </w:hyperlink>
      <w:r>
        <w:rPr>
          <w:rFonts w:ascii="arial" w:eastAsia="arial" w:hAnsi="arial" w:cs="arial"/>
          <w:color w:val="000000"/>
          <w:sz w:val="20"/>
          <w:lang w:val="en-US" w:eastAsia="en-US" w:bidi="ar-SA"/>
        </w:rPr>
        <w:t>, for Casamiro to appeal the award it had received and there was concern about what the proper approach would be in fixing value. The solicitor's report to the client is found at page 126 and 125 of Exhibit 23. The solicitor in that letter states that he is concerned that he does not know what the government is expropriating, and therefore an adjournment would be appropriate. In addition he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believe that Casamiro will lose the appeal in that I expect the rule will be that the fact that the government prevents the claimant from obtaining evidence will only be one of the factors to be considered by the Board in awarding compensation. My reasoning is based on the following observations: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would be too expensive for the government if the claimant is given an award based on the best scenario;</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Madame Justice Southin of the BCCA commented in one case that there should be a law to prevent the government from being liable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because of the cost to the public treasury;</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enclose an excerpt from the Royal Commission report prepared by J.V. Clyne who recommended that no allowance be made for elements of uncertainty; 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rest of the letter was not produced. The solicitor also reported to the client that he had found law which entitled the owner of a Crown grant to purchase the surface for $5 an acre and $5 for the Crown grant. His brief in that regard was not produced to me. In his testimony, the solicitor said that the client did not want to purchase the land because he was running too much litigation. The land in question comprised 205 acres. In light of the monies spent on this matter and on other matters that the solicitor was handling I simply could not accept that testimony.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November of 1997 Mr. Moir indicated in his notes that he was looking for knowledgeable counsel. Nevertheless, there was no evidence led to indicate whether the counsel would be for this case or one of the others that the solicitor was working on. Until he was dismissed, he handled this file on his own and so far as I was aware, with no assistance from other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On December 4th, 1997 the solicitor sent to a new solicitor for the Ministry, Mr. Hincks, a settlement proposal - see page 179 and following of Exhibit 23. In essence, the proposal was for $200,000 cash and $500,000 by way of transfer of rural lands. The solicitor acknowledged: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Since we don't know the market value of the properties, we have included more than we expect to be transferred so that there is room for compromise on the choice of properties.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It does not appear that that offer received any serious consideration. The December hearing though was adjourned on the terms set forth in Mr. Hincks' letter of December 17th, namely, that the claim would be mediated and the Ministry would make an advance payment of $125,420.45.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There was an issue about Mr. Moir not answering Mr. Pierce's letters. He was referred to page 97 of Exhibit 23, a letter of January 20th, 1997 from Mr. Pierce. Mr. Pierce wrote again and Mr. Moir answered September the 4th, 1997 at page 107 of Exhibit 23. It was suggested and not really denied that Mr. Pierce used these non-responses before the Board to gain an adjournment.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solicitor then obtained new dates before the Board, namely, June 8th, 1998 for ten days. On February 27th, 1998 the Registrar of the Board wrote reminding the solicitor and Mr. Hincks that (1) expert reports had to be filed by May the 8th, 1998 and (2) a certificate of readiness had to be filed by April 8th, 1998. When the proceedings commenced before the Board on June 8th, 1998 the solicitor had not filed his expert's report - see volume 1, page 25, Exhibit 13, line 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568"/>
        <w:gridCol w:w="721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53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CHAIR:</w:t>
            </w:r>
          </w:p>
        </w:tc>
        <w:tc>
          <w:tcPr>
            <w:tcW w:w="706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Does the Board have Gordon Addie's report?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464"/>
        <w:gridCol w:w="731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43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MR. MOIR:</w:t>
            </w:r>
          </w:p>
        </w:tc>
        <w:tc>
          <w:tcPr>
            <w:tcW w:w="716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I have them here.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Between December and June 1998 there were attempts at settlement on both sides. However, the Crown maintained its position that it could not consider negotiating above the advance payment unless it had more information from the solicitor - see page 208, Exhibit 23. Settlement did not occur and mediation proceeded on May 26th, 1998. After some preliminaries, mediation concluded when the solicitor was informed that any amount over and above the advance payment would have to be approved by Treasury Board. He felt the mediation was a sham and thus it did not continue.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On June 8th, 1998 the solicitor commenced his case before the Expropriation Compensation Board. The solicitor made an extensive opening -- see pages 3 through 37 of volume 1 of Exhibit 13. After detailing his client's claim on page 26, he went on to say at page 28, line 12: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Now, I say that these matters are academic because what will likely happen is at the end of the hearing you'll be asked by the expropriating authority to cancel Premanco's title to the properties. I suggest at that time that what you should do is refer the matter to the Supreme Court so that they can determine what rights Premanco actually had at the time. The interpretation of the Crown grants is a matter that probably has to be determined by the courts. These Crown grants have different wording than the Crown grants that have been before you, that were before the Board in Casamiro. They're older and they have broader rights.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MR. GREENWOOD: Are you suggesting that the Board should refer the matter to the Supreme Court to find out whether or not your client has lost something?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464"/>
        <w:gridCol w:w="731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43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MR. MOIR:</w:t>
            </w:r>
          </w:p>
        </w:tc>
        <w:tc>
          <w:tcPr>
            <w:tcW w:w="716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CHAIR: On the basis that it's not within the jurisdiction of the Board, or what?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MR. MOIR: Well, you'll see that there simply isn't -- the Crown grants are worded in a straightforward way. They say, "the right to the use and possession of the service," including (a) and including (b). What that means is a matter that is best interpreted by the courts, I would say.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568"/>
        <w:gridCol w:w="721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53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CHAIR:</w:t>
            </w:r>
          </w:p>
        </w:tc>
        <w:tc>
          <w:tcPr>
            <w:tcW w:w="706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Why is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MR. MOIR: I would be willing to argue that here, if you feel that's appropriate. However, if that's the case, Premanco has received no notice that these rights are being taken, so as a result ... Casamiro and Tener, </w:t>
      </w:r>
      <w:hyperlink r:id="rId12" w:history="1">
        <w:r>
          <w:rPr>
            <w:rFonts w:ascii="arial" w:eastAsia="arial" w:hAnsi="arial" w:cs="arial"/>
            <w:i/>
            <w:color w:val="0077CC"/>
            <w:sz w:val="20"/>
            <w:u w:val="single"/>
            <w:shd w:val="clear" w:color="auto" w:fill="FFFFFF"/>
            <w:lang w:val="en-US" w:eastAsia="en-US" w:bidi="ar-SA"/>
          </w:rPr>
          <w:t>[1982] B.C.J. No. 288</w:t>
        </w:r>
      </w:hyperlink>
      <w:r>
        <w:rPr>
          <w:rFonts w:ascii="arial" w:eastAsia="arial" w:hAnsi="arial" w:cs="arial"/>
          <w:color w:val="000000"/>
          <w:sz w:val="20"/>
          <w:lang w:val="en-US" w:eastAsia="en-US" w:bidi="ar-SA"/>
        </w:rPr>
        <w:t>, made it clear that not given a permit, not -- in Tener not given a permit wasn't deemed to be expropriation. In this case in terms of the surface rights and the timber, nothing has happened. Premanco owns them, they could wait 100 years and then go in and log the timber if they chose. No act of the government has deprived them of the right. Premanco is content to sit and wait, to let the trees grow, frankly.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MR. GREENWOOD: I don't want you to argue it now, but it troubles me a little bit that you're suggesting that you can come to this Board without any idea of whether or not something has been taken from you and ask us in any event to deal with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464"/>
        <w:gridCol w:w="731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43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MR. MOIR:</w:t>
            </w:r>
          </w:p>
        </w:tc>
        <w:tc>
          <w:tcPr>
            <w:tcW w:w="716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I'm saying that they haven't been taken.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MR. GREENWOOD: Then why would we have any jurisdiction to even look at that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464"/>
        <w:gridCol w:w="731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43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MR. MOIR:</w:t>
            </w:r>
          </w:p>
        </w:tc>
        <w:tc>
          <w:tcPr>
            <w:tcW w:w="716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091"/>
        <w:gridCol w:w="669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04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MR. GREENWOOD:</w:t>
            </w:r>
          </w:p>
        </w:tc>
        <w:tc>
          <w:tcPr>
            <w:tcW w:w="655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If there has been no taking.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MR. MOIR: That would be a better way to express it. You wouldn't have the jurisdiction because they haven't been taken.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Clearly the Board was puzzled by the solicitor's approach.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Later in the opening, the Chair interrupted the solicitor and said at page 35, line 20:</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CHAIR: Sorry, but you're calling Mr. Gordon Addie second, and he's going to be called to give reply evidence, is that right?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MR. MOIR: It's a reply report, so I guess that's right. On his evidence, part of his evidence is in the nature of his findings and that he assisted on the first report, and part is in the nature of the reply to Dr. Roscoe's report.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568"/>
        <w:gridCol w:w="721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53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CHAIR:</w:t>
            </w:r>
          </w:p>
        </w:tc>
        <w:tc>
          <w:tcPr>
            <w:tcW w:w="706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some of it is new evidence?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MR. MOIR: Yes. For instance -- I think it would be appropriate to put him on twice, to put the new evidence so my friend has a chance to reply and then put him as a reply witness later.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CHAIR: Certainly in terms of the logistics, having the rebuttal before Dr. Roscoe's report might -- I'm sure we can handle it, but it might be a more logical way to proceed on that. Anyway, go ahead, sorry.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MR. MOIR: I'll consider that. It won't happen until tomorrow, I don't think.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It seems that the approach of the solicitor was somewhat unusual. That was not explained to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compensation proceedings, the Form A details the claim made by the claimant. At page 65 of volume 1 of Exhibit 13 the solicitor informed the Board that he had new expert information and he had to file another Form A. He said that it would be ready the second day of the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solicitor then called his first witness, Mr. George Addie. The solicitor commenced qualifying the witness as an expert at page 65 of volume 1 of Exhibit 13. At page 90, line 22, the Chair said:</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CHAIR: I'm concerned about the time it is taking for us to get through this qualification stage. We need to have some direct questions--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464"/>
        <w:gridCol w:w="731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43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MR. MOIR:</w:t>
            </w:r>
          </w:p>
        </w:tc>
        <w:tc>
          <w:tcPr>
            <w:tcW w:w="716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I'll terminate it there.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568"/>
        <w:gridCol w:w="721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53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CHAIR:</w:t>
            </w:r>
          </w:p>
        </w:tc>
        <w:tc>
          <w:tcPr>
            <w:tcW w:w="706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that will take us through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464"/>
        <w:gridCol w:w="731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43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MR. MOIR:</w:t>
            </w:r>
          </w:p>
        </w:tc>
        <w:tc>
          <w:tcPr>
            <w:tcW w:w="716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think I've covered enough.</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882"/>
        <w:gridCol w:w="690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WITNESS:</w:t>
            </w:r>
          </w:p>
        </w:tc>
        <w:tc>
          <w:tcPr>
            <w:tcW w:w="675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Shall we start on our theme, then?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464"/>
        <w:gridCol w:w="731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43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MR. MOIR:</w:t>
            </w:r>
          </w:p>
        </w:tc>
        <w:tc>
          <w:tcPr>
            <w:tcW w:w="716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CHAIR: You're finished with your questioning on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464"/>
        <w:gridCol w:w="731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43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MR. MOIR:</w:t>
            </w:r>
          </w:p>
        </w:tc>
        <w:tc>
          <w:tcPr>
            <w:tcW w:w="716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568"/>
        <w:gridCol w:w="721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53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CHAIR:</w:t>
            </w:r>
          </w:p>
        </w:tc>
        <w:tc>
          <w:tcPr>
            <w:tcW w:w="706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you're tendering Mr. Addie?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464"/>
        <w:gridCol w:w="731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43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MR. MOIR:</w:t>
            </w:r>
          </w:p>
        </w:tc>
        <w:tc>
          <w:tcPr>
            <w:tcW w:w="716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I'm tendering Mr. Addie as a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568"/>
        <w:gridCol w:w="721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53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CHAIR:</w:t>
            </w:r>
          </w:p>
        </w:tc>
        <w:tc>
          <w:tcPr>
            <w:tcW w:w="706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As what?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MR. MOIR: He's an expert in the field of geological sciences, relative exploration potential of properties.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568"/>
        <w:gridCol w:w="721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53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CHAIR:</w:t>
            </w:r>
          </w:p>
        </w:tc>
        <w:tc>
          <w:tcPr>
            <w:tcW w:w="706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Sorry, relative?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MR. MOIR: Relative exploration potential of properties in the Kootenay region.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568"/>
        <w:gridCol w:w="721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53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CHAIR:</w:t>
            </w:r>
          </w:p>
        </w:tc>
        <w:tc>
          <w:tcPr>
            <w:tcW w:w="706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Anything else?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464"/>
        <w:gridCol w:w="731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43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MR. MOIR:</w:t>
            </w:r>
          </w:p>
        </w:tc>
        <w:tc>
          <w:tcPr>
            <w:tcW w:w="716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guess -- no.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568"/>
        <w:gridCol w:w="721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53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CHAIR:</w:t>
            </w:r>
          </w:p>
        </w:tc>
        <w:tc>
          <w:tcPr>
            <w:tcW w:w="706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Mr. Hincks.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1778"/>
        <w:gridCol w:w="700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74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MR. HINCKS:</w:t>
            </w:r>
          </w:p>
        </w:tc>
        <w:tc>
          <w:tcPr>
            <w:tcW w:w="686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thank you.</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After Mr. Hincks' cross-examination re qualifications, he submitted to the Board that the proposed qualifications did not encompass the opinions that were contained in Mr. Addie's report. Mr. Hincks acknowledged that Mr. Addie was knowledgeable about geology but not qualified to go beyond that. The chair then asked the solicitor for clarification, page 101:</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CHAIR: ... You're tending Mr. Addie as an expert and you said, among other things, I believe the way you expressed it is as an expert in relative exploration potential of properties in the Kootenay region.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464"/>
        <w:gridCol w:w="731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43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MR. MOIR:</w:t>
            </w:r>
          </w:p>
        </w:tc>
        <w:tc>
          <w:tcPr>
            <w:tcW w:w="716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that's number one. Number two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568"/>
        <w:gridCol w:w="721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53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CHAIR:</w:t>
            </w:r>
          </w:p>
        </w:tc>
        <w:tc>
          <w:tcPr>
            <w:tcW w:w="706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 was geological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MR. MOIR: Geological sciences, which includes ore reserve calculations of course.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CHAIR What about valuation?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MR. MOIR: When you do a valuation, it takes skills from different areas. One of them that you have to draw upon is the geological sciences and to the extent that he has to draw on that skill, he has that skill. He doesn't have - other people may do valuations that are accountants and they have no skill in geological sciences, they have to draw on somebody else. So I say that the valuations in the mineral area require perhaps, I think I read somewhere it's five different fields of expertise, and he is one of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Board was still concerned and at page 103 said:</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CHAIR: Mr. Moir, I'm sure that you can appreciate that what this Board is about is compensation and, therefore, we're ultimately dealing with dollar amounts, so I'm just, again, seeking clarification from you. When you talk about reserves are you qualifying, are you seeking to qualify Mr. Addie as someone who is able to put dollar figures when expressing his opinions of reserves, value of reserves, valuations on the property?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MR. MOIR: No, what I intend to do is we have a data base of different properties and different transactions for those properties. I'm using Mr. Addie to say this property is better than that property, and then we plug in the price and that way we can -- he doesn't need to know the price for me to then argue in front of you that if he says the Tillicum property is a better property or a worse property than Scranton, and I can give you evidence to show that the Tillicum sold for X dollars, then I can use that as evidence -- I can get him to demonstrate why it's comparable and then I can just give you the number and that gives us the valuation.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CHAIR: I can see what you're saying, as that relates, I suppose, to exploration or relative exploration potential. It doesn't quite sound to me like a valuation exercise of the kind that ultimately arrives at a dollar amount. I mean that Mr. Addie is going to be expressing.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MR. MOIR: In terms of mineral properties, I would submit that it's not like real estate where you can talk about a property is worth X. In real estate, you can compare real estate quite well usually to other. There's a large number of properties that are similar so you can evaluate and gain experience. In terms of the mineral properties, there is no expert on - you can't gain expertise on one property is worth X and therefore the next property is worth Y, because every property is different. And the difference is primarily the geology, which Mr. Addie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CHAIR: Your friend has just made the point that there are people in the field who make their living doing property valuations of mineral properties. Presumably that's exactly what they're doing.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MR. MOIR: Yes, but in coming to the valuation of this particular property, it required the knowledge of someone that knew the properties in the area and then having other evidence of what they were worth. An evaluator, the type of reports used by Dr. Roscoe or Mr. Glanville, it's a -- it wasn't specific enough for this property. There was no advantage to me in getting someone like Mr. Glanville to do the report, because Mr. Glanville didn't have knowledge of the properties like Mr. Addie had the knowledge of the properties.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Board then adjourned.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On resuming, the Board then asked Mr. Addie what he thought his role in the proceedings were. He said:</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WITNESS: To present my expertise, and in this structural geology, and to evaluate the geological potential of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After further discussion it was clear that the solicitor did not intend to produce Mr. Addie as a valuation expert. The chair finally made the ruling - see page 108. They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Based on the evidence and submissions we have heard, we accept Mr. Addie as an expert in the field of structural geology, including the location and identification of ore bodies and the estimation of their quantities. However, as Mr. Addie is not being qualified to express an opinion on the valuation of any particular ore-bearing property or on the amount of compensation payable to the claimant with respect to the subject properties.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cross-examination the solicitor was asked concerning the finding at page 108. He was asked if it was a big blow that Mr. Addie was not qualified as a valuation expert. He said: "Yes, because we couldn't come back and qualify him as a valuation expert." He was then asked, "Didn't you get exactly what you tendered?" He answered, "He wasn't a valuation expert other than as to relative potential. I'm not sure the Board understood that fine nuance. They were not geologists."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On the fourth day of hearing, June 12th, 1998 an issue arose with respect to the report of Mr. Croft. See pages 575 through to the end of volume IV of Exhibit 13. Ultimately the proceedings were adjourned and recommenced on September 21st, 1998. How that adjournment occurred, though, is of importance.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On June 12th, 1998 the solicitor indicated that he wished to put in the report of Nevin Sadlier-Brown Goodbrand Ltd. from October 1988. He said the actual author was Mr. Croft and that was a valuation of the Kokanee Glacier Recreation area. He then said at page 587, Volume IV, that the claimants would be relying on the Croft report. However, it was clear that although the solicitor wished to rely on some aspects of the Croft report he had serious doubts about the values stated in it. The chair then said at line 5:</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CHAIR: The Panel is of the view that this would be the opportune time for the claimants to seek an adjournment which we would be certainly inclined to grant. If the claimant decides to proceed in the manner that is being proposed this morning we just want to make clear that the claimants should appreciate that it is at great risk, because at the end of the day he will have little or no useful valuation evidence on which to found its claim for compensation.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We have made clear that we do not accept Mr. George Addie as an expert qualified to give valuation opinion, and that's not a view, addressing what you said a few moments earlier, that's not a view that the Panel is likely to reverse. If, as you appear to be arguing, Mr. Moir, the claimant's position is going to be that the respondent's expert's, Dr. Roscoe, methods of valuation have been unscientific, et cetera, then it strikes us that you will still need an expert to come and be able to tell us that.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Additionally, I think, or finally, I think it should be said that if you do choose to proceed in the manner that you're now proposing the Board will not be likely to entertain an application for adjournment at a later date if you should later decide that the approach that you are following doesn't serve the claimant's needs after all. So it strikes us that this is the time to clearly make a decision about an adjournment. You may, in light of what we have just said, want to take a few moments and seek further instructions from your client before telling us how you wish to proceed.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solicitor had taken the position that the Croft report had been hidden from him. He said that the government's solicitor put the document on his desk part way through the hearing. However, it was alleged by Mr. Hincks that that particular document was on the list of documents that he had forwarded to the solicitor prior to the hearing commencing and that was not denied by the solicitor. That was also the finding of the Board. After some further discussion, the matter was adjourned and reconvened September 21,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cross-examination of Mr. Moir began at 2:00 p.m. on September the 12th, 2002. In cross-examination he was asked about his statement in chief that the government lawyers were tricky. It was suggested to him they got the better of him. He responded by saying, "No, they fell into the trap. I was able to prove they had the Croft report all along." Therefore my only conclusion can be that the solicitor did not adequately peruse the list of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document issue was one that haunted the solicitor throughout the proceedings. It was clear from the evidence and from the solicitor's letters that he was aware from 1992 onwards that the Crown had a number of important documents that would bear on valuation.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On December 10th, 1997 - see page 155 of Exhibit 23. The solicitor wrote to Mr. Hincks: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notify you that I intend to rely on at the hearing as expert reports all of the expert reports listed in the bibliography of your client's expert Dr. Roscoe and my client's expert Mr. Addie. You or your expert have copies so I see no need to send them to you.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Mr. Hincks wrote back on December 11th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confused about your notice regarding the documents referred to in the Roscoe and Addie 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He then went on to detail that he had no objections to the documents being provided so they could be discussed by the witnesses but said that if the solicitor insisted that any opinions contained in the documents would form part of the evidence then he wanted to know:</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nature of the opinion sought to be elicited in each case,</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qualification of the expert to provide the opinion,</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notice is given under section 10 or 11 of the Evidence Act, and</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Which of the experts you intend to call to give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 other words he wanted proper notice. In any event, Mr. Hincks' letter was not answered. That may well have been because the proceedings were adjourned at that point. However, just before the commencement of the proceeding before the Board on June 8th, 1998 the solicitor wrote to Mr. Hincks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Please bring with you to the hearing all of your documents so that I may review them.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Please ask your secretary to fax to me immediately the following 3 documents from our list:</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"memo from Randel to Murphy"</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"Valuation report of Nevin Sadlier-Brown Goodbrand Ltd."</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Report by D. Brown "Protected Areas Strategy, Mineral Potential Evaluation of the Kokanee Glacier Recreation Areas"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At the hearing on June 11th the solicitor attempted to put in one of the reports mentioned in the foregoing letters. The chair said:</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CHAIR: Well, the difficulty we're discussing here is it being tendered as an expert report. I mean, where are the experts, what's happening with respect to Mr. Brown and Logan? Are they being called, or is Mr. Hincks going to require them to be called? If this is an expert opinion on the exploration potential of the subject property and expert opinions are being expressed here, then I think they would have to be opinions subject to cross-examination if needed.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MR. MOIR: Yes, and the procedures - I don't know the procedure here, but in court if Mr. Hincks wished to cross-examine them he could have told me to bring them and I would have, but he hasn't asked me, so.</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CHAIR: Well, has this report has been filed as an expert report in accordance with the Evidence Act?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MR. MOIR: Yes, I sent him a letter indicating reports I would be relying on as expert reports and this was one of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568"/>
        <w:gridCol w:w="721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53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CHAIR:</w:t>
            </w:r>
          </w:p>
        </w:tc>
        <w:tc>
          <w:tcPr>
            <w:tcW w:w="706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Mr. Hincks.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MR. HINCKS: Well, there was a letter. I would have to look back and see what it said. I must admit at the time I didn't really understand what my friend intended. There's no statement of, unless there's a statement of qualifications in here, there's no statement as to what qualifications these individuals have. Undoubtedly they do have the qualifications to provide - you know, they're geologists, but I guess it was my - it's a rather strange procedure that my friend is recommending. As I say, I don't have any problem with this standing for exactly what it is. It's a report by two geologists that contains opinions, but beyond that who can say. And I haven't asked for their presence and I don't intend to call them. I'm not sure what - classifying this, I don't know whether it's proper to classify this as expert opinion. I don't know whether the Board can receive it that way, other than as I have suggested.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CHAIR: I'm not sure either, and I'm not quite sure why it has any lesser value to us simply as evidence than as properly constituted expert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Board then took in the report on a qualified basis and the solicitor highlighted certain portions. Mr. Hincks objected to their admissibility as expert reports and Mr. Greenwood at page 523 said:</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MR GREENWOOD: Mr. Moir, I don't think the issue is whether or not Mr. Logan and Mr. Brown are in fact competent. I mean, I also have never seen a notice of expert report like the one that you have filed here. You know, "I intend to produce as expert opinions, everybody on a certain list that I happen to rely on," because that's just --. I mean, have you ever seen it done? I think you've invented this process myself.</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So what you are essentially doing here is jumping way beyond the normal way that expert opinion is used and just saying, surely since these people haven't had their expertise challenged all of these third hand reports can be brought in and used as direct evidence of their opinion in front of us. I don't think I've ever seen that happen before.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On September 21st, 1998 the proceedings recommenced and the solicitor called Mr. Ross Lawrence. He had been retained after the close of the proceedings in June to prepare an expert opinion valuing the claims as of the date of expropriation. Mr. Lawrence was qualified as an expert in the field of valuation of mines and mineral claims - see page 659, volume V, Exhibit 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solicitor continued his case before the Board on September 21st, 22nd, and 23rd. However, it was discovered that Mr. Lawrence had either been given wrong information or made a wrong assumption and thus his calculations were suspect. He had proceeded on the basis that the ore from the Scranton Mines would be processed in one stream. It turned out there were two streams available and thus there was potential for a higher net profit.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solicitor knew that Mr. Lawrence's report was open to attack because he said in his testimony that there was no data to support certain conclusions of his which would be 50% over inferred. There is no letter to the client advising of this and of the ramifications of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solicitor on behalf of the claimant made an application for an adjournment on two grounds: (1) that Mr. Lawrence had formed his opinion of value based on the incorrect assumption and (2) that certain documents had not been produced which related to the Board's previous order. One of those documents which was important to the solicitor was the Croft report. The Board in deciding whether to grant the adjournment considered the convenience and prejudice to the parties and said at volume VII, page 947, line 10: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However, there is also a guiding principle in compensation hearings that an expropriated owner should be given every reasonable opportunity to put forward its best case. I emphasize the word "reasonable" because there must be some limitations around that right to bring forward the case and there must also be some finality to the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They then decided to grant the adjournment based on the difficulties with the expert valuation report. At that time they made an adverse interest order against the client which they later reconsidered. They also dealt with the issue of documents. They said at page 949, line 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appears to us that the Board's order with respect to documents pertaining to the Croft report have been complied with by the Ministry to the best of the Ministry's ability. If the claimant is not satisfied with what it has received and has reasonable grounds to suspect that the Ministry has not been forthcoming in the matter, then there are of course steps available under the Supreme Court Rules to deal with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They were, of course, pointing out that the claimant had its rights to apply for an order for a further and better list of documents or for an affidavit verifying the list of documents and that it had not done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Mr. Croft was available and it was suggested that he could testify later in the day. After his examination concerning his qualifications, the solicitor asked to have him qualified. Discussion concerning the qualification is on page 1004 of volume VII:</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CHAIR: All of those things, except valuation, that you had listed earlier.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MR. MOIR: As an expert in first-stage valuations, is one way to call it, as opposed to detailed valuation analysis.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CHAIR: Mr. Hincks, do you have any position with respect to qualifying this witness?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MR. HINCKS: Well, I've listened to the list that my friend has read out. I certainly agree that Mr. Croft has obviously been involved in geological matters and has a certain amount of experience and expertise in matters relating to geology and mineral properties in British Columbia. In particular, I think that his expertise would be, as far as I understand his evidence, would be primarily in the area of exploration, mineral exploration specifically, to do with mineral exploration techniques and the interpretation of results that flow from that.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 my friend's list of proposed areas of qualification I have some difficulty with knowing what stock market clients view as desirable and identifying characteristics that market, that make properties desirable. I mean, these are either matters that are commonly known or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568"/>
        <w:gridCol w:w="721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53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CHAIR:</w:t>
            </w:r>
          </w:p>
        </w:tc>
        <w:tc>
          <w:tcPr>
            <w:tcW w:w="706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Perhaps in the realm of psychology.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solicitor was asked about the chair's comment about the realm of psychology. It was suggested to him that this might have been a joke or a snide comment. The solicitor said, no, the Chair was a straightforward guy. There was no testimony to the contrary; but, when one reads the transcripts of the proceedings it is clear that the Board's patience was tested, inter alia, by the unusual procedures of the solicitor.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On September 23, the last day before his dismissal, Mr. Moir in discussing an adjournment with the Board said that he didn't have certain documents and needed an adjournment for that reason. He said - page 928, volume VII, Exhibit 16: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 wish to have those documents so that I can get a proper opinion from my expert.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It was clear that he knew that documents were missing and no reason was given as to why he did not immediately after he filed his Form A demand a list of documents, go and see those documents and then if he found them to be deficient ask for a further and better list of documents. Whether those documents actually existed is open to question. However, he never completed full discovery of documents and thus because he felt that his expert opinion was questionable, due to that lack, his work was not as valuable as it might otherwise have been.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On September 24th, 1998, the solicitor informed the Board that he had been dismissed as counsel. There was, therefore, an application for an adjournment which was granted. Other counsel took over and the proceedings concluded on January 14th, 2000 with submissions and decision to follow. As mentioned earlier, the decision is found at Exhibit 28 and was given October 14th,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solicitor said the most valuable thing that he himself did was to develop the argument that the valuation should not be based on the $8100 bid at public auction. So far as I can determine from the oral and documentary evidence before me, there was not much risk that there would be a finding that the claims were worth $8100. In this regard, I note that the solicitor did not think it was such a risky proposition in that, first of all he agreed to a contingency fee arrangement and secondly, he asked for a 20% contingency which does not indicate a great risk. There was no evidence before me though as to how the 20% came to be agreed upon other than that the client did not want to agree to an hourly rate. I must assume that when the percentage was agreed upon, the solicitor took into account the risk of a successful claim being made. Secondly, there are no letters to the client that I have been made aware of which set out the risk in detail. Further, the solicitor made no concerted settlement efforts. If he had seen the matter as risky, I would have thought there would have been.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With respect to the conduct of the hearings, the solicitor said that Mr. van Halderen attended each day. He testified that Mr. van Halderen's son, Gerry van Halderen, gave him most of the instructions in the later part of the hearing. The solicitor said that Mr. van Halderen Senior was a brilliant tactician when he first started to act for him in 1992; but, by 1996, he stated that Mr. van Halderen's health was not good and that his abilities were diminished. The solicitor said that Mr. van Halderen made strategic mistakes; and that by the time spring of 1998 rolled around that he made poor decisions. At the hearings themselves he said it was rare that Mr. van Halderen would give instructions but would make suggestions. The solicitor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left me free to decide how to proceed. So I did what was best for the client and I don't recall doing anything against their instructions.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No details were given of the poor decisions or strategic mistakes or any advice regarding how to correct them or deal with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Counsel for the solicitor attempted to have Exhibit A for Identification introduced as an exhibit. He also asked that Mr. Addie be qualified as an expert to be able to give an opinion on the information in Exhibit A for Identification. I understand the object of this proposed testimony was to show what the government paid for tenures acquired since 1990. First of all, this was not produced to the client before the hearing. Secondly, I did not feel it would have been helpful for me in deciding this case to know what settlements had been made since 1990. Therefore, I refused to consider either Mr. Addie as an expert in this area or to accept Exhibit 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Counsel for the solicitor called two witnesses: Mr. S. Moir and Mr. Addie. The client called no witnesses and argument was completed in the afternoon of September 13th.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LEGAL PROFESSION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appointment dated September 19th, 2001 asked for a review pursuant to s. 70 of the Legal Profession Act. Section 71 applies to a review under s. 70 and subsections (2) to (5) are:</w:t>
      </w:r>
      <w:r>
        <w:rPr>
          <w:rFonts w:ascii="arial" w:eastAsia="arial" w:hAnsi="arial" w:cs="arial"/>
          <w:sz w:val="20"/>
          <w:lang w:val="en-US" w:eastAsia="en-US" w:bidi="ar-SA"/>
        </w:rPr>
        <w:cr/>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subsections (4) and (5), the registrar must allow fees, charges and disbursements for the following services:</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those reasonably necessary and proper to conduct the proceeding or business to which they relate;</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those authorized by the client or subsequently approved by the client, whether or not the services were reasonably necessary and proper to conduct the proceeding or business to which they relate.</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subsections (4) and (5), the registrar may allow fees, charges and disbursements for the following services, even if unnecessary for the proper conduct of the proceeding or business to which they relate:</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those reasonably intended by the lawyer to advance the interests of the client at the time the services were provided;</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those requested by the client after being informed by the lawyer that they were unnecessary and not likely to advance the interests of the client.</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a review of a lawyer's bill, the registrar must consider all of the circumstances, including</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complexity, difficulty or novelty of the issues involved,</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skill, specialized knowledge and responsibility required of the lawyer,</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lawyer's character and standing in the profession,</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amount involved,</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time reasonably spent,</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there has been an agreement that sets a fee rate that is based on an amount per unit of time spent by the lawyer, whether the rate was reasonable,</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importance of the matter to the client whose bill is being reviewed, and</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result obtained.</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discretion of the registrar under subsection (4) is not limited by the terms of an agreement between the lawyer and the lawyer's client.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following is a consideration of the matters under s. 71(4):</w:t>
      </w:r>
      <w:r>
        <w:rPr>
          <w:rFonts w:ascii="arial" w:eastAsia="arial" w:hAnsi="arial" w:cs="arial"/>
          <w:sz w:val="20"/>
          <w:lang w:val="en-US" w:eastAsia="en-US" w:bidi="ar-SA"/>
        </w:rPr>
        <w:cr/>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complexity, difficulty or novelty of the issues involved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When considering this point one can look to the decision of the Board on the issue of costs. The tariff that the Board had to deal with has a scale from 1 to 3. Scale 2 is for matters of ordinary difficulty or importance. Scale 1 they found was for less difficult or important matters while Scale 3 is for matters of more than ordinary difficulty or importance. In discussing the issue of difficulty, they said at paragraph 36 of their decision on costs: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do, however, accept the respondent's point that the claimant should not be able to create that additional difficulty unilaterally. If the proceeding is extended or delayed or made more difficult because of the claimant's own indecision, unreasonableness, or poor judgment, or that of its advisors, that state of affairs would not provide a reason to grant a higher scale of costs. In the present case, there were adjournments and delays in the early course of the compensation hearing that were not caused by any innate complexity of the subject matter, but which resulted to a considerable degree from decisions made or approaches taken by the claimant or its advisors which, in our view, might have been avoided through the exercise of reasonable judgment or due diligence. The circumstances are set out at some length in the compensation decision itself.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agree with the respondent that, notwithstanding a few novel interpretive points, the case does not have a more than ordinary importance which would justify a higher scale of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At paragraph 41 they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additional "difficulty" in the valuation process with respect to the undersurface rights was essentially one which the claimant brought on itself, by choosing to advance a discounted cash flow valuation method which was appropriate only to much more developed mining properties for which the resources could be described with a high level of certainty.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Just before finding that the scale would be scale 2, they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 respect to the separate claim made for compensation for surface rights, we would add that neither a proper legal nor evidentiary foundation was laid to support any such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solicitor though found the matter complex, difficult and novel. The novelty arose mainly because it was his first compensation case. In giving his evidence, the solicitor focussed on explaining the geological information. He did not go into much detail regarding his work on the legal or procedural aspects of handling the file. He gave a great deal of evidence concerning the various ways to value the claim and the relative merits and pitfalls. It is my conclusion that he became extremely knowledgeable about the geological side of the claim to the extent that he could actually criticize the work of the experts. However, he did not attend to doing all the solicitor's work necessary to prepare the case for the Board. The most obvious shortfall was that he did not pursue the discovery of the government's documents and did not even notice some documents of importance that were on their list of documents, such as the Croft Report.</w:t>
      </w:r>
      <w:r>
        <w:rPr>
          <w:rFonts w:ascii="arial" w:eastAsia="arial" w:hAnsi="arial" w:cs="arial"/>
          <w:sz w:val="20"/>
          <w:lang w:val="en-US" w:eastAsia="en-US" w:bidi="ar-SA"/>
        </w:rPr>
        <w:cr/>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skill, specialized knowledge and responsibility required of the lawyer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This has been dealt with in part under (a). However, it is important to note that by the solicitor's own evidence the client relied upon him to run the case with little input from perhaps 1996 but certainly from 1998 onwards. I should pause to say that the solicitor acted for the client not only in this matter but in other pieces of substantial litigation. I was not given complete information concerning all of those or even sufficient detail in order to be able to comment upon them at length. However, I was informed that Mr. McAlpine acted on one matter that had been started by the solicitor and obtained a settlement of, I believe, just under $1 million. On another matter, Mr. Harbottle took over and substantial fees were paid to him for the work he did. Other than that, I cannot comment in much of a meaningful way about the work that was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There is no doubt that the client was becoming dissatisfied as early as 1996. The first three paragraphs of the client's letter of June 20th, 1996 - Exhibit 30, to the solicitor are instructive: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Our telephone conversation, a few hours ago, has alarmed me greatly. I therefore believe it is necessary to put in writing my point of view and the strategy to be followed.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Let me remind you of two things; firstly that I have had enough of the delays. A year ago we agreed that we would have all outstanding cases either litigated or with firm hearing dates set by Christmas. At that time I could already see that I could not stand the delays and demands of the system much longer. This has not happened. Secondly, as we discussed in person recently, to date we have not won one single issue before the courts. It is necessary therefore to have someone else do the litigation.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must go to trial on all the cases and issues before you. No more injunctions or orders. By now we should be well prepared and able to get a top-notch litigator with a proven track record of success to work effectively with the present system. This cannot be more expensive than what it is costing now in time, emotion and money.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Board member, Mr. Greenwood, made a comment which I believe has a bearing on the consideration of the solicitor's skill. That comment is found at page 540, volume IV, Exhibit 13 as follows: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MR. GREENWOOD: So if I can just sum up what you said, you intend to first have Mr. Addie tell us what research he has done, which is just factual stuff, not a matter of expertise?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464"/>
        <w:gridCol w:w="731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43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MR. MOIR:</w:t>
            </w:r>
          </w:p>
        </w:tc>
        <w:tc>
          <w:tcPr>
            <w:tcW w:w="716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MR. GREENWOOD: And secondly, you want him to actually give a valuation opinion without qualifying him as a valuator, is that 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464"/>
        <w:gridCol w:w="731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43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MR. MOIR:</w:t>
            </w:r>
          </w:p>
        </w:tc>
        <w:tc>
          <w:tcPr>
            <w:tcW w:w="716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091"/>
        <w:gridCol w:w="669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04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MR. GREENWOOD:</w:t>
            </w:r>
          </w:p>
        </w:tc>
        <w:tc>
          <w:tcPr>
            <w:tcW w:w="655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It's a good trick if you can do it.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There is no doubt but that the solicitor had a very substantial responsibility.</w:t>
      </w:r>
      <w:r>
        <w:rPr>
          <w:rFonts w:ascii="arial" w:eastAsia="arial" w:hAnsi="arial" w:cs="arial"/>
          <w:sz w:val="20"/>
          <w:lang w:val="en-US" w:eastAsia="en-US" w:bidi="ar-SA"/>
        </w:rPr>
        <w:cr/>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lawyer's character and standing in the profession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No evidence was given of this that had any bearing on the review.</w:t>
      </w:r>
      <w:r>
        <w:rPr>
          <w:rFonts w:ascii="arial" w:eastAsia="arial" w:hAnsi="arial" w:cs="arial"/>
          <w:sz w:val="20"/>
          <w:lang w:val="en-US" w:eastAsia="en-US" w:bidi="ar-SA"/>
        </w:rPr>
        <w:cr/>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amounts involved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claim put forward before the Board was for several million dollars. The award was $150,000 plus interest coming to a total of about $350,000. There are on-going discussions between the Crown and the client's present solicitor with respect to the costs issue. The scale as noted above has been determined but so far as I am aware they have not reached agreement on the costs nor have they been assessed. Exhibit 29 shows that the total costs claimed after deducting the $25,000 paid by the government in 1997 is $366,000.</w:t>
      </w:r>
      <w:r>
        <w:rPr>
          <w:rFonts w:ascii="arial" w:eastAsia="arial" w:hAnsi="arial" w:cs="arial"/>
          <w:sz w:val="20"/>
          <w:lang w:val="en-US" w:eastAsia="en-US" w:bidi="ar-SA"/>
        </w:rPr>
        <w:cr/>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time reasonably spent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In my view, the time spent by the solicitor was in some cases excessive. While there is no doubt that he had to understand enough of the geological data and issues with respect to the reports to be able to properly argue the client's case, in my view, he spent more time than necessary becoming informed. In addition, he spent time on claims such as the surface rights that from the transcripts I read and from the evidence produced to me by the solicitor had little or no chance of success. In my view, the solicitor ought to have foreseen the need for the first adjournment in January 1997 and advised the client accordingly. Also, he should have considered the possibility of the second adjournment and at least advised the client of the risk in proceeding with the report that they had. No evidence was given to me that that was done. The unnecessary adjournments also added to wasted time due to the additional preparation that would have been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There is one area where the solicitor did not spend as much time as he ought to have. It was clear from the beginning that the Crown was not anxious to consider any substantial payment and if that was in doubt, it was certainly emphasized by their advance payment of $100,000. At that time he should have provided to the client a full written analysis of the evidence available, the law that pertained and the risks involved in proceeding as opposed to settling. In addition, there should have been an opinion given concerning the costs involved in proceeding as opposed to settling. The client asked for a written opinion on more than one occasion but never received the type of analysis mentioned above. On May 10th, 1998 the client wrote to the solicitor: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May I please have, by return Fax, the dates, times and places of meetings, motions or hearings in connection with the above mentioned cases.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also appreciate a brief status report regarding where we stand at present and how much more time is estimated to finish (best and worst case scenarios).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Lastly, please inform me of the present balance of the account and your estimates for time and money required to complete disposal.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have no clear idea of where I stand and wish to have a realistic estimate to plan my future financial as well as emotional investments.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Thank you for your cooperation in this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That letter, which was never answered, was put to the solicitor in cross-examination by the client. In addition, the solicitor did not spend the necessary time on: (1) document inspection and production, and (2) proper expert report procedure.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 solicitor was asked about the offer of November 20th, 1997 at page 131 of Exhibit 23. He first of all said that he discussed it with Mr. van Halderen. He then said, "It may be it was so far from what Mr. van Halderen instructed me, I didn't discuss it with him." He then retracted that and said, "It would be a surprise to me if I didn't discuss it." It was difficult to tell from his evidence how much of what he did he actually discussed with Mr. van Halderen. I had to conclude from his comment that he took control of the case that in fact from somewhere after 1996 and certainly from the spring of 1998 the solicitor had complete conduct of the case and took very few instructions from Mr. van Halderen.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solicitor was then referred to page 140 of Exhibit 23 which is a letter from Mr. Hincks confirming that the Ministry's offer was rejected and there was no counter offer. He was asked if he discussed the offer of Mr. van Halderen again or decided himself based on his standing instructions to settle for no less than $750,000. He said "I was free to counter offer $750,000, I didn't." He didn't explain why he didn't nor was any letter shown to me where he advised the client on the offer made or on the value of making a counter offer and the risks in the case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When one considers the amount of disbursements, the time taken, and the difference in values of the claims by the Crown at $50,000 to $100,000 and the client's advisors at $750,000 to several million, there is no doubt in my mind but that the solicitor should have given extensive written analysis of the position the client was in before the first compensation hearing was set and a second time after the two expert reports were obtained. There was no such analysis given in writing.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In commenting upon this issue, Master Bolton said in Trower, Burke &amp; Jones v. Sally Haugen at page 19, beginning at line 13: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this failure to give proper advice that is, in my judgment, the crux of the case. A solicitor is not a guarantor of success when he embarks on litigation with his client, and if he gives reasonable efforts and advice to the client he is entitled to charge fees accordingly. Nor can counsel necessarily predict how the facts will emerge in the crucible of the courtroom, and sometimes not even how the court will interpret the facts that do emerge. But a solicitor must, in my respectful opinion, bring professional analysis and judgment to bear on allegations recounted to him by his client, and then give measured, reasoned, and when necessary researched, advice about the likelihood of success, the possibilities of failure, and in very general terms the likely cost of the various options.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Mr. Justice Hood in Wayne Fraser Guinn v. Chassmi Yalpani said at paragraph 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comes a time when a solicitor must clarify the situation in writing and assure the clear understanding between him and his client in such circumstances. These are the circumstances of this case, particularly when every step taken apparently is difficult, lengthy and expensive while at the same time, and not through lack of effort on the part of Mr. Guinn, little benefit is achieved. Mr. Guinn may well have performed all of the difficult services he says he performed, but the question is to what purpose, to what end, and were the services subsequently approved by the client and so on. I do not need to go into the exact wording in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Mr. Mouzourakis on behalf of the solicitor had said that the client was an experienced litigant. In commenting upon Mr. Justice Hood's point mentioned above, I said in Scarlett Manson Angus v. Battrum and Devlin Jensen v. Battrum, </w:t>
      </w:r>
      <w:hyperlink r:id="rId13" w:history="1">
        <w:r>
          <w:rPr>
            <w:rFonts w:ascii="arial" w:eastAsia="arial" w:hAnsi="arial" w:cs="arial"/>
            <w:i/>
            <w:color w:val="0077CC"/>
            <w:sz w:val="20"/>
            <w:u w:val="single"/>
            <w:shd w:val="clear" w:color="auto" w:fill="FFFFFF"/>
            <w:lang w:val="en-US" w:eastAsia="en-US" w:bidi="ar-SA"/>
          </w:rPr>
          <w:t>[2001] B.C.J. No. 1231</w:t>
        </w:r>
      </w:hyperlink>
      <w:r>
        <w:rPr>
          <w:rFonts w:ascii="arial" w:eastAsia="arial" w:hAnsi="arial" w:cs="arial"/>
          <w:color w:val="000000"/>
          <w:sz w:val="20"/>
          <w:lang w:val="en-US" w:eastAsia="en-US" w:bidi="ar-SA"/>
        </w:rPr>
        <w:t xml:space="preserve"> at page 30: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view this principle pertains not only to a "na've" client, but also with respect to a "experienced" client.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In this case I feel that the client was entitled to those written opinions.</w:t>
      </w:r>
      <w:r>
        <w:rPr>
          <w:rFonts w:ascii="arial" w:eastAsia="arial" w:hAnsi="arial" w:cs="arial"/>
          <w:sz w:val="20"/>
          <w:lang w:val="en-US" w:eastAsia="en-US" w:bidi="ar-SA"/>
        </w:rPr>
        <w:cr/>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there has been an agreement that sets a fee rate that is based on an amount per unit of time spent by the lawyer, whether the rate was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There was no agreement between the solicitor and the client with respect to an hourly rate. Nevertheless, I should comment about the hourly rate charged.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In his bill of September 4, 1997, Exhibit 2, the solicitor charged $14,645.75 for 83.69 hours. This would be an hourly rate of $175 if the same hourly rate was used from 1992 - 1997. That bill was paid by the Province. In Exhibit 32, the solicitor details the same time from 1992 - 1997 for 83.69 hours but in March 2002, the total is $12,660.05 for an hourly rate of $151.27. No explanation was given for this discrepancy.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The last bill sent to the clients on November 3, 2000, Exhibit 23, page 327, show fees of $50,504.92 for 352.14 hours. This would be an hourly rate of $143.42. On March 8, 2002, the solicitor sent a letter to the client and included a draft of the November 2, 2000 bill which show fees of $55,828.15 for 368.32 hours. That would be an hourly rate of $151.58. I felt when one peruses this draft, it is clear that a uniform hourly rate was not used. In 1997, the hourly rate appears to have been $150. This changed in 1998 to $175 and in 2000 to $195. These figures were obtained by division of the amount of the time in the draft bill in Exhibit 32.</w:t>
      </w:r>
      <w:r>
        <w:rPr>
          <w:rFonts w:ascii="arial" w:eastAsia="arial" w:hAnsi="arial" w:cs="arial"/>
          <w:sz w:val="20"/>
          <w:lang w:val="en-US" w:eastAsia="en-US" w:bidi="ar-SA"/>
        </w:rPr>
        <w:cr/>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importance of the matter to the client whose bill is being reviewed, 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There is no doubt that this matter was important to the client and the principals of the client both financially and emotionally. One can only wonder why the client persisted in this claim. It may well be that the client had an exaggerated view of what the claim was worth. If so, the solicitor ought to have written to the client informing him of the risks and the advisability of settling. As this did not occur, one can only conclude from the evidence especially when the solicitor stated that he thought when he was dismissed that the case was going well, that the solicitor shared that view or that it was the solicitor's view that the client shared. In any event, there is no doubt but that the case was not going well when the solicitor was dismissed and that there was a high risk throughout that the award would be around what the Crown's expert opined the claims were worth.</w:t>
      </w:r>
      <w:r>
        <w:rPr>
          <w:rFonts w:ascii="arial" w:eastAsia="arial" w:hAnsi="arial" w:cs="arial"/>
          <w:sz w:val="20"/>
          <w:lang w:val="en-US" w:eastAsia="en-US" w:bidi="ar-SA"/>
        </w:rPr>
        <w:cr/>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result obtained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The result of $150,000 plus interest and costs was disastrous for the client. The evidence showed their expectation, which appears to have been fostered by the solicitor, was for an award of over $1,000,000 plus interest and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On behalf of the solicitors, Mr. Mouzourakis pointed out the lengthy history and that the solicitor had handled many difficult matters for the client over a number of years. He stated that this was a complicated case and the Crown's strategy was to delay and to try to starve the client into submission. He acknowledged that the solicitor could have acted a little more timely concerning replying to correspondence and in obtaining documents. He said that the solicitor had done a great deal of preparation and worked hard and spent his time reasonably. He acknowledged that the matter was important to the client and said there was no evidence of any failure to follow instructions. He felt that the fact that the client was arguing with the bill was simply sour grapes because of a poor result. He pointed out that the solicitor had stayed in the fight until he was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The client's representative in her submission said that they became wary of the solicitor's skill, judgment, and professionalism, and began to doubt his excessive ideas. She acknowledged that the solicitor was very well versed in mining and geology but submitted that he lacked the ability to carry the case through to a speedy and successful conclusion. The argument was reiterated that the solicitor should be paid 50% of the 20% of the $150,000, namely $15,000 and that as he had been paid $20,000 it was submitted that he had been fully compensated. It was acknowledged that was a low fee for all the work done but they thought it was right in light of the result. They pointed to the Board's comments in the cost decision that the case was not out of the ordinary. It was stated that the solicitor could make the simple complicated. They said that Mr. George Addie was almost completely discounted by the Board. The client submitted that much of the solicitor's work was not of use. It was also said that if the solicitor had been more experienced he would have known about qualifying experts. The client was critical of the solicitor with respect to Mr. Lawrence, the expert obtained between the first Board hearing in June and the second in September. They said that the solicitor found Mr. Lawrence and that the first report cost $35,000 and the final bill was $100,000. It was their opinion that his report was tossed out. They inferred that the result was not what they were lead to expect.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xml:space="preserve">  In considering this matter, I have to keep in mind the comments of Southin, J., as she then was, in Roberts &amp; Muir </w:t>
      </w:r>
      <w:hyperlink r:id="rId14" w:history="1">
        <w:r>
          <w:rPr>
            <w:rFonts w:ascii="arial" w:eastAsia="arial" w:hAnsi="arial" w:cs="arial"/>
            <w:i/>
            <w:color w:val="0077CC"/>
            <w:sz w:val="20"/>
            <w:u w:val="single"/>
            <w:shd w:val="clear" w:color="auto" w:fill="FFFFFF"/>
            <w:lang w:val="en-US" w:eastAsia="en-US" w:bidi="ar-SA"/>
          </w:rPr>
          <w:t>[1986] B.C.J. No. 881</w:t>
        </w:r>
      </w:hyperlink>
      <w:r>
        <w:rPr>
          <w:rFonts w:ascii="arial" w:eastAsia="arial" w:hAnsi="arial" w:cs="arial"/>
          <w:color w:val="000000"/>
          <w:sz w:val="20"/>
          <w:lang w:val="en-US" w:eastAsia="en-US" w:bidi="ar-SA"/>
        </w:rPr>
        <w:t xml:space="preserve"> at paragraph 35, page 8 where she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open to a registrar upon a taxation to consider whether a solicitor has shown reasonable care and skill. See Re Solicitor </w:t>
      </w:r>
      <w:hyperlink r:id="rId15" w:history="1">
        <w:r>
          <w:rPr>
            <w:rFonts w:ascii="arial" w:eastAsia="arial" w:hAnsi="arial" w:cs="arial"/>
            <w:i/>
            <w:color w:val="0077CC"/>
            <w:sz w:val="20"/>
            <w:u w:val="single"/>
            <w:shd w:val="clear" w:color="auto" w:fill="FFFFFF"/>
            <w:lang w:val="en-US" w:eastAsia="en-US" w:bidi="ar-SA"/>
          </w:rPr>
          <w:t>[1971] 1 O.R. 138</w:t>
        </w:r>
      </w:hyperlink>
      <w:r>
        <w:rPr>
          <w:rFonts w:ascii="arial" w:eastAsia="arial" w:hAnsi="arial" w:cs="arial"/>
          <w:color w:val="000000"/>
          <w:sz w:val="20"/>
          <w:lang w:val="en-US" w:eastAsia="en-US" w:bidi="ar-SA"/>
        </w:rPr>
        <w:t>. The taxing officer cannot give damages to the client but if the work is not up to standard he may deprive the solicitor of his fee, in whole or in part. The question of whether an estimate of fees which the solicitor admits was erroneous arose through no fault of the solicitor is one that the taxing officer should properly consider. It is inextricably wound up with the question of whether the bill is a proper bill.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Taking all of the background, the evidence, the specific points made with respect to section 71 into consideration, it is my view that the solicitor's bills must be reduced and that an appropriate fee for his work would be $25,000 plus taxes. Disbursements are not an issue. He has been paid $20,084.09 plus the tax on that sum. Therefore, he is entitled to $4,915.91 plus tax. The client is entitled to its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REGISTRAR BARBER</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29" style="position:absolute;z-index:25183744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6"/>
          <w:headerReference w:type="default" r:id="rId17"/>
          <w:footerReference w:type="even" r:id="rId18"/>
          <w:footerReference w:type="default" r:id="rId19"/>
          <w:headerReference w:type="first" r:id="rId20"/>
          <w:footerReference w:type="first" r:id="rId2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2" w:history="1">
        <w:r>
          <w:rPr>
            <w:rFonts w:ascii="arial" w:eastAsia="arial" w:hAnsi="arial" w:cs="arial"/>
            <w:b/>
            <w:bCs/>
            <w:i/>
            <w:color w:val="0077CC"/>
            <w:kern w:val="32"/>
            <w:sz w:val="28"/>
            <w:szCs w:val="32"/>
            <w:u w:val="single"/>
            <w:shd w:val="clear" w:color="auto" w:fill="FFFFFF"/>
            <w:lang w:val="en-US" w:eastAsia="en-US" w:bidi="ar-SA"/>
          </w:rPr>
          <w:t>Mordo v. Nitting, [2006] B.C.J. No. 3081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Wedge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5 - 9, 12 - 16, 19 - 23 and 26 - 28,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and July 4 - 7,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November 30,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L021994</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[2006] B.C.J. No. 3081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2006 BCSC 1761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153 A.C.W.S. (3d) 750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Alexander Mordo, Plaintiff, and Viviane Lolita Nitting and Gary Wilson in his capacity as Trustee of the Eida Mordo Alter Ego Trust,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(500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30" style="position:absolute;z-index:2516592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7" w:name="Keywords_0"/>
      <w:bookmarkEnd w:id="7"/>
      <w:r>
        <w:rPr>
          <w:rFonts w:ascii="arial" w:eastAsia="arial" w:hAnsi="arial" w:cs="arial"/>
          <w:b/>
          <w:color w:val="000000"/>
          <w:sz w:val="20"/>
          <w:lang w:val="en-US" w:eastAsia="en-US" w:bidi="ar-SA"/>
        </w:rPr>
        <w:t>Family law — Dependants' relief legislation — Moral obligation of testator — Action by son for reapportionment under Wills Variation Act dismissed — Mother had left all assets in trust for daughter's benefit or assets were held jointly with daughter — Daughter had cared for parents for many years — Son estranged — Son wealthy and not in need of inheritance — Mother's will consistent with moral obligation to provide for daughter</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Wills, estates and trusts law — Gifts — Inter vivos — Validity of transfer — Action by son for reapportionment under Wills Variation Act dismissed — No assets passed to estate — Deed of gift respecting jewellery was valid inter vivos gift.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Wills, estates and trusts law — Trusts — Express trusts, creation — Limitations on — Requirements — Capacity — Certainty of intention — Trust respecting warehouse in favour of daughter formed by valid act of transfer and was properly constituted as inter vivos trust — No undue influence of mother by daughter — Trust not testamentary in nature.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8" w:name="Case Summary_0"/>
            <w:bookmarkEnd w:id="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for reapportionment under Wills Variation Act -- Plaintiff was son of testatrix -- Defendant Nitting was plaintiff's sister -- Prior to their deaths, plaintiff's parents expressed intention to leave all of their assets to defendant -- They feared plaintiff would challenge any will favouring defendant, and thus took steps to ensure none of their assets would pass to their estates upon their deaths -- By time of mother's death, all parents' substantial assets were held either jointly with defendant or in trust for her benefit -- Some jewellery subject of deed of gift in defendant's favour -- Plaintiff challenged dispositions on basis that they were testamentary in substance and result of undue influence on part of defendant -- Plaintiff also sought reimbursement of cost of car and chauffeur he provided his mother for prior to her death -- Plaintiff was wealthy businessman and sought reapportionment on moral grounds only -- Plaintiff's net worth was many times that of defendant's net worth -- Plaintiff estranged from family for many years -- Defendant enjoyed close relationship with parents at all times and cared for parents -- HELD: Action dismissed -- None of mother's assets passed by her will -- No assets thus in estate -- Trust respecting warehouse in favour of defendant formed by valid act of transfer and was properly constituted as inter vivos trust -- No undue influence of mother by sister -- Trust not testamentary in nature -- Trust property not part of estate and not subject to any claim pursuant to Wills Variation Act -- Trust not void for repugnancy or on grounds of public policy -- Transactions involving trust, condominium, joint accounts and deed of gift not invalidated by undue influence -- Plaintiff not entitled to be reimbursed for driver and car provided to mother -- Items were unconditional gift -- Mother's will consistent with moral obligation to provide for daughter -- Plaintiff had no claim on moral grounds to share in mother's estate.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9" w:name="Legislation Cited_0"/>
      <w:bookmarkEnd w:id="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31" style="position:absolute;z-index:2517104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Fraudulent Conveyance Act, </w:t>
      </w:r>
      <w:r>
        <w:rPr>
          <w:rFonts w:ascii="arial" w:eastAsia="arial" w:hAnsi="arial" w:cs="arial"/>
          <w:i/>
          <w:color w:val="000000"/>
          <w:sz w:val="20"/>
          <w:lang w:val="en-US" w:eastAsia="en-US" w:bidi="ar-SA"/>
        </w:rPr>
        <w:t>R.S.B.C. 1996, c. 163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Income Tax Act, s. 104(4)(a)(ii.1), s. 104(4)(a)(iv)(A)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Land Title Act, </w:t>
      </w:r>
      <w:hyperlink r:id="rId23" w:history="1">
        <w:r>
          <w:rPr>
            <w:rFonts w:ascii="arial" w:eastAsia="arial" w:hAnsi="arial" w:cs="arial"/>
            <w:i/>
            <w:color w:val="0077CC"/>
            <w:sz w:val="20"/>
            <w:u w:val="single"/>
            <w:shd w:val="clear" w:color="auto" w:fill="FFFFFF"/>
            <w:lang w:val="en-US" w:eastAsia="en-US" w:bidi="ar-SA"/>
          </w:rPr>
          <w:t>R.S.B.C. 1996, c. 250, s. 20</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Law and Equity Act, </w:t>
      </w:r>
      <w:hyperlink r:id="rId24" w:history="1">
        <w:r>
          <w:rPr>
            <w:rFonts w:ascii="arial" w:eastAsia="arial" w:hAnsi="arial" w:cs="arial"/>
            <w:i/>
            <w:color w:val="0077CC"/>
            <w:sz w:val="20"/>
            <w:u w:val="single"/>
            <w:shd w:val="clear" w:color="auto" w:fill="FFFFFF"/>
            <w:lang w:val="en-US" w:eastAsia="en-US" w:bidi="ar-SA"/>
          </w:rPr>
          <w:t>R.S.B.C. 1996, c. 253, s. 59</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Probate Fee Act, </w:t>
      </w:r>
      <w:r>
        <w:rPr>
          <w:rFonts w:ascii="arial" w:eastAsia="arial" w:hAnsi="arial" w:cs="arial"/>
          <w:i/>
          <w:color w:val="000000"/>
          <w:sz w:val="20"/>
          <w:lang w:val="en-US" w:eastAsia="en-US" w:bidi="ar-SA"/>
        </w:rPr>
        <w:t>S.B.C. 1999, c.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Wills Variation Act, R.S.B.C. 1996, c. 489, s. 5(1), s. 5(1) (a), s. 5(1)(b), s. 5(2)</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0" w:name="Counsel_0"/>
      <w:bookmarkEnd w:id="10"/>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32" style="position:absolute;z-index:2517616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Howard Shapray, Q.C., Francis Lamer, Donovan W.M. Waters, Q.C.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Nitting: Hugh S. McLellan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Wilson: P. Donald MacDonald</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1" w:name="Judgment_0"/>
      <w:bookmarkEnd w:id="11"/>
      <w:r>
        <w:pict>
          <v:line id="_x0000_s1033" style="position:absolute;z-index:251812864" from="0,12pt" to="512pt,12pt" strokecolor="#009ddb" strokeweight="1.5pt">
            <v:stroke linestyle="single"/>
          </v:line>
        </w:pict>
      </w:r>
    </w:p>
    <w:p>
      <w:p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Table of Contents</w:t>
      </w:r>
      <w:r>
        <w:rPr>
          <w:rFonts w:ascii="arial" w:eastAsia="arial" w:hAnsi="arial" w:cs="arial"/>
          <w:sz w:val="20"/>
          <w:lang w:val="en-US" w:eastAsia="en-US" w:bidi="ar-SA"/>
        </w:rPr>
        <w:cr/>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INTRODUCTION</w:t>
      </w:r>
    </w:p>
    <w:p>
      <w:pPr>
        <w:numPr>
          <w:numId w:val="2"/>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ISSUES</w:t>
      </w:r>
    </w:p>
    <w:p>
      <w:pPr>
        <w:numPr>
          <w:numId w:val="3"/>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BACKGROUND</w:t>
      </w:r>
    </w:p>
    <w:p>
      <w:pPr>
        <w:numPr>
          <w:numId w:val="4"/>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1950 - 1975: Family history</w:t>
      </w:r>
    </w:p>
    <w:p>
      <w:pPr>
        <w:numPr>
          <w:numId w:val="5"/>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1975 - 1983: The family business</w:t>
      </w:r>
    </w:p>
    <w:p>
      <w:pPr>
        <w:numPr>
          <w:numId w:val="6"/>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1983 - 1984: Termination of Viviane's employment with the Company</w:t>
      </w:r>
    </w:p>
    <w:p>
      <w:pPr>
        <w:numPr>
          <w:numId w:val="7"/>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1984 - 1992: Ongoing family difficulties</w:t>
      </w:r>
    </w:p>
    <w:p>
      <w:pPr>
        <w:numPr>
          <w:numId w:val="8"/>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1992 - 1996: Wills and joint assets</w:t>
      </w:r>
    </w:p>
    <w:p>
      <w:pPr>
        <w:numPr>
          <w:numId w:val="9"/>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1996: Gabriel's death and Eida's 1996 Will</w:t>
      </w:r>
    </w:p>
    <w:p>
      <w:pPr>
        <w:numPr>
          <w:numId w:val="10"/>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1996: The Investment Accounts, Warehouse and the Deed of Gift</w:t>
      </w:r>
    </w:p>
    <w:p>
      <w:pPr>
        <w:numPr>
          <w:numId w:val="11"/>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1997 - 2000: Eida's relationship with Alex</w:t>
      </w:r>
    </w:p>
    <w:p>
      <w:pPr>
        <w:numPr>
          <w:numId w:val="12"/>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2000: Alex's Offer of the car and driver</w:t>
      </w:r>
    </w:p>
    <w:p>
      <w:pPr>
        <w:numPr>
          <w:numId w:val="13"/>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2000: Eida's will and the Trust</w:t>
      </w:r>
    </w:p>
    <w:p>
      <w:pPr>
        <w:numPr>
          <w:numId w:val="14"/>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2001 - 2002: The Dispute over the car and driver</w:t>
      </w:r>
    </w:p>
    <w:p>
      <w:pPr>
        <w:numPr>
          <w:numId w:val="15"/>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2002: Eida's death</w:t>
      </w:r>
    </w:p>
    <w:p>
      <w:pPr>
        <w:numPr>
          <w:numId w:val="16"/>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DISCUSSION</w:t>
      </w:r>
    </w:p>
    <w:p>
      <w:pPr>
        <w:numPr>
          <w:numId w:val="17"/>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Alleged admissions in the defendant's pleadings</w:t>
      </w:r>
    </w:p>
    <w:p>
      <w:pPr>
        <w:numPr>
          <w:numId w:val="18"/>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Condominium</w:t>
      </w:r>
    </w:p>
    <w:p>
      <w:pPr>
        <w:numPr>
          <w:numId w:val="19"/>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jointly held accounts</w:t>
      </w:r>
    </w:p>
    <w:p>
      <w:pPr>
        <w:numPr>
          <w:numId w:val="20"/>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Deed of Gift</w:t>
      </w:r>
    </w:p>
    <w:p>
      <w:pPr>
        <w:numPr>
          <w:numId w:val="21"/>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Trust</w:t>
      </w:r>
    </w:p>
    <w:p>
      <w:pPr>
        <w:numPr>
          <w:numId w:val="22"/>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car and driver expenses</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Undue Influence</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Breach of fiduciary duty</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WVA claim</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SUMMARY OF CONCLUSIONS</w: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7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r>
              <w:rPr>
                <w:rFonts w:ascii="arial" w:eastAsia="arial" w:hAnsi="arial" w:cs="arial"/>
                <w:b/>
                <w:color w:val="000000"/>
                <w:sz w:val="30"/>
                <w:lang w:val="en-US" w:eastAsia="en-US" w:bidi="ar-SA"/>
              </w:rPr>
              <w:t>WEDGE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Gabriel and Eida Mordo had two children, the plaintiff Alexander Mordo and the defendant Viviane Nitting. Alex and Viviane have been estranged most of their adult lives.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For many years before they died, Gabriel and Eida expressed their common intention to leave all of their assets to Viviane. They feared Alex would challenge any will favouring Viviane, and took steps over the years to ensure none of their assets would pass to their estates upon their deaths.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Eida outlived Gabriel. By the time of Eida's death in 2002, all of the Mordos' substantial assets were held either jointly with Viviane or in trust for her benefit. Some personal effects were the subject of a deed of gift ["Deed of Gift"] in Viviane's favour.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Alex has challenged all of the dispositions on the basis that they are testamentary in substance and the result of undue influence on the part of Viviane. He says they form part of Eida's estate, and are subject to his claim for reapportionment under the </w:t>
      </w:r>
      <w:r>
        <w:rPr>
          <w:rFonts w:ascii="arial" w:eastAsia="arial" w:hAnsi="arial" w:cs="arial"/>
          <w:b/>
          <w:i/>
          <w:color w:val="000000"/>
          <w:sz w:val="20"/>
          <w:lang w:val="en-US" w:eastAsia="en-US" w:bidi="ar-SA"/>
        </w:rPr>
        <w:t>Wills Variation Act</w:t>
      </w:r>
      <w:r>
        <w:rPr>
          <w:rFonts w:ascii="arial" w:eastAsia="arial" w:hAnsi="arial" w:cs="arial"/>
          <w:color w:val="000000"/>
          <w:sz w:val="20"/>
          <w:lang w:val="en-US" w:eastAsia="en-US" w:bidi="ar-SA"/>
        </w:rPr>
        <w:t xml:space="preserve">, </w:t>
      </w:r>
      <w:hyperlink r:id="rId25" w:history="1">
        <w:r>
          <w:rPr>
            <w:rFonts w:ascii="arial" w:eastAsia="arial" w:hAnsi="arial" w:cs="arial"/>
            <w:i/>
            <w:color w:val="0077CC"/>
            <w:sz w:val="20"/>
            <w:u w:val="single"/>
            <w:shd w:val="clear" w:color="auto" w:fill="FFFFFF"/>
            <w:lang w:val="en-US" w:eastAsia="en-US" w:bidi="ar-SA"/>
          </w:rPr>
          <w:t>R.S.B.C. 1996, c. 489</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WVA</w:t>
      </w:r>
      <w:r>
        <w:rPr>
          <w:rFonts w:ascii="arial" w:eastAsia="arial" w:hAnsi="arial" w:cs="arial"/>
          <w:color w:val="000000"/>
          <w:sz w:val="20"/>
          <w:lang w:val="en-US" w:eastAsia="en-US" w:bidi="ar-SA"/>
        </w:rPr>
        <w:t>]. Alex, a businessman of considerable wealth, acknowledges he has no need for a share of the estate. He seeks reapportionment on moral grounds.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Alex also seeks reimbursement of $133,000 for the cost of a car and chauffeur he provided his mother for approximately 18 months before her death.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defendant Gary Wilson was joined as a party in his capacity as trustee of the Eida Mordo Alter Ego Trust [the Trust] and executor of Eida's estate. Mr. Wilson was joined only for the purpose of binding him to the declarations sought by Alex.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light of the common last names of Alex, Eida and Gabriel, I have referred throughout these reasons to each of the members of the Mordo family by his or her first name. I do so only for ease of reference and convenience.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II.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issues are the following:</w:t>
      </w:r>
      <w:r>
        <w:rPr>
          <w:rFonts w:ascii="arial" w:eastAsia="arial" w:hAnsi="arial" w:cs="arial"/>
          <w:sz w:val="20"/>
          <w:lang w:val="en-US" w:eastAsia="en-US" w:bidi="ar-SA"/>
        </w:rPr>
        <w:cr/>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Did Viviane admit in her pleadings that none of the transactions were </w:t>
      </w:r>
      <w:r>
        <w:rPr>
          <w:rFonts w:ascii="arial" w:eastAsia="arial" w:hAnsi="arial" w:cs="arial"/>
          <w:i/>
          <w:color w:val="000000"/>
          <w:sz w:val="20"/>
          <w:lang w:val="en-US" w:eastAsia="en-US" w:bidi="ar-SA"/>
        </w:rPr>
        <w:t>inter vivos</w:t>
      </w:r>
      <w:r>
        <w:rPr>
          <w:rFonts w:ascii="arial" w:eastAsia="arial" w:hAnsi="arial" w:cs="arial"/>
          <w:color w:val="000000"/>
          <w:sz w:val="20"/>
          <w:lang w:val="en-US" w:eastAsia="en-US" w:bidi="ar-SA"/>
        </w:rPr>
        <w:t xml:space="preserve"> in nature?</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Was the transfer of the condominium to Viviane a valid </w:t>
      </w:r>
      <w:r>
        <w:rPr>
          <w:rFonts w:ascii="arial" w:eastAsia="arial" w:hAnsi="arial" w:cs="arial"/>
          <w:i/>
          <w:color w:val="000000"/>
          <w:sz w:val="20"/>
          <w:lang w:val="en-US" w:eastAsia="en-US" w:bidi="ar-SA"/>
        </w:rPr>
        <w:t>inter vivos</w:t>
      </w:r>
      <w:r>
        <w:rPr>
          <w:rFonts w:ascii="arial" w:eastAsia="arial" w:hAnsi="arial" w:cs="arial"/>
          <w:color w:val="000000"/>
          <w:sz w:val="20"/>
          <w:lang w:val="en-US" w:eastAsia="en-US" w:bidi="ar-SA"/>
        </w:rPr>
        <w:t xml:space="preserve"> transfer?</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Were the transfers of the joint accounts to Viviane valid </w:t>
      </w:r>
      <w:r>
        <w:rPr>
          <w:rFonts w:ascii="arial" w:eastAsia="arial" w:hAnsi="arial" w:cs="arial"/>
          <w:i/>
          <w:color w:val="000000"/>
          <w:sz w:val="20"/>
          <w:lang w:val="en-US" w:eastAsia="en-US" w:bidi="ar-SA"/>
        </w:rPr>
        <w:t>inter vivos</w:t>
      </w:r>
      <w:r>
        <w:rPr>
          <w:rFonts w:ascii="arial" w:eastAsia="arial" w:hAnsi="arial" w:cs="arial"/>
          <w:color w:val="000000"/>
          <w:sz w:val="20"/>
          <w:lang w:val="en-US" w:eastAsia="en-US" w:bidi="ar-SA"/>
        </w:rPr>
        <w:t xml:space="preserve"> transfers?</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Deed of Gift valid?</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Was the Trust a valid </w:t>
      </w:r>
      <w:r>
        <w:rPr>
          <w:rFonts w:ascii="arial" w:eastAsia="arial" w:hAnsi="arial" w:cs="arial"/>
          <w:i/>
          <w:color w:val="000000"/>
          <w:sz w:val="20"/>
          <w:lang w:val="en-US" w:eastAsia="en-US" w:bidi="ar-SA"/>
        </w:rPr>
        <w:t>inter vivos</w:t>
      </w:r>
      <w:r>
        <w:rPr>
          <w:rFonts w:ascii="arial" w:eastAsia="arial" w:hAnsi="arial" w:cs="arial"/>
          <w:color w:val="000000"/>
          <w:sz w:val="20"/>
          <w:lang w:val="en-US" w:eastAsia="en-US" w:bidi="ar-SA"/>
        </w:rPr>
        <w:t xml:space="preserve"> trust?</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there undue influence on Viviane's part with respect to the creation of the joint assets and the Trust?</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Alex entitled to reimbursement for the car and driver expenses?</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Assuming some assets passed by Eida's will, does Alex have a moral claim under the </w:t>
      </w:r>
      <w:r>
        <w:rPr>
          <w:rFonts w:ascii="arial" w:eastAsia="arial" w:hAnsi="arial" w:cs="arial"/>
          <w:b/>
          <w:i/>
          <w:color w:val="000000"/>
          <w:sz w:val="20"/>
          <w:lang w:val="en-US" w:eastAsia="en-US" w:bidi="ar-SA"/>
        </w:rPr>
        <w:t>WVA</w:t>
      </w:r>
      <w:r>
        <w:rPr>
          <w:rFonts w:ascii="arial" w:eastAsia="arial" w:hAnsi="arial" w:cs="arial"/>
          <w:color w:val="000000"/>
          <w:sz w:val="20"/>
          <w:lang w:val="en-US" w:eastAsia="en-US" w:bidi="ar-SA"/>
        </w:rPr>
        <w:t xml:space="preserve"> for reapportionment?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 will address each of the issues in turn after reviewing the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u w:val="single"/>
                <w:lang w:val="en-US" w:eastAsia="en-US" w:bidi="ar-SA"/>
              </w:rPr>
              <w:t>III.</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u w:val="single"/>
                <w:lang w:val="en-US" w:eastAsia="en-US" w:bidi="ar-SA"/>
              </w:rPr>
              <w:t>BACKGROUND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1950 - 1975: Family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Viviane, the elder of the two Mordo children, is 63 years of age. Alex is 58 years of age. They were raised in Istanbul, Turkey, where their father, Gabriel, had established a successful import-export business. Their mother, Eida, was assisted in the home with domestic help. The family as a whole enjoyed an affluent lifestyle.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Viviane was sent to a </w:t>
      </w:r>
      <w:r>
        <w:rPr>
          <w:rFonts w:ascii="arial" w:eastAsia="arial" w:hAnsi="arial" w:cs="arial"/>
          <w:i/>
          <w:color w:val="000000"/>
          <w:sz w:val="20"/>
          <w:lang w:val="en-US" w:eastAsia="en-US" w:bidi="ar-SA"/>
        </w:rPr>
        <w:t>lycée</w:t>
      </w:r>
      <w:r>
        <w:rPr>
          <w:rFonts w:ascii="arial" w:eastAsia="arial" w:hAnsi="arial" w:cs="arial"/>
          <w:color w:val="000000"/>
          <w:sz w:val="20"/>
          <w:lang w:val="en-US" w:eastAsia="en-US" w:bidi="ar-SA"/>
        </w:rPr>
        <w:t xml:space="preserve"> in France and then to a finishing school in England. She did not attend university. Viviane met and married her first spouse, Max Ciprut, soon after leaving school. When she married, her parents provided her with the down payment for a small apartment in Haifa, Israel, where she and Max lived briefly before returning to Istanbul. Their daughter, Galia, was born in 1967.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Alex was sent to university in Vienna, Austria, where he studied mechanical engineering from 1965 to 1972. His parents provided generously for him during that time. They paid for Alex's apartment and bought him a car. Gabriel maintained a bank account in Switzerland, and gave Alex unlimited access to the account to pay for his living expenses in Vienna. Alex spent freely for about five years, until the manager of the Swiss bank became alarmed by the rate at which Alex was taking money from the account. The bank manager contacted Gabriel, who then placed Alex on a budget.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1971, Gabriel and Eida immigrated to Canada, settling in Vancouver. They bought a home on West 52nd Avenue. Viviane and Max also moved to Vancouver, and bought a house on Heather Street less than a block from Gabriel and Eida. Gabriel and Eida were fluent in several languages, but English was not one of them. They relied heavily on Viviane to help them as they became familiar with their new way of life in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Soon after arriving in Vancouver, Gabriel bought two commercial warehouse properties, one located on West 5th Avenue in Vancouver, and another on Regent Avenue in Burnaby. Given his age and lack of fluency in English, Gabriel decided not to pursue new business interests in Vancouver. He and Eida supported themselves using the rental revenues the warehouses generated and their life savings from Turkey.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Gabriel and Eida loaned Viviane and Max money for the initial down payment on the Heather Street home because the apartment in Haifa had not yet been sold. They also gave Max approximately $100,000 to help him with various business ventures. Max was not an astute businessman and eventually lost most of the money.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Alex graduated from engineering in 1972, and immediately moved from Vienna to Vancouver. He was accompanied by a woman, Erika, with whom he had begun a relationship in Vienna. Erika was twelve years Alex's senior and recently divorced. Gabriel and Eida were disappointed with Alex's choice of partner. Alex married Erika approximately a year later. In 1979, they had a son named Gabriel ["Gabby"].</w:t>
      </w:r>
      <w:r>
        <w:rPr>
          <w:rFonts w:ascii="arial" w:eastAsia="arial" w:hAnsi="arial" w:cs="arial"/>
          <w:sz w:val="20"/>
          <w:lang w:val="en-US" w:eastAsia="en-US" w:bidi="ar-SA"/>
        </w:rPr>
        <w:cr/>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1975 - 1983: The family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Alex initially obtained work in Vancouver as an engineer, but soon found other business interests. During his university years in Austria, Alex developed a friendship with the son of the manufacturer of a popular European brand of skis known as "Amman" skis. While skiing on one of the local mountains soon after his arrival in Vancouver, Alex was offered a significant sum of money for his Amman skis. Alex immediately recognized a business opportunity. He decided to purchase Amman skis and resell them in the Vancouver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Alex approached his father for capital to start a business importing skis. Gabriel loaned Alex approximately $100,000 by way of shareholder loans. In 1975, Gabriel and Alex incorporated Gabriel A. Mordo &amp; Son [the Company] (later renamed by Alex as A. Mordo &amp; Son). The loans were not interest bearing. In order to maintain control of his investment, Gabriel held 55% of the common voting shares. Alex held the balance of the shares.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Initially, the business was seasonal in nature. Alex sold skis on the local mountains during the winter months. Soon, however, the Company began importing other sporting goods and, as a result, was conducting its business year 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From the inception of the Company, Viviane was responsible for the accounts receivable. In the first few years, she worked on a part-time basis from a small office in the basement of Gabriel's home. She had a young daughter and other family responsibilities. She was also significantly involved in her parents' lives. By 1978, she was working for the Company on a full-time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At about the same time, Max's business ventures became insolvent. Alex assisted with the liquidation of the assets in Max's companies. Max worked as a warehouseman for the Company for about six months following the insolvency of his business. Max was also responsible for managing Gabriel's warehouse properties, which he did until he and Viviane separated in 1979.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Alex was not happy about employing his sister or, however briefly, his sister's husband. The relationship between Alex and Viviane was strained. Alex resented the close relationship Viviane had with Gabriel and Eida, and believed that Viviane took every opportunity to undermine his relationship with their parents. He testified at trial that Viviane was difficult to work with. He felt that she was too aggressive, and at times rude, when dealing with customers and their outstanding accounts. Alex suspected that Viviane was complaining to Gabriel about Alex's stewardship of the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By 1978, the Company was operating from space in Gabriel's West 5th Avenue warehouse. In August of 1978, on Alex's initiative, the Company borrowed $500,000 from a bank. Gabriel, as the majority shareholder and the only shareholder with assets, was required to personally guarantee the loan.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Although Gabriel was the controlling shareholder, Alex managed the business of the Company. Disputes soon arose between father and son concerning the finances of the Company. In Turkey, Gabriel had operated his business on the basis of cash sales. In Canada, businesses similar to that of the Company delivered inventory to customers on credit terms, permitting payment at a later date. The Company obtained working capital and lines of credit from the bank on the basis of the value and quality of its receivables. Gabriel was uncomfortable with this practice, particularly because of the potential liability arising from his personal guarantee.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Company's bank was, at the time, the Toronto Dominion Bank (the "TD Bank"). Due to his level of discomfort with the financial arrangements, Gabriel met every week or to with the Company's bank manager, Bill Liedemann, to review the accounts receivable. He also carefully reviewed the Company's monthly financial statements, which were prepared by the Mordo family's accountant, Gerry Blanchard.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December of 1978, Gabriel suffered a heart attack while travelling with Eida in Italy. Fortuitously, Gabriel and Eida were spending Christmas with a physician who was a close family friend. The physician made the immediate arrangements for Gabriel's hospitalization and care. Alex borrowed money on the Company's line of credit and went to Italy for several weeks to assist the family. Viviane could not afford the trip, and remained in Vancouver.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Following his recovery and return to Vancouver, Gabriel continued to be concerned about his personal guarantee of the Company loans. Friction continued between him and Alex concerning the manner in which the business was being operated. By way of example, Gabriel was of the view that Alex spent too much money on client development initiatives such as sport fishing trips. Alex's view was that these initiatives were necessary for the growth of the Company. More fundamentally, Alex wanted to expand the Company by obtaining national distribution rights to various lines of sporting goods and clothing. Gabriel did not agree that the Company should expand its business beyond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As a result of their disagreements, Alex told his father in mid-1979 that he wished to become the Company's majority shareholder. In October, 1979, after considerable discussion with the Company bank manager and accountant, Gabriel reluctantly agreed to relinquish control by transferring 45 of his 55 shares to Alex. Alex paid book value for the shares, which was $700 per share. Gabriel took a promissory note from Alex in the amount of $31,490, which represented the total purchase price of the shares. As part of the sale agreement, the shares were to be held in escrow until Alex had paid for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As holder of 10% of the shares, Gabriel continued to guarantee the Company's loans. He and Alex continued to have periodic disagreements as to the growth and management of the Company. When Viviane remarried, her husband, Bjorn Nitting, was also employed by the Company for a time. Alex got along quite well with Bjorn, but resented the fact that he was required to continue employing family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1979 or 1980, Alex bought a warehouse on West 5th Avenue next to the one owned by his father. He testified that his father opposed the purchase because of the debt Alex would incur. Alex proceeded with the acquisition, and made a significant profit three years later when he sold the warehouse. He relocated the Company to a warehouse on Main Street from which it continues to operate today.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Mordo family had a tradition of gathering each Friday for Sabbath (Shabbat) dinner. The dinners were hosted by Gabriel and Eida, and, on alternating Fridays, by Viviane. For the first while after the family moved to Vancouver, Alex and Erika attended these dinners. At some point they stopped attending them with any regularity. Alex said he grew tired of his family's coldness toward Erika. He believed Viviane fuelled his parents' dislike of his wife. He was often away on business, and was otherwise too occupied with work and family to attend the dinners.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differences between Alex and Gabriel eventually came to a head with an incident at one of the family dinners Alex did attend. Alex was 32 or 33 years of age at the time. He recalled that something appeared to be bothering Viviane during the dinner, and that Gabriel asked her whether there was something wrong. Viviane replied that a $5,000 cheque from an Ontario client had been returned due to insufficient funds. Gabriel became very angry, but soon regained his composure. However, when Alex went to see his father the next day, Gabriel berated Alex for putting the Company in the position of receiving "NSF" cheques. They argued. Gabriel slapped Alex across the face.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Alex was shocked. He had always known Gabriel to be a stern but invariably fair and honest man. Alex reacted by saying he would defend himself if Gabriel ever hit him again. He also said he should not have continued to allow family members to work for the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Alex testified that on the Monday following the slapping incident, he confronted Viviane in the Main Street warehouse. He accused her of attempting to alienate Gabriel from him so that Gabriel would disinherit him. Alex said Viviane initially tried to deny the allegation, but then said, "Yes, and what are you going to do about it?" According to Alex, two people witnessed this exchange, Levant and Ramis Semiramis. The two are brothers. Ramis was one of the Company's employees, and Levant was employed by a company occupying space in the warehouse adjacent to the space occupied by the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Viviane testified that no such confrontation occurred. She also said she did not bring the NSF cheque to her father's attention. She surmised that as Gabriel attended the bank every week or so to review the Company accounts, he may have seen the cheque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Levant Semiramis testified at trial. He considers Alex, who has helped him financially over the years, a good friend. Levant began working at the Main Street warehouse in 1981. He said that, for the most part, he did not witness Alex and Viviane argue about personal matters. He observed them to argue about business matters. He recalled that Alex often complained about the receivables and the shortage of cash, and Viviane's reply was to the effect that she was calling customers day and night, and could do nothing else to obtain payments.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Levant testified that he recalled a conversation between Alex and Viviane in the warehouse, during which Alex said the following: "I heard rumours you are trying to influence my mother and father to cut me off from my inheritance". Levant recalled that Viviane first denied the allegation, and then said, "So what?" or "What can you do about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late 1982 or early 1983, Alex approached his father with an ultimatum about the ownership of the Company. His evidence concerning the conversation with Gabriel was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After the slapping incident ... I told my father that we had three choices. I didn't want any more to continue in this fashion, after having the discussion with my sister, having all the trouble, having everybody in the family getting a job, now my sister's second husband had to have a job. You know, this was becoming really difficult for me. I told my father that we had three options. Option 1, he and my sister buys me out. Option 2, I buy him out. Option 3, we go -- we appoint a court liquidator, we go and we liquidate the company, everybody takes their chips and go. But there would be peace.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Did -- did he -- how did he react to this</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proposition?</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My father got quite offended. He says, are you threatening me with a court liquidator? And ... I was not threatening anybody. What other option did I have? I was not threatening.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(Transcript, June 6, 2006, A. Mordo, In chief, p. 45, lines 4 - 22)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Alex acknowledged that he told his father he would apply to have the Company liquidated if negotiations did not result in an agreement to sell the Company, and that it would likely cost about $40,000 to liquidate.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April of 1983, Alex instructed his solicitors to present a written offer to purchase Gabriel's ten shares for $7,000 and to pay out his shareholder loan for $85,120. The purchase price was to be paid in instalments of approximately $30,000 over a three year period, interest free. In addition, Gabriel was required to forgive the outstanding $31,490 promissory note signed by Alex in 1979 for the purchase of the 45 shares Gabriel agreed to sell to Alex in 1979. Finally, Gabriel was required by the terms of the offer to forgive a $14,000 loan he had made to Alex to purchase his first home in Vancouver in 1975. Alex stipulated that his offer was open for acceptance for only seven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Gabriel rejected the offer. Negotiations stalled. Eventually, Gabriel agreed to allow his brother-in-law, Isaak Alfandairi, to mediate or arbitrate a resolution to the impasse with Alex.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Ultimately, as a result of mediation, Alex agreed to pay his father $134,640 payable by an initial $25,000 and a promissory note for $109,640. The promissory note was paid in equal instalments over a four year period without interest. Alex testified that Gabriel was relieved to obtain the money because one of his warehouses was empty and earning no revenue. Gabriel was also relieved to be removed as a guarantor for the Company loans.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Alex had driven a hard bargain. The book value of Gabriel's ten remaining shares was approximately $37,000. In addition, Gabriel was owed a total of $120,000 in shareholder loans. He was also owed the $14,000 (without interest) for the home loan he made to Alex in 1975, and the $31,490 (without interest) still outstanding for the 45 shares purchased by Alex in 1979. The total of these amounts is $202,490, which is $67,850 more than Alex ultimately paid as a result of the agreement. Gabriel did not draw a salary, bonus or director's fee, or receive any dividends or interest payments while he was a shareholder of the Company between 1975 and 1983. There was no premium paid to Gabriel for relinquishing control of the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It was at about this time that Alex stopped attending the family Shabbat dinners altogether. In cross-examination, he acknowledged that he had a standing invitation to attend the dinners but said "the tradition went to hell" as a combination of his travelling and the slapping incident.</w:t>
      </w:r>
      <w:r>
        <w:rPr>
          <w:rFonts w:ascii="arial" w:eastAsia="arial" w:hAnsi="arial" w:cs="arial"/>
          <w:sz w:val="20"/>
          <w:lang w:val="en-US" w:eastAsia="en-US" w:bidi="ar-SA"/>
        </w:rPr>
        <w:cr/>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1983 - 1984: Termination of Viviane's employment with the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Approximately six months after he gained complete control of the Company, Alex fired Viviane. Viviane had no formal education in accounting at the time. She was responsible for invoicing customers and dealing with the accounts receivable. Alex testified that her work was impeccable in that regard. The problem involved her interactions with clients. Alex said there were complaints about her manner, which was reportedly abrupt and, at times, rude.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In mid-1984, shortly before firing Viviane, Alex decided to hire an accountant to work "in house" with the Company. It was time, he said, to computerize the Company's accounting system. He hired Elaine Leong, who began upgrading the accounting system. Alex testified that shortly after she was hired, Ms. Leong advised Alex there were problems with Viviane. In Alex's words, Ms. Leong told him she was "... quitting because she [did not] want to get involved [in] family affairs, and she [would] rather quit" than have Alex fire Viviane. Alex said that was the last straw. He called Viviane in and fired her. Viviane begged Alex to reconsider but he told her "it [was] over" (Transcript, June 6, 2006, A. Mordo, In chief, p. 62, lines 4 - 7, 23). Ms. Leong was not called as a witness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Viviane's evidence was that she had never worked with Ms. Leong, who was hired while Viviane was on a three week vacation in July, 1984. She said that on her first day back, Alex called her into his office and fired her. She begged to keep her job because of her precarious financial situation. She had by then remarried, and her husband had serious health problems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Alex was unmoved. He fired Viviane and refused to pay her any severance. His position was that he could not afford to pay severance because of his obligation to pay Gabriel for his shares in the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Gabriel was furious, both with Viviane's termination and Alex's refusal to pay her any severance. Once again, members of the family circle and close friends of the family were called in to help resolve the dispute. Following a lengthy meeting, the group told Alex he must pay Viviane 12 months severance in lieu of notice. Alex reluctantly agreed to pay Viviane her monthly salary, which was $1,500 per month, in bi-weekly instalments for 12 months. Gabriel asked Alex for his personal guarantee that the severance would be paid. Alex refused, but his uncle offered to give the guarantee on Alex's behalf.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Alex, for his part, was angry that Viviane had "made such a fuss" about her termination. He resented that she complained to Gabriel, and was angry that his parents involved others in the dispute about severance. He acknowledged that he had never seen his father as furious as he was about Viviane's firing. Gabriel told Alex he was "despicable", and called Alex "every name in the book", including "monster" and "thief".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From Alex's perspective, his parents eventually forgave him for Viviane's firing, particularly as he had agreed to pay her severance. However, after the firing, Gabriel wrote two letters, both addressed to Alex (one apparently a draft of the other), but never delivered them to him. In those letters Gabriel expressed his profound dismay with his son. The letters also reveal Gabriel's disaffection with Alex resulting from the negotiations concerning Alex's buyout of Gabriel's share of the Company. Calling Alex a "vile thief", Gabriel wrote that he had decided to disinherit Alex because of the manner in which Alex had treated Gabriel and Viviane. Gabriel urged Eida to do the same. Gabriel expressed the view that Alex had abused the Swiss bank account; that he had manipulated Gabriel to take all the financial risk in the family business without any return; that he had threatened Gabriel with a lawsuit to force the company into liquidation; and fired Viviane unfairly and without reasonable compensation. Gabriel also expressed disappointment at not seeing his grandson Gabby. The authenticity of the letters was not in issue. They were put in evidence by Alex.</w:t>
      </w:r>
      <w:r>
        <w:rPr>
          <w:rFonts w:ascii="arial" w:eastAsia="arial" w:hAnsi="arial" w:cs="arial"/>
          <w:sz w:val="20"/>
          <w:lang w:val="en-US" w:eastAsia="en-US" w:bidi="ar-SA"/>
        </w:rPr>
        <w:cr/>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1984 - 1992: Ongoing family difficulties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On August 31, 1984, Gabriel and Eida Mordo executed wills disinheriting Alex with the exception of a specific gift of $10,000.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Following Viviane's termination, Gabriel and Eida had no communications with Alex for some time. Gradually, however, visits between Alex and his parents began to occur again. Alex spent about half of each year travelling, and was busy with the Company and his family, so his visits with his parents were sporadic. The Company was thriving at the time. Alex bought a 5,000 square foot home on Selkirk Street in Vancouver.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Viviane returned to school and became certified as an accountant. She then obtained a job working as comptroller for the Vancouver Chamber Choir. She maintained her Heather Street home close to her parents and spent a great deal of time with them. She spent every Friday evening and most Sundays with them. Gabriel and Eida loved the symphony and the opera; Viviane and Bjorn took them to many concerts. After her divorce from Max, Viviane assumed responsibility for management of her parents' warehouse properties, and refused to accept any payment for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Alex acknowledged that he did not pay attention to family birthdays or religious holidays. He said he did not call or visit his parents on Mother's Day, Father's Day, or birthdays. Gabriel and Eida observed the Jewish faith, but Alex did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years following Viviane's termination appear to have been relatively uneventful in the Mordo family. However, Gabriel and Eida continued to harbour resentment toward Alex as a result of his purchase of the Company. Alex testified that when Eida came to his home on Selkirk Street some two years after Gabriel sold his last shares in the Company to Alex, she told Alex that he "had bought the home with Gabriel's money". Alex suspected that Viviane was behind this comment.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In 1988 or 1989, Alex suffered business reversals. His marriage with Erika broke down and he was ejected from the family home on Selkirk Street. The home was eventually sold. Erika obtained custody of Gabby.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In 1990, Gabriel suffered a second heart attack while vacationing in Hawaii. Alex travelled to Hawaii to assist his parents, as did Viviane.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In August of 1990, Eida Mordo made a new will. It provided that if Gabriel predeceased her, her interest in the West 52nd Avenue home was to pass to Viviane and Viviane's daughter Galia. Alex's son, Gabby, was to receive $20,000. Of the residue of the estate, which at that time consisted primarily of the warehouse on West 5th Avenue [the "Warehouse"], 60% was to pass to Viviane and 40% to Alex. In her will, Eida declared that she had given a greater proportion of her estate to Viviane in recognition of her "continuing and long standing support and assistance", and that she had taken into consideration the "substantial financial assistance I have made to my son Alex Mordo during his lifetime."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At about the same time, Gabriel gave Alex a non-interest bearing loan of $71,000 to assist the Company to purchase a running shoe inventory. Alex eventually repaid the loan.</w:t>
      </w:r>
      <w:r>
        <w:rPr>
          <w:rFonts w:ascii="arial" w:eastAsia="arial" w:hAnsi="arial" w:cs="arial"/>
          <w:sz w:val="20"/>
          <w:lang w:val="en-US" w:eastAsia="en-US" w:bidi="ar-SA"/>
        </w:rPr>
        <w:cr/>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1992 - 1996: Wills and joint assets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In October 1992, Gabriel told Alex he was not happy with the return on his investment portfolio. Alex suggested that his parents consult with Bill Liedemann, the Company's bank manager at the TD Bank. A meeting was arranged, and Alex attended at Mr. Liedemann's office with his parents. Mr. Liedemann discussed various options with Gabriel and Eida, and they made various investment choices. At the end of the meeting, Mr. Liedemann asked the Mordos how they wanted their investments registered. They indicated that they wanted their investments registered jointly with Viviane.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Alex did not say anything at the time. However, he was shocked and angered by his parents' decision to register their investments jointly with Viviane. A few days later, Alex went to his parents' home and confronted them about their decision. An acrimonious meeting ensued. Alex described his own behaviour at the meeting as akin to a volcano erupting. He told his parents he felt betrayed by their apparent lack of gratitude for the kindnesses he had shown the family over the years. He felt that Viviane was being given preferential treatment at his expense.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Gabriel and Eida did not agree with Alex's perspective, and the meeting grew even more acrimonious. Alex said he ended the meeting by shouting a Turkish insult at his parents which, loosely translated, means "He (God) will burn you". His parents interpreted the insult differently. In notes written by them some time after the incident, they wrote that Alex "became crazy" and said, "I will burn you". They understood this to be a threat by Alex to destroy them because they wished to leave their assets to Viviane.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A few weeks later, Gabriel and Eida sought legal advice from Mary Richter, a lawyer who specializes in wills and estates. Ms. Richter practiced at the time with a small firm in Kerrisdale, not far from the Mordos' home. Ms. Richter's recollection of the first meeting with the Mordos was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From the very, very beginning they had -- they were very, very disappointed in their son. They didn't want him to participate in the estate. They were very, very upset. And the way they described him indicated to me that they were afraid of him. Afraid of what he might do or what he might, like, make -- conspire to do. They were -- it wasn't they were afraid of him physically but afraid of him just what he might plan. And how he -- what he might do to them, but also what he might do to their daughter if they weren't here. And that was kind of the same -- that never really changed over ten years.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(Transcript, June 22, 2006, M. Richter, In chief, p. 66, lines 21 - 33)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Ms. Richter readily acknowledged that there were many meetings about the Mordo estate, particularly with Eida Mordo, and that her specific recollection concerning the first meeting with Gabriel and Eida may not have been entirely accurate: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You know, I can tell you generally, but I'm not sure if it was specifically what was said at 1992. They consistently told me that their daughter was very supportive of them, that they relied on her. She was kind of their mainstay. And the impression that I had from the beginning was that their son was, like, successful, he had done well in business. They were afraid of what he might do, he had money to do things and they were afraid. And they were afraid for them and they were afraid for their daughter, what they might leave for her to deal with after their death. That was consistent from the beginning.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(Transcript, June 22, 2006, M. Richter, In chief, p. 68, lines 18 - 31)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In the course of their meeting, Ms. Richter explained to Gabriel and Eida the effect of the </w:t>
      </w:r>
      <w:r>
        <w:rPr>
          <w:rFonts w:ascii="arial" w:eastAsia="arial" w:hAnsi="arial" w:cs="arial"/>
          <w:b/>
          <w:i/>
          <w:color w:val="000000"/>
          <w:sz w:val="20"/>
          <w:lang w:val="en-US" w:eastAsia="en-US" w:bidi="ar-SA"/>
        </w:rPr>
        <w:t>WVA</w:t>
      </w:r>
      <w:r>
        <w:rPr>
          <w:rFonts w:ascii="arial" w:eastAsia="arial" w:hAnsi="arial" w:cs="arial"/>
          <w:color w:val="000000"/>
          <w:sz w:val="20"/>
          <w:lang w:val="en-US" w:eastAsia="en-US" w:bidi="ar-SA"/>
        </w:rPr>
        <w:t>. She told them that if Alex challenged their wills, they would not be in a position to express their views, and should consider keeping notes as to their reasons for the disposition of their assets to Viviane.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Gabriel and Eida told Ms. Richter they already held some of their assets jointly with Viviane. Ms. Richter confirmed that assets held jointly with Viviane would, upon their deaths, likely roll over to Viviane rather than passing to their estate. Ms. Richter recalled that following the discussion about the </w:t>
      </w:r>
      <w:r>
        <w:rPr>
          <w:rFonts w:ascii="arial" w:eastAsia="arial" w:hAnsi="arial" w:cs="arial"/>
          <w:b/>
          <w:i/>
          <w:color w:val="000000"/>
          <w:sz w:val="20"/>
          <w:lang w:val="en-US" w:eastAsia="en-US" w:bidi="ar-SA"/>
        </w:rPr>
        <w:t>WVA</w:t>
      </w:r>
      <w:r>
        <w:rPr>
          <w:rFonts w:ascii="arial" w:eastAsia="arial" w:hAnsi="arial" w:cs="arial"/>
          <w:color w:val="000000"/>
          <w:sz w:val="20"/>
          <w:lang w:val="en-US" w:eastAsia="en-US" w:bidi="ar-SA"/>
        </w:rPr>
        <w:t>, Gabriel and Eida decided to leave 30% of the residue of the estate to Alex. Again, according to Ms. Richter, the reason they expressed for doing so was their fear that Alex would fight with Viviane over the estate.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Ms. Richter's notes of her initial meeting with Gabriel and Eida in 1992 read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and Mrs. Mordo do not have a close relationship with their son. He causes them ongoing heartache. Both were very emotional, tears when speaking of him. He has money, he spends loosely. Their daughter works hard and is supportive of them. They do not want their son to receive anywhere near as much as their daughter.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On December 2, 1992, both parents signed general powers of attorney in favour of Viviane. They also executed mirror wills. Under the wills, their home on West 52nd Avenue was to devolve to Viviane. Of the remainder of their estate, 70% was to devolve to Viviane and 30% to Alex. At the time, the remainder of the estate consisted of the Warehouse which, by the time of Eida's death, was worth approximately $960,000.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Following the meeting with Ms. Richter, Eida began writing letters and notes designed to leave a record as to her reasons for settling her estate as she did. Eida clearly took Ms. Richter's advice literally. Many of the notes are addressed to "the Honourable Mr. Justice --". All the notes are written in florid prose. They contain numerous complaints about Alex, dating from his university days in Vienna, and praise for Viviane and her ongoing support for her parents.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On June 1, 1993, Gabriel and Eida met with Gary Wilson. Mr. Wilson was called to the bar in this province in 1976 and his practice is in the area of estate planning, estate administration and probate. Gabriel and Eida wished to discuss estate planning issues with Mr. Wilson. In addition, they were in the process of buying a condominium and wanted Mr. Wilson's firm to act on the conveyance.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Mr. Wilson's notes of the June 1, 1993, meeting state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Meeting with Mr. Gabriel Mordo and Mrs. Mordo and daughter, Viviane Nitting. Problem with son. Son saw father's will and displeased with provision made for him. He is financially well off. Objective-avoid litigation, re parent's wills. Assets: warehouse on 5th Avenue in both names as joint tenants; residents in both names as joint tenants being sold, moving to apartment in Kerrisdale (to be purchased), house on the market, offer on apartment accepted, bridge financing arranged; chequing account, savings account at TD bank to be changed to Royal Bank in both names, in joint names. Also, Viviane is on the account. Viviane writes cheques, pays bills, looks after management of warehouse for her parents ... Household articles: jewellery, Persian carpets, silverware. Daughter always helped parents and brother. Mrs. Mordo has kept diary of incidents with son. Mr. and Mrs. Mordo would like to purchase apartment in their and their daughter's names as joint [tenants]. Warehouse would be divided 70% to Viviane and 30% to son. Mr. and Mrs. Mordo are French, speak six languages, but have limited fluency and understanding of English. Not sophisticated but very clear minded. They clearly wish to benefit their daughter (spoke with them for about one-half hour without Viviane in the room) more than their son. No undue influence. They are very definite in their thinking.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Recommendations:</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Purchase apartment in joint tenancy with daughter;</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Safekeep wills, including previous wills, which also make unequal provision for son and daughter and state why, and diary.</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Keep bank accounts joint with daughter with notation on bank card that gift intended.</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Sell 70% of warehouse to Viviane for appraised value on agreement providing for payment of price over five years. Take reserve re capital gain. Use lifetime capital gains exemption. Forgive each year's payment of price. Assuming either of Mr. and Mrs. Mordo live for five years, estates would have only a 30% interest in warehouse to pass by wills and subject to WVA.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Mr. Wilson explained to Gabriel and Eida that by putting the condominium in joint tenancy, they were making a present gift to Viviane of an interest in the property. As such, Viviane would be a co-owner. Mr. Wilson explained that as an asset held jointly by Viviane, the condominium was at risk to claims by creditors and a matrimonial claim should her marriage break down. He told them that, by operation of law, on the death of any one of the three co-owners passed, title to the property would pass to the surviving co-owners. Mr. Wilson said Eida and Gabriel appeared to understand his advice.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Mr. Wilson also explained to Gabriel and Eida the effect of having placed their bank and investment accounts in their names jointly with Viviane. He told them the legal effect of the joint accounts was that they had made a gift of an interest in the accounts such that, on the death of one or more of the joint account-holders, the surviving account-holder(s) would own the funds in the accounts.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As they had confirmed in their discussions concerning the joint accounts with Ms. Richter, Gabriel and Eida confirmed with Mr. Wilson their intention to gift the accounts to Viviane.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In the latter part of June of 1993, Gabriel and Eida completed the purchase of a condominium on Balsam Street in Vancouver (the "Condominium"). They instructed Mr. Wilson's firm to place title to the Condominium jointly in the names of Gabriel, Eida and Viviane. Viviane provided her Canada Savings Bonds as collateral to assist in bridge financing while her parents' home was on the market. She signed the mortgage on the Condominium as a joint owner, and became an active member of the Strata Council.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Soon after the purchase of the Condominium, Alex conducted a title search on the property and discovered that it was held in joint tenancy by Gabriel, Eida and Viviane. He testified that he felt cheated because, in his view, his sister had two or three houses given to her in her lifetime. He expressed his views to his parents.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Relations between Alex and his parents were strained for some time after the purchase of the Condominium in 1993.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However, Alex was doing well financially by 1993. The Company was prospering. The mainstay of the Company's business eventually became the importing of bicycles. Alex designs private label bicycles for retailers such as Costco, Canadian Tire and Sportchek. Once he has designed the "specs" for the bicycles, he contracts with manufacturers in China to build them and ship them to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In October of 1993, Alex bought a waterfront home on Point Grey Road in Vancouver. He paid $1,325,000 for the home, and renovated it extensively. He purchased or leased several expensive cars.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In 1993, Edmond Minasyan, a childhood friend of Alex from his days in Turkey, visited Vancouver. Edmond's parents had been close friends of Alex's parents in Turkey. Alex told Edmond of his difficulties with Gabriel and Eida, and his fear that they had disinherited him in favour of Viviane.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Mr. Minasyan testified at trial. He said Alex was distressed by the treatment at the hands of his parents, and, as a result, Mr. Minasyan decided to intervene on Alex's behalf. He paid a visit to the Mordo home. Mr. Minasyan testified that although he had not seen Gabriel and Eida for many years, he raised the issue of Alex's inheritance in the course of the visit. He testified that Gabriel assured him equal provision had been made in his will for his two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In 1994, Alex told Gabriel he required a formal release from him acknowledging that Alex had paid the amounts due under the 1983 buyout. Alex said his father's reaction was surprise and dismay that Alex did not trust him.</w:t>
      </w:r>
      <w:r>
        <w:rPr>
          <w:rFonts w:ascii="arial" w:eastAsia="arial" w:hAnsi="arial" w:cs="arial"/>
          <w:sz w:val="20"/>
          <w:lang w:val="en-US" w:eastAsia="en-US" w:bidi="ar-SA"/>
        </w:rPr>
        <w:cr/>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1996: Gabriel's death and Eida's 1996 Will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In January of 1996, Gabriel suffered a stroke. He was hospitalized for about three weeks. Thereafter, he was intermittently at home and in hospital. He required oxygen during this time. Eida was also ill, having suffered a fall. The couple had nursing care at home. Viviane was responsible for co-ordinating her parents' in-home care and visited them daily throughout this period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Clemencia Hernandez was a housekeeper employed by Gabriel and Eida. She testified that in the months before Gabriel's death, he required oxygen while at home. The oxygen cylinder was replaced on a weekly basis. On one occasion, Gabriel ran out of oxygen before the cylinder was due to be replaced. The home-care nurse told Eida that arrangements had to be made for the delivery of more oxygen. Eida, who was ill at the time, asked Ms. Hernandez to call Viviane. Ms. Hernandez called Viviane at work but could not reach her. Eida then told Ms. Hernandez to call Alex. Ms. Hernandez did so. She testified that she spoke directly with Alex, who told her that the arrangements for oxygen were Viviane's responsibility. Ms. Hernandez related to Eida her conversation with Alex. Viviane was eventually contacted, and she brought the oxygen.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Alex testified that he visited his father regularly during his last hospitalization in 1996. He said he recalled his father requiring oxygen in hospital, but did not recall him requiring it when at home between hospitalizations. Alex did not recall a telephone call from Ms. Hernandez about a problem with Gabriel's oxygen while being cared for at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Gabriel died in late April of 1996. In accordance with his will, his entire estate passed to Eida.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Shortly after Gabriel's death, Alex approached Eida with the suggestion that he loan her $200,000. He made the offer, he said, because Eida was always expressing her concern that she would not have enough money to live comfortably for the rest of her life. Alex proposed that Eida provide him with a promissory note that would ensure he was repaid the money from her estate when she died. Eida refused Alex's offer.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Ms. Richter was involved in the administration of Gabriel's estate. In order to minimize the cost of estate administration, Ms. Richter asked both Viviane and Alex to consent to the transmission of Canada Savings Bonds in their parents' investment portfolio to Eida. With the transfer, probate of Gabriel's will, with its attendant costs, would not be necessary. Alex signed the transfer form on June 7, 1996. However, he noticed upon reviewing the form later that it stated Gabriel's will was appended. The will had not been appended to the form. Alex saw this as an opportunity to see his father's will and what, if any, provision it made for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Alex told Eida he wanted a copy of Gabriel's will. Eida became angry. According to Alex, her anger was "like Mount St. Helens erupting". Eida refused to produce the will. Alex then instructed his legal counsel, Howard Shapray, to send a letter to Ms. Richter advising that the consent form Alex had signed was invalid unless he was provided with a copy of the will. Mr. Shapray's letter was sent on June 12,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Eida maintained her refusal to provide the will. According to Ms. Richter, Eida was afraid that providing the will to Alex would "inflame things", and was upset that Alex would retain legal counsel in an attempt to extract the will from her despite her clear indication that she did not wish to produce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In the face of his mother's refusal to produce the will, Alex instructed Mr. Shapray to send another letter on June 17, 1996. That letter requested the return of the Canada Savings Bonds transfer forms "until the issue between Mr. Mordo and his mother has been resolved to our satisfaction."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Ms. Richter testified that she explained to Eida the difficulty presented by Alex's position. If Alex did not consent to the transfer of the bonds, Eida would be forced to probate the will at considerable cost. In the course of probating the will, Alex would obtain a copy of it. As a result of this advice, Eida reluctantly agreed to provide Gabriel's will to Alex. According to Ms. Richter, Eida was very upset by Alex's insistence on seeing the will. She was also angry that he had retained legal counsel to write letters threatening her with the withdrawal of his consent to the transfer of the bonds, particularly at a time when she was struggling with grief over Gabriel's recent death.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At some point following Gabriel's death, Eida accessed the couple's safety deposit box. She read the letter Gabriel had written in 1984, describing the affect on him of Alex's buyout of Gabriel's interest in the Company and the firing of Viviane shortly thereafter.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Eida met with Ms. Richter several times in May and June of 1996. A note to file by Ms. Richter dated June 20, 1996, states, in part,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Had several meetings with Mrs. Mordo in May/June 1996 both at her home and at our office. After her husband died, she said her son started coming around-being suddenly nice to her. She doesn't trust her son. He has caused much heartache to her and had to her husband. Prior to her husband's death, her husband had mentioned to her many times that he did not want the son to have anything and that he had reluctantly left him 30% but wanted to change it. Mr. Mordo was just too sick to come to our office to do so and the will did not get changed. But he told his wife he did not want her leaving anything to the son. Their daughter has been wonderful to them - they both wanted all to go to the daughter. Mrs. Mordo changed her will to leave all to their daughter. She said their daughter had worked very hard and cared for them. She said no matter what they do, their son will contest their wills, likely, so why shouldn't they leave their estate to their daughter because that is what they want. All is set up joint with their daughter except the commercial building and some bonds. She said she and her husband had seen a C.A. regarding adding their daughter's name to the building but there were tax ramifications so they did not proceed. Ideally they wanted their daughter's name jointly on all so their son could not contest, and they changed what they could. Their son has a lot of money, he spends money all over, he does not need their money.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At trial, Ms. Richter testified that Eida told her that she did not understand why Canada had wills variation legislation, that she was afraid of what Alex might do to challenge her will, and that she did not want Alex to have any of her estate.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In her will executed on July 22, 1996, Eida provided nothing for Alex. In the text of the will, she stated her reasons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WISH it clearly understood, and I HEREBY DECLARE, that I have not enjoyed a close relationship with my son, ALEXANDER MORDO. He has caused me much heartache over the years. He has sufficient assets and income in his own right to adequately take care of his own financial needs now and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Ms. Richter recommended that Eida swear a statutory declaration setting out her reasons for making no provision in her will to Alex. Eida swore the declaration on July 25, 1996. It is quite lengthy, but sets out in considerable detail Eida's reasons for leaving her entire estate to Viviane. For that reason, I will reproduce most of it: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EIDA MORDO, Homemaker ... make this sworn statement to set out under oath my decision not to leave my son, Alexander Mordo ("Alex") any part of my estate.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husband and I had years of heartache and disappointments from our son Alex. We received no gratitude from Alex for the hundreds of thousands of dollars he received from us over the years.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fact, he has treated us with contempt for most of his life. Nothing we have done for him has ever been enough for him. He has taken from us and taken from us shamelessly. We paid to educate him and paid his living expenses while he studied. Alex had signing authority on our Swiss bank account and withdrew large sums of money. The representative of the bank, out of concern for us, advised us this was occurring so that it could be stopped before there was nothing left. When we came to Canada, Alex assured us he would be different.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husband invested over $100,000.00 in a business Alex started in Canada with my husband. He used the money for approximately ten years and made sure that we received no interest, dividends or profits from the business. Alex treated my husband like an "imbecile". He said to my husband that my husband did not know how to do business in Canada.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They fought and fought and fought. He caused my husband so much suffering and heartache. I cannot forgive him for this.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Prior to my husband's death, my husband was very sick. He wanted to change his Will and leave Alex out completely. He had only included Alex because of the concern that Alex may challenge the Will. He was not well enough to go to the lawyer's office to change his Will and he died before he could change his Will. Prior to my husband's death, my husband told me over and over that nothing is to go to our son. After my husband died, I found the attached letter in the Safety Deposit Box written by my husband in which my husband refers to some of Alex's actions and the anguish he caused my husband and me over the years.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daughter has been the one who has cared for my husband and me and treated us with love and respect. My daughter is the one who has been there for me since my husband died and was there for my husband and me prior to my husband's death. She calls me every day at least once a day. She comes by my apartment to make sure I am alright almost every day, morning and evening. She has worked hard all her life and I wish my estate to go to her with nothing to my son.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husband and I arranged our estate such that we held most of our assets jointly with each other and with our daughter jointly because we wanted all of our assets to go to our daughter upon the death of both my husband and myself. We did not re-register the commercial building jointly with our daughter because there were income tax complications, but it had always been the wish of my husband and myself, and now is my wish, that the commercial building go to my daughter with no part of it to my son.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not close to my son, I do not trust him. I am always wondering what he is planning to do next. Even after my husband died and I needed him to sign a form so that the Canada Savings Bonds could be provided to me without having to probate my husband's Will, my son, after signing the form, then insisted that the form not be used until he was provided with a copy of my husband's Will. He insisted, even though my husband left all of his estate to me and it was not my wish that he receive a copy of my husband's Will, and my son knew this.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son has more than sufficient money to look after himself. He does not need anything from me to look after himself and he does not deserve anything.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Appended to the statutory declaration was Gabriel's 1984 letter.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It was Ms. Richter's evidence that Viviane attended none of the meetings with Eida. Ms. Richter met Viviane on only one occasion in 1996 when she brought Eida to a meeting at the law firm. Viviane did not sit in on the meeting. It was Ms. Richter's view that Eida was a strong-willed and independent person entirely capable of making her own decisions about her estate.</w:t>
      </w:r>
      <w:r>
        <w:rPr>
          <w:rFonts w:ascii="arial" w:eastAsia="arial" w:hAnsi="arial" w:cs="arial"/>
          <w:sz w:val="20"/>
          <w:lang w:val="en-US" w:eastAsia="en-US" w:bidi="ar-SA"/>
        </w:rPr>
        <w:cr/>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1996: The Investment Accounts, Deed of Gift and Warehouse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In June of 1996, Eida decided to move the investments previously held with the TD Bank to a new investment account with RBC Dominion Securities. The account was opened in the joint names of Eida and Viviane. The representative of RBC Dominion Securities, Mr. Wolfe, discussed with Eida the effect of the joint nature of the investment account. He provided Eida and Viviane, for their signatures, a document entitled "Joint Account Agreement (with right of survivorship)".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Paragraph 2 of the document states that each signatory, acting alone "will have the full power and authority to operate the Account ..." without notice to, or permission of, the other account-holder. Paragraph 4 states, in bold print: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[U]pon the Customer's death, all of the Customer's interest in and to any monies or Securities in the Account shall pass to the surviving Customers and the surviving Customers, or any of them, may operate the Account in the manner provided in section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On August 28, 1996, Eida and Viviane met with Mr. Wilson. Although Viviane accompanied her mother, Mr. Wilson recalled that Eida did most of the talking. Mr. Wilson's notes of the meeting state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Met with Eida Mordo and Viviane Nitting. Assets: house joint with daughter Viviane Nitting, joint bank accounts with daughter, jewellery, warehouse. Testamentary objective: entire estate to daughter, disinherit son Alexander Mordo. Advice: deed of gift re jewellery (described in attached excerpt from previous will). Delivery of jewellery to Viviane for her to place in her safety deposit box. Warehouse: transfer into joint tenancy. Need tax cost - (adjusted cost base) - to determine capital gain.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Mr. Wilson recalled Eida telling him that she and her husband had previously executed wills with Mary Richter, and that she had recently executed a new will disinheriting her son Alex. The focus of this meeting was the transfer of the Warehouse. Mr. Wilson advised Eida that he would look into the issue of capital gains on its disposition. He recalled that his discussions were, in the main, with Eida. According to Mr. Wilson, Eida was a very outspoken lady. In his words, "She spoke her mind and she made herself very clear in terms of what she wanted and how she felt about things." He saw no signs of any influence being exerted by Viviane over her mother.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Mr. Wilson determined that the capital gain taxes on a transfer of the Warehouse into joint tenancy would be significant. He then looked into the implications of an estate freeze, which would involve incorporating a holding company and taking back preferred shares in Eida's name for the value of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Eida left Vancouver on a trip shortly after the August 28 meeting. On September 18, in Eida's absence, Mr. Wilson contacted Viviane about the results of his inquiry into the possible transfer of the Warehouse. He described the cost implications and the complex nature of the estate freeze option. Viviane's response was that she did not want to complicate her mother's life with that type of plan. She told Mr. Wilson not to proceed further with the transfer.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Mr. Wilson testified that Eida, not Viviane, was his client, and that Viviane merely assisted Eida where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Mr. Wilson prepared the Deed of Gift for the jewellery because Eida had indicated during the August 28 meeting that she wanted to make the gift to Viviane. His evidence concerning the matter was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proceeded to prepare the deed of gift of the jewellery, which I had recommended to Mrs. Mordo in my August 28th meeting with her. You'll appreciate that what I was doing there is, in looking at her assets and her -- what she identified to me as her testamentary objective of leaving her entire estate to her daughter, looking at the assets, the house or the condo was already joint with her daughter. The bank accounts were joint with her daughter. It was only the jewellery and the warehouse which were still in her name, which would be problematic in terms of ensuring that the entire estate went to her daughter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(Transcript, June 21, 2006, G. Wilson, In chief, pp. 37 - 38, lines 37 - 47, 1 - 3)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The Deed of Gift prepared by Mr. Wilson was dated October 9, 1996. Mr. Wilson explained to Eida that the effect of the document was to make a present gift of her entire interest in the property described in the Deed of Gift, and that upon Viviane's acceptance, it would be a completed gift. Both Eida and Viviane signed the document.</w:t>
      </w:r>
      <w:r>
        <w:rPr>
          <w:rFonts w:ascii="arial" w:eastAsia="arial" w:hAnsi="arial" w:cs="arial"/>
          <w:sz w:val="20"/>
          <w:lang w:val="en-US" w:eastAsia="en-US" w:bidi="ar-SA"/>
        </w:rPr>
        <w:cr/>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1997 - 2000: Eida's relationship with Alex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In April of 1997, Alex married his current spouse. He did not invite any of his family to the wedding. In October of 1997, Alex's spouse had a surprise birthday party for Alex, who was celebrating his 50th birthday. Eida was invited to the party but did not attend. Viviane's daughter, Galia, also did not attend, although she too, was invited. Viviane was not invited.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Alex said that between 1997 and 1999, he visited his mother periodically when he was not travelling. He occasionally had her over to his house for barbecues, or took her for dinner to her favourite Italian restaurant. Alex's next door neighbour testified that he saw Alex's mother and father visiting from time to time, and that Alex sometimes spoke to the neighbour, a physician, about his mother's health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Khairoon Abdul Quadir testified that she first began working for Gabriel and Eida in 1996. She looked after Gabriel Mordo for about a month before his final hospitalization in 1996. Ms. Quadir had retired from the civil service and was working as a reflexologist when she met the Mordo family. She looked after Gabriel during the week while Viviane was at work. Eida was in hospital at the time with a hip injury. She saw Alex only once during that time, when he dropped by one day for lunch.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Ms. Quadir recalled that she was performing reflexology one evening with Gabriel when he told her he was feeling quite sad and upset about the fact that his son, Alex, did not visit him more often.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After Gabriel died, Ms. Quadir was hired as a companion for Eida. She was with Eida from Thursday through to Monday each week, from 9:00 a.m. to about 8:00 p.m., with a two or three hour break in the afternoon while Eida played bridge or visited friends. She was with Eida for at least two years after Gabriel's death.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Ms. Quadir said Eida quite often said she felt neglected by her son. Eida complained that while Alex called her from time to time, he seldom visited her. Ms. Quadir never saw Alex during the time she was employed by Eida in the two years after Gabriel's death.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Eida told Ms. Quadir she was quite concerned about a dispute between Alex and Viviane about Eida's estate after she passed away. She asked Ms. Quadir to testify in the event a dispute over her assets did arise after her death.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In 1999, after Ms. Quadir no longer worked for Eida, Parin Shariff was hired to be Eida's companion. She was with Eida every Wednesday through Saturday. Ms. Shariff continued working that schedule until Eida died in 2002. Ms. Shariff had her own vehicle and drove Eida anywhere she wished to go.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Ms. Shariff saw Viviane on a consistent basis. Eida told Ms. Shariff that Viviane looked after her and had always been there for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Ms. Shariff said that Alex visited his mother on two or three occasions during the time Ms. Shariff worked for Eida. On one of those occasions, Alex took Eida and Ms. Shariff to a restaurant for lunch.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Ms. Shariff described Eida as an intelligent and alert woman with a mind of her own. She was a very active woman for her age. She took great pride in her appearance and her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Clemencia Hernandez worked for the Mordo family from 1989 until Eida died. She spent most Tuesdays and Wednesdays cleaning Eida's home. She also worked for Viviane and Bjorn. Ms. Hernandez said she rarely saw Alex between 1989 and 2000. She did not see him at all between 2000 and Eida's death in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In August of 1998, Eida attended at Ms. Richter's office and requested a living will. Ms. Richter drafted it for her. In each of her meetings with Ms. Richter, Eida spoke of her strained relationship with Alex.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In the years after making her statutory declaration in July, 1996, Eida occasionally came to Ms. Richter's office on an informal basis for social visits, often bringing the staff a cake she was fond of baking. On some of those visits, she dropped off notes she had prepared and asked that they be placed in her file.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On a visit in April of 1999, however, Eida wanted to swear another statutory declaration. She told Ms. Richter that in the three years since Alex had seen his father's will, he had not visited her or offered her assistance. Eida recounted that Alex had remarried in April of 1997, but did not invite her to the wedding or tell her about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Eida's statutory declaration, sworn April 7, 1999, states the following:</w:t>
      </w:r>
      <w:r>
        <w:rPr>
          <w:rFonts w:ascii="arial" w:eastAsia="arial" w:hAnsi="arial" w:cs="arial"/>
          <w:sz w:val="20"/>
          <w:lang w:val="en-US" w:eastAsia="en-US" w:bidi="ar-SA"/>
        </w:rPr>
        <w:cr/>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My husband passed away three years ago and after his death my son, ALEXANDER MORDO, who had had a strained relationship with my husband and myself for many years before my husband's death, was in contact with me a few times.</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My said son insisted on having a copy of my husband's Will and after he was provided with the same, he stopped all contact with me both by telephone and in person.</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My daughter has cared for me during this time.</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either comes by or telephones me on a daily basis.</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During the last couple of years I have had health problems and my daughter has assisted me and looked after me throughout this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Eida was hospitalized in April of 2000 for approximately six weeks. Viviane went to the hospital every day to bring her mother meals and oversee her care. Alex could not recall whether he visited his mother in the hospital during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Following her hospitalization, Eida returned home. Ms. Shariff and Ms. Hernandez continued to work for Eida, and Viviane remained involved in her mother's life and care. From the perspective of her caregivers, Eida was managing well at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Alex testified that on several occasions in and around 2000, he told Eida that she should divide her estate equally among Gabby, Viviane, and Galia. He made clear to Eida that if she did not divide her estate in this manner, he may challenge her will.</w:t>
      </w:r>
      <w:r>
        <w:rPr>
          <w:rFonts w:ascii="arial" w:eastAsia="arial" w:hAnsi="arial" w:cs="arial"/>
          <w:sz w:val="20"/>
          <w:lang w:val="en-US" w:eastAsia="en-US" w:bidi="ar-SA"/>
        </w:rPr>
        <w:cr/>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2000: Alex's offer of the car and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In July of 2000, Alex decided to provide Eida with a Jaguar car and a driver. According to Alex, his mother was depressed at her lack of mobility. She could not drive her car, and had little opportunity to go out. Alex said Eida told him she had a falling out with Viviane because Viviane suggested Eida should move into an extended care facility.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At about the same time, Alex reiterated to Eida his position that she should divide her estate equally among Gabby, Galia and Viviane. At the time, Alex saw the proposal (in his words) "as a kind of rapprochement" with his mother. He told her that she could achieve peace in the family if she acquiesced to his 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It was Alex's evidence that he approached Eida with his plan to lease a Jaguar and provide her with a driver who would also be her personal assistant. He said he told Eida he would pay the cost of the car and driver but expected to be repaid from her estate after her death.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According to Alex, Eida's initial response was that she did not need a car and driver. However, on the same day he made the offer, she decided to accept it on the terms he had stipulated.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In cross-examination, Alex acknowledged that he did not discuss the cost of the car and driver on the day they made their agreement about it. Alex himself did not know the cost at that time. He had no reason to believe Eida would know the cost of leasing the Jaguar and paying a driver, but said he thought the cost per month would be "a few thousand dollars". Alex testified that he understood Eida would give instructions to Viviane to reimburse Alex out of Eida's estate.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The Company entered into a two year lease for the Jaguar. Alex said he contacted a friend, Daniel Moskovsky, who ran a limousine business. Alex told Mr. Moskovsky he "needed a favour". He explained that he wanted to hire a driver for his mother, and said he would pay Mr. Moskovsky whatever amount he earned from his limousine business. Mr. Moskovsky told Alex he earned approximately $4,000 per month working a four day week. Alex agreed to pay him that amount to work Monday through Thursday for Eida.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Mr. Moskovsky was paid $250 per day, but not by Alex. The car and driver expenses were paid by the Company. Mr. Moskovsky presented invoices for his hours and other expenses to the Company's accountant, and received a Company cheque on a bi-weekly basis as reimbursement. There was no written agreement between Mr. Moskovsky and the Company (or Alex) with respect to the terms of his employment. Alex said it was a "handshake agreement" whereby Mr. Moskovsky would be employed for at least until the two year lease on the Jaguar expired.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The total cost of the car and driver was approximately $6,000 per month.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The arrangements for the Jaguar were in place by early August of 2000. Mr. Moskovsky had previous commitments until August 22, 2000, and arranged to have his son fill in as driver for a couple of weeks prior to August 22. Eida soon discovered that she enjoyed being chauffeured about. Mr. Moskovsky took Eida and Ms. Shariff on excursions to places such as Whistler, White Rock and Bellingham.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At the time Alex provided the car and driver Ms. Shariff was also working four days per week for Eida. She continued to do so. Ms. Shariff had previously driven Eida to her various destinations, but ceased doing so after Mr. Moskovsky was hired. Ms. Hernandez continued working for Eida two days per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Eida did not tell her caregivers that Viviane had spoken to her about moving into a nursing home. They were not aware of any disagreement between Viviane and Eida in July of 2000 concerning a nursing home. Viviane denied ever making such a suggestion to her mother. Ms. Hernandez testified that Viviane appeared committed to keeping Eida at home in the Condominium.</w:t>
      </w:r>
      <w:r>
        <w:rPr>
          <w:rFonts w:ascii="arial" w:eastAsia="arial" w:hAnsi="arial" w:cs="arial"/>
          <w:sz w:val="20"/>
          <w:lang w:val="en-US" w:eastAsia="en-US" w:bidi="ar-SA"/>
        </w:rPr>
        <w:cr/>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2000: Eida's will and the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On August 21, 2000, Viviane and Bjorn went to see Mr. Wilson. Viviane's evidence was that she wished to discuss the issue of a cheque written on the joint bank account with her mother that had been returned to her as a "stopped payment". The cheque, which was in the amount of $13, was payable to the organization for which she worked.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In fact, the bank did not stop payment on the cheque until August 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Mr. Wilson had a vague recollection of a discussion with Viviane about a cheque with a stop payment' on it, which may have occurred at the meeting or in a telephone conversation at about the time of the meeting. However, his understanding of the purpose of the meeting was Viviane's concern that Alex would challenge his mother's will. Viviane was concerned about litigation over the estate. She also expressed concern that her brother was suddenly back in his mother's life after having little contact with her since their father's death, and was now providing a car and driver for their mother. She was concerned about her brother's motives.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Mr. Wilson's notes of the meeting with Viviane read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Father died in '96, Gabriel Mordo, mother Eida Mordo, daughter Viviane Nitting, son Alexander Mordo. Mother's assets: apartment joint with Viviane, bank account joint with Viviane, warehouse sole name. Concerned re brother (Alexander's) influence on mother. Both father and mother have issues with brother. Viviane also has issues with her brother. Brother likely to challenge mother's will.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Mr. Wilson told Viviane that it had been four years since he had reviewed Eida's estate plan with her. He thought a review of the estate plan with Eida was overdue, and offered to meet with her about it. Viviane told Mr. Wilson she was about to leave town on a holiday, so he offered to arrange the meeting with Eida.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Mr. Wilson testified that he did not discuss with Viviane any specifics about Eida's estate plan or any recommendations he might make to Eida when he met with her. He said he would not have had such a discussion with Viviane in Eida's absence. He discussed the estate plan, including any disposition of the Warehouse, only with Eida.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Mr. Wilson met with Eida on August 29, 2000, while Viviane was still away from Vancouver on vacation. Mr. Wilson's notes, which he took during the meeting, read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Meeting with Mrs. Mordo. 267-0099. After husband died, son Alexander [did] not see her for four years. Then he called to see her. Wanted to buy a car and provide a driver. "Enjoy rest of your life." But she doesn't want it. Provided it anyway. She is age 82. She is now quite fond of the driver, Danny (age 52). Before [her] husband died, son fought with husband all the time. He was very "nasty" to his father. Son wants her to split her estate equally between Viviane, Viviane's daughter and his son, but she doesn't want to. Alexander's son is wealthy, doesn't need money. Son is very wealthy. Wants to leave everything to Viviane. Daughter works very hard. Her health is not good. Viviane can provide, save for her daughter.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Assets: apartment ... Purchased in names of husband, her name and Viviane's as joint tenants. Bank account, Royal Bank ... joint with Viviane. Warehouse in her sole name. Her son will "fight" any estate plan that he doesn't like or [that] doesn't divide her estate as he wants it divided. Viviane has also worked hard and helped her, helped with [the] management of [the] warehouse. She has written in French an account of what happened between her husband and her son - is in safety deposit box. Has given $45,000 to granddaughter to buy a car.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Recommendation - alter ego trust to hold warehouse, will - state reasons for provisions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Mr. Wilson testified that, early in the meeting, Eida told him her son had not seen her since her husband's death. Then, recently, he had come to her with the offer of a car and driver, telling her to "enjoy the rest of her life". Eida told Mr. Wilson that she did not really want the car and driver, but they were provided anyway, and now she was quite enjoying having them. She indicated that she "quite liked" the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Mr. Wilson did not recall Eida mentioning, in the August 29, 2000, meeting, Gabriel's 1984 letter which Eida had read shortly after Gabriel's death. Eida had mentioned that letter when she saw Mr. Wilson in 1996, but not thereafter. Mr. Wilson recalled that during the August 29, 2000, meeting, Eida was feeling somewhat remorseful about the past relationship with her son, particularly now that he had re-established contact and given her the car and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Mr. Wilson did not recall Eida saying during the August 29, 2000, meeting that Alex had made a suggestion as to the division of her estate in order to resolve his concerns about the estate. According to Mr. Wilson, Eida simply said Alex wanted her to divide her estate equally among his son, Viviane's daughter, and Viviane. Eida told Mr. Wilson, as she had on earlier occasions, that she believed Alex would fight if she did not divide her estate in the manner Alex wanted. Eida told Mr. Wilson she did not wish to divide her estate in that manner. She wanted to leave her assets to Viviane because she had done so much for Eida; Alex was wealthy and did not need any inheritance.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Mr. Wilson testified that he had a lengthy discussion with Eida in the course of reviewing her present estate in order to determine her objectives for her assets when she passed away. They discussed the Deed of Gift concerning the jewellery that Eida had executed in 1996. Mr. Wilson pointed out that she could also make a gift in her lifetime by placing her property in joint tenancy, as had been done with the Condominium and the bank accounts. Mr. Wilson explained that as the Condominium was in joint tenancy with Viviane, it would pass outside her will and be protected from any challenge Alex might make against her estate. Similarly, he explained that as the bank accounts were held jointly with Viviane, they too would pass outside the will and be protected from any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The only asset that was not held jointly with Viviane was the Warehouse. In light of Eida's objective to leave her entire estate to Viviane, Mr. Wilson recommended that she establish an "alter ego" trust to hold the Warehouse.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xml:space="preserve">  Mr. Wilson explained the nature of the Trust to Eida in the course of their meeting. He emphasized that the Trust would hold the property for Eida's lifetime, and she would be entitled to the income and capital during her lifetime. When she passed away, the terms of the Trust would provide for the passing of the property to Viviane. As such, the Warehouse, as with the Condominium and joint accounts, would not form part of her estate passing by her will or be exposed to potential </w:t>
      </w:r>
      <w:r>
        <w:rPr>
          <w:rFonts w:ascii="arial" w:eastAsia="arial" w:hAnsi="arial" w:cs="arial"/>
          <w:b/>
          <w:i/>
          <w:color w:val="000000"/>
          <w:sz w:val="20"/>
          <w:lang w:val="en-US" w:eastAsia="en-US" w:bidi="ar-SA"/>
        </w:rPr>
        <w:t>WVA</w:t>
      </w:r>
      <w:r>
        <w:rPr>
          <w:rFonts w:ascii="arial" w:eastAsia="arial" w:hAnsi="arial" w:cs="arial"/>
          <w:color w:val="000000"/>
          <w:sz w:val="20"/>
          <w:lang w:val="en-US" w:eastAsia="en-US" w:bidi="ar-SA"/>
        </w:rPr>
        <w:t xml:space="preserve"> claims. Mr. Wilson again explained the effect of the </w:t>
      </w:r>
      <w:r>
        <w:rPr>
          <w:rFonts w:ascii="arial" w:eastAsia="arial" w:hAnsi="arial" w:cs="arial"/>
          <w:b/>
          <w:i/>
          <w:color w:val="000000"/>
          <w:sz w:val="20"/>
          <w:lang w:val="en-US" w:eastAsia="en-US" w:bidi="ar-SA"/>
        </w:rPr>
        <w:t>WVA</w:t>
      </w:r>
      <w:r>
        <w:rPr>
          <w:rFonts w:ascii="arial" w:eastAsia="arial" w:hAnsi="arial" w:cs="arial"/>
          <w:color w:val="000000"/>
          <w:sz w:val="20"/>
          <w:lang w:val="en-US" w:eastAsia="en-US" w:bidi="ar-SA"/>
        </w:rPr>
        <w:t xml:space="preserve"> to Eida.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Eida accepted Mr. Wilson's advice concerning the Trust and instructed him to proceed with its preparation. She also instructed Mr. Wilson to make two changes to her will: first, to change the executor from Viviane to Mr. Wilson; and, second, to restate the reasons for the provision that she was making for Viviane and Alex. The change in executor was the result of advice from Mr. Wilson that even though steps had been taken to place her assets outside of the will, the will was still an important document in her estate planning. In the event the will was challenged, and there was litigation, the executor would be the one called upon to defend the validity of the will. Mr. Wilson suggested he be appointed executor to avoid putting Viviane in the position of having to defend the will in any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With respect to a restatement of the reasons for the provisions of her will, Mr. Wilson advised Eida that it was important to state, as she had done in her 1996 will, the reasons for the provisions she had made. Mr. Wilson asked Eida whether the reasons she had stated in her 1996 will were still her reasons for the current will provisions. According to Mr. Wilson, Eida expressed regret about the fights between Alex and Gabriel over the Company. However, she told Mr. Wilson the reason she wanted to leave her estate to her daughter was Viviane's care and devotion to Eida and her late husband. She was not leaving anything to Alex because he was wealthy and did not need anything from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On those instructions, Mr. Wilson prepared a new will. He appointed himself executor. He also included a paragraph in the will (paragraph 4.2) stating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DECLARE that I have not made any provision in my Will for my son ALEXANDER MORDO for the reason that he is financially secure. Furthermore, my daughter is deserving of the entirety of my estate in recognition of her many years of devotion, love and care for both myself and her late father. She has been of immeasurable help to me at great sacrifice of her own personal time and without ever asking for or accepting financial reward from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Mr. Wilson also drafted the Trust, titled the "Eida Mordo Alter Ego Trust", using a precedent he had developed for such trusts. Under the terms of the Trust, Eida was the named "Settlor" and Mr. Wilson was the named "Original Trustee". Eida and Viviane were the defined "Beneficiaries". The relevant provisions of the Trust are reproduced in Appendix A to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Mr. Wilson met with Eida again on September 5, 2000, to review with her the documents he had prepared. Eida attended alone, as Viviane was still away on vacation. With them in the meeting was another of the firm's lawyers, Royce Frith. Mr. Wilson asked Mr. Frith to attend for two reasons. First, Mr. Frith was fluent in French, which was Eida's first language. Eida understood English and expressed herself well in English, but Mr. Wilson wanted the presence of counsel who could converse with Eida in French should she feel more comfortable doing so at any point in the discussions. Second, Mr. Wilson wanted another lawyer in his firm to observe Eida for purposes of ensuring she was competent and understood the documents as they were explained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Mr. Wilson took Eida through the provisions of the will, and asked whether it remained her intention to leave her estate to Viviane for the reasons contained in paragraph 4.2. Eida confirmed her intention, and that her reasons were as described in paragraph 4.2.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A memo drafted by Mr. Frith following the meeting recounts the meeting with Eida. The memo states, in part,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Mrs. Mordo confirmed that those were her intentions last week and were still her intentions, but now she was feeling "remorse". She said that her son was being good to her now by providing her with a car and a driver. The driver had told her that a son and a daughter should share equally in their parent's estate.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Mrs. Mordo stated that her son had told her that she should leave her estate 1/3 to Viviane, 1/3 to Viviane's daughter and 1/3 to his son. Her son told her this at the same time that he told her that he was buying a car for her and would hire a driver for her. Mr. Wilson told her that she had to be certain as to her intention and he had to understand what her intention was so that he could prepare the necessary documents to achieve that intention.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was lengthy discussion about her intention during which Mr. Wilson read to her paragraph 4.2 of the Will which he had prepared for her. He asked her if that statement was correct, whether it accurately stated her reasons for leaving all of her estate to her daughter. She confirmed that it was correct and accurate.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In the course of the meeting, Mr. Wilson reviewed the provisions of the Trust. Among other things, he explained that she was the named "Settlor", the person creating the Trust, and Mr. Wilson, as the "Original Trustee", was the person holding the property she was transferring to the Trust. The Trust property, described in Schedule A, was the Warehouse. He went through paragraphs 4.2 and 4.3.2 of the Trust document, explaining that she was the beneficiary for her lifetime, holding a life interest in the property. Upon her death the Trust property would be distributed to Viviane. If Viviane was not then living, the property would go to Viviane's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Mr. Wilson also explained that as the trustee, he would administer the Trust property, but would appoint Viviane to manage the Warehouse as she had done before. He reviewed with Eida the property transfer document, explaining that by signing it, she was transferring legal title to him. Thereafter, the transfer was kept by Mr. Wilson with the other Trust documents for safekeeping. As the trustee, he was the person who was authorized to make the decision as to when the transfer should be registered with the Land Title Office. Until registered, the transfer remained in his possession.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Mr. Wilson testified that he explained to Eida at the time she signed the document that its effect was to transfer legal title to him from the moment of its signing. He told her he could register the transfer at any time, but that to do so now would only incur property transfer tax. He explained that standard practice was to hold the transfer until Eida passed away, at which time it would become necessary to carry out the terms of the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Mr. Wilson prepared for Eida's signature a declaration of trust, which she signed. The declaration indicated that Eida was still the registered owner of the property but that she held legal title in trust for the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As to Eida's intention in making the Trust, Mr. Wilson testified that he understood Eida wanted to receive the income from the property until her death, and, thereafter, wished to have the property pass to Viviane. Eida wished to achieve those objectives without paying more taxes than necessary. Mr. Wilson testified that as far as he was aware, Viviane took no part in the decision to create the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Mr. Wilson's understanding as to the lack of Viviane's involvement in the decision to create the Trust was based on a number of factors. First, he was aware that Viviane was away on holidays throughout the time of the August 29, 2000, and September 5, 2000, meetings with Eida. Second, the Trust was Mr. Wilson's recommendation. Third, Mr. Wilson did not discuss his recommendation with Viviane. Mr. Wilson recalled speaking to Viviane by telephone after her return to Vancouver, at which time he simply told Viviane that he had dealt with Eida's estate plan.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In cross-examination, Mr. Wilson was asked about his explanation to Eida of the effect of paragraph 4.2 of the Trust. Mr. Wilson said he advised Eida that she could call for the Trust Property so long as she was competent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In April of 2001, Eida again visited Mr. Wilson. She wished to make a codicil to her 2000 will in order to provide a gift of $20,000 to Galia. Eida did so, according to Mr. Wilson, simply because she wished to formally recognize her granddaughter in her will. In all other respects, she confirmed the disposition of her assets.</w:t>
      </w:r>
      <w:r>
        <w:rPr>
          <w:rFonts w:ascii="arial" w:eastAsia="arial" w:hAnsi="arial" w:cs="arial"/>
          <w:sz w:val="20"/>
          <w:lang w:val="en-US" w:eastAsia="en-US" w:bidi="ar-SA"/>
        </w:rPr>
        <w:cr/>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2001 - 2002: The Dispute over the car and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In late October, 2001, Eida paid a visit to Alex at his office. The occasion was Alex's birthday. Eida brought Alex an umbrella with a Ferrari logo for his birthday because he drove a Ferrari and was particularly fond of that model of car. At some point during the visit, the issue of payment for Eida's car and driver arose. Alex could not recall why or how the issue arose. He said he reminded Eida that he expected to be reimbursed from her estate. He recalled that Eida became upset, and there was a brief argument. Eida left his office soon thereafter.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Following Eida's visit to Alex, Eida and Viviane made an appointment to see Mr. Wilson. They saw him on November 9, 2001. Mr. Wilson testified that Eida told him she had visited Alex on his birthday, and that Alex told her he expected to be repaid for the expenses related to the car and driver. Eida said she was surprised, as she had understood the car and driver to be a gift from Alex. She said she did not want the car and driver if she was now expected to pay for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Mr. Wilson testified that Eida was also concerned because the driver had told a home care nurse that Eida was forgetful, that she was leaving the gas stove on and was forgetting to take her medicine. Eida was suspicious of the driver's reasons for making those comments. As a result, she had seen her doctor to arrange for a mental capacity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Eida asked Mr. Wilson whether he thought it advisable to send a letter to Alex confirming Eida's understanding that the car and driver were a gift and advising Alex that Eida would not repay him for the expenses. Mr. Wilson advised Eida that a letter should be sent, but that it ought to come from her. He emphasized that she ought to draft the letter in her own words rather than having him draft it for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Eida, with Viviane's help, drafted a letter to Alex. The letter is dated November 27, 2001, and states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write you this letter, because I almost never have the occasion to see you and talk to you alone.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During my last visit to you at the office, when I came to wish you a happy birthday, you talked about the economic state [of the Company] which was going very badly, and you mentioned having to let go about 20 workers. As a mother I went home feeling very uneasy and guilty because of the fact that you make a gift to me of a chauffeur (4 days a week) who costs a fortune. As you know I am a person who has never had a chauffeur all my life and I can continue like this for the rest of my life!!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was because you insisted that I accepted, Daniel the chauffeur as a gift. I have to admit that if it hadn't been a gift I would have never been able to afford it. I thank you from the bottom of a mother's heart!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Now, it is time that you think of yourself; I would not want for anything in the world to be a burden for you, and if you want to and when you want to, you can stop this extravagance. Thank you and thank you again!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Your mother who loves you</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[signed Eida Mordo]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Alex responded by letter dated December 5, 2001. He testified that he did not have any assistance drafting the letter, which states, in part,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read your letter; I had tears in my eyes! It really touched me deeply. I am happy that you enjoy the car and driver that I arranged for you when you were helpless and had a disagreement with your daughter. At that time you needed somebody to look after you, take you shopping or take you to the Doctor and or assist you with any other chores.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I told you many times, any expenses in connection with the car and driver were not intended to be a gift.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Mama, all of us will pass away one day and as I told you after your death I fully expect to get paid from your Estate. That is no hardship to you, nor should it be a source of anxiety for you.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Mama, you are worth between 2 - 3 million dollars. Make the most out of your life while you can, do not worry, spend your money to give yourself pleasure, including having a car and a driver. Take trips and do not feel guilty about it. Whatever you leave in the end will never be enough for everybody, especially if they do not know how to make it themselves. Spend, enjoy, have fun!!!!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Coming back to the chauffeur I will continue paying him until August when the car lease expires. Please keep in mind you are under no obligation to pay anything while you are alive. Needless to say, Mama if you need anything else I will be pleased to do my duty as a 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Eida drafted a response to Alex's letter. Viviane faxed it to Mr. Wilson for his review before sending it to Alex. The letter, dated December 16, 2001, states, in part,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can't say that I have been moved reading your letter but on the contrary it hurt my heart.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You have to know that your sister Viviane and I did not have any disagreement. She has always been by my side at my darkest days. Another incorrectness in your letter is that I have never been alone, had always my personnel around me four times a week (I pay them myself) and they are in charge of washing, cleaning[,] cooking and my lady companion drives me around, stays with me during day time. Viviane joins me at the Doctors' offices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color w:val="000000"/>
          <w:sz w:val="20"/>
          <w:u w:val="single"/>
          <w:lang w:val="en-US" w:eastAsia="en-US" w:bidi="ar-SA"/>
        </w:rPr>
        <w:t>It has never been an agreement between you and I,</w:t>
      </w:r>
      <w:r>
        <w:rPr>
          <w:rFonts w:ascii="arial" w:eastAsia="arial" w:hAnsi="arial" w:cs="arial"/>
          <w:color w:val="000000"/>
          <w:sz w:val="20"/>
          <w:lang w:val="en-US" w:eastAsia="en-US" w:bidi="ar-SA"/>
        </w:rPr>
        <w:t xml:space="preserve"> that the car or the driver and its expenses were to be paid after my death from my </w:t>
      </w:r>
      <w:r>
        <w:rPr>
          <w:rFonts w:ascii="arial" w:eastAsia="arial" w:hAnsi="arial" w:cs="arial"/>
          <w:color w:val="000000"/>
          <w:sz w:val="20"/>
          <w:u w:val="single"/>
          <w:lang w:val="en-US" w:eastAsia="en-US" w:bidi="ar-SA"/>
        </w:rPr>
        <w:t>Estate</w:t>
      </w:r>
      <w:r>
        <w:rPr>
          <w:rFonts w:ascii="arial" w:eastAsia="arial" w:hAnsi="arial" w:cs="arial"/>
          <w:color w:val="000000"/>
          <w:sz w:val="20"/>
          <w:lang w:val="en-US" w:eastAsia="en-US" w:bidi="ar-SA"/>
        </w:rPr>
        <w:t>. We never spoke about it, never asked you for it and as you pretend if there was one I would surely asked you the accounting of it. I regret to say that this story is a "fait accompli". I persist in repeating I had no part of it, the first time I heard it was the day I came to wish you Happy Birthday at your office October 29, 2001.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My dear Son, it is on this subject that I would like to make troublesome things clear and tell you that I don't want to owe you anything now or later (at the time of my death). I have no financial obligations towards you. It hurt me to repeat, I had no knowledge of your intentions, I have never been told. It was my impression that it was a gift (a very generous one I have to admit) as you said it was for me to have fun. If what I am writing is contradictory to you </w:t>
      </w:r>
      <w:r>
        <w:rPr>
          <w:rFonts w:ascii="arial" w:eastAsia="arial" w:hAnsi="arial" w:cs="arial"/>
          <w:color w:val="000000"/>
          <w:sz w:val="20"/>
          <w:u w:val="single"/>
          <w:lang w:val="en-US" w:eastAsia="en-US" w:bidi="ar-SA"/>
        </w:rPr>
        <w:t>I'll beg you to stop immediately this frivolous and extravagant expense.</w:t>
      </w:r>
      <w:r>
        <w:rPr>
          <w:rFonts w:ascii="arial" w:eastAsia="arial" w:hAnsi="arial" w:cs="arial"/>
          <w:color w:val="000000"/>
          <w:sz w:val="20"/>
          <w:lang w:val="en-US" w:eastAsia="en-US" w:bidi="ar-SA"/>
        </w:rPr>
        <w:t xml:space="preserve"> I am self-sufficient, will continue my life as God has offered it to me.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[Underlining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xml:space="preserve">  Upon receiving Eida's December 16, 2001, letter, Alex sought legal advice and with the assistance counsel, drafted a response letter, dated January 3, 2001 (dated in error; it should read January 3, </w:t>
      </w:r>
      <w:r>
        <w:rPr>
          <w:rFonts w:ascii="arial" w:eastAsia="arial" w:hAnsi="arial" w:cs="arial"/>
          <w:i/>
          <w:color w:val="000000"/>
          <w:sz w:val="20"/>
          <w:lang w:val="en-US" w:eastAsia="en-US" w:bidi="ar-SA"/>
        </w:rPr>
        <w:t>2002</w:t>
      </w:r>
      <w:r>
        <w:rPr>
          <w:rFonts w:ascii="arial" w:eastAsia="arial" w:hAnsi="arial" w:cs="arial"/>
          <w:color w:val="000000"/>
          <w:sz w:val="20"/>
          <w:lang w:val="en-US" w:eastAsia="en-US" w:bidi="ar-SA"/>
        </w:rPr>
        <w:t>). That letter states, in part,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was very much disturbed by the tone and contents of your letter of December 16th. I have spent a good deal of time searching my soul as to how best to respond. My first instinct was not to respond at all but, upon bitter reflection, I have decided that I cannot leave falsehoods unanswered. It is clear to me that your letter has been ghost written by Viviane. It appears that the truth is not important to either of you any more.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Your letter confirms for me that you are not able to think clearly, that your memory of past events and discussions regarding Viviane has become distorted and that you are subject to undue influence and pressure from my sister. There, I can not help you.</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 respect to Daniel Moskovsk[y], based upon what you have said, I would, if I could, terminate him immediately. However I feel legally and morally obliged to give him a reasonable notice as he and his family have become dependent on this job over the past year and a half. As I told you previously, I will continue to pay Daniel as well as pay for the lease of the car until the end of July. However, as mentioned before, I still expect to get paid one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Alex's letter was provided to Mr. Wilson, who decided he ought to respond to it. He was particularly concerned about the comments concerning Eida's competence and undue influence by Viviane. As noted earlier, Eida's doctor had arranged to have Eida undergo a mental capacity examination. In November 2001, Eida saw a psychologist who conducted a mental status evaluation. On Eida's instructions, the psychologist sent her report to Mr. Wilson in early January of 2002. The report describes Eida's physical and mental functioning, and concludes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Mrs. Mordo presented as a well-groomed, witty, intelligent, and pleasant 83 year-old. She responded to questions in a frank, respectful, warm manner, and appeared to enjoy our conversation. Her level of judgment and insight was apparent during the interview. In my opinion, she seems to be currently able to make informed decisions and understand their consequences.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Mr. Wilson wrote a letter to Alex on January 9, 2002. In it, he advised Alex that Eida accepted the car and driver as a gift from Alex, and that she would not accept them on any other basis. Mr. Wilson advised further that neither his mother nor her estate would be responsible for the expenses, and that Alex ought to commence legal proceedings now if he intended to make a claim for reimbursement. Finally, Mr. Wilson stated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addition to your repudiation of the gift of the car and driver, your mother is most upset by your allegation in your letter dated January 3, 2002, that, "... you are not able to think clearly, that your memory of past events and discussions regarding Viviane has become distorted and that you are subject to undue influence and pressure from my sister."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have been your mother's solicitor for over 6 years and am completely satisfied that she is clear thinking, has excellent memory and has not been subject to undue influence or pressure from your sister or from anyone else. My opinion in this regard is confirmed by medical reports and observations by other solicitors. Your allegation is unfounded.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Alex testified that he felt insulted by Mr. Wilson's letter. He instructed his counsel, Mr. Shapray, to respond to Mr. Wilson's letter. Mr. Shapray's letter states,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Having advanced to date approximately $100,000 dollars to provide Mrs. Mordo with a Jaguar and a driver for her comfort and convenience, a service which she had no hesitation to use, Mr. Mordo expected some expression of genuine gratitude, not the rude, self-serving tone of your correspondence.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Mordo was not only shocked by the tone of your letter but also by the fact that you have injected yourself personally into this family situation and have elevated the temperature of any controversy to the point that you invite Mr. Mordo to sue his 86 year old mother and, by doing so, irreparably destroy any potential future relationship. Fortunately, Mr. Mordo's sense of decency and filial responsibility transcends the provocation contained in your letter. He has no intention of commencing a restitutionary action at this time.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to the issue as to whether Mrs. Mordo is thinking clearly or is, perhaps, under the undue, poisonous influence of Viviane, a most powerful piece of contemporaneous evidence is, in fact, your own letter. It is unimaginable that Mrs. Mordo, a woman of substantial means, would, were she acting without the undue influence of her daughter, invite her son to launch a suit against her over such a relatively small sum. If there is such unnatural antipathy on the part of Mrs. Mordo toward her son that could have lead to such instructions to you, then it is well that you have disclosed it so that Mr. Mordo can govern himself accordingly in the future. Suffice it to say, there is, in Mr. Mordo's view, a very pungent aroma of unseemly conduct that lingers over this entire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Mr. Shapray ended the letter with a demand that Mr. Wilson provide particulars as to the basis for his conclusion that Eida was mentally competent.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Eida ceased using the services of Mr. Moskovsky and the Jaguar in January of 2002. Alex testified that the Company continued to pay Mr. Moskovsky $4,000 per month until the end of July of 2002 because he felt a moral obligation to do so. The Company gave Mr. Moskovsky odd jobs to perform which were, according to Alex, of little value to the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Alex testified that although the costs of the car and driver were charged to the Company, they were ultimately borne by him by way of shareholder loans.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In cross-examination, Alex acknowledged that approximately $61,000 of the car and driver expenses may not have been charged to his shareholder loan until an audit of the Company's expenses was performed in November, 2002, by the Canada Customs and Revenue Agency [CCRA], now known as the Canada Revenue Agency. He said he was sure the balance of the car and driver expenses he was claiming in the litigation had been charged to his shareholder loan at some point in time, but could not be certain when that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Correspondence from CCRA indicate that the audit covered the period 2000 and 2001, and that $61,356 of the car and driver expenses claimed by the Company as a business expense should have been charged to Alex's shareholder loan account as a personal expense. The balance of the expense (approximately $51,000) remained on the Company books as a business expense. It appears CCRA allowed some of the car and driver expenses as a legitimate business expense.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The Company's accountant, Ronald Chisholm, confirmed that it was not until November, 2002, as a result of the CCRA audit, that the amount of $61,356 was charged to Alex's shareholder loan with respect to the car and driver. Until that time, those expenses attributable to the car and driver had been claimed by the Company. Mr. Chisholm was not employed by the Company until 2005, but was able to confirm the transaction from a review of the Company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Mr. Chisholm also confirmed that the balance of the car and driver expenses, which totalled $51,000, was charged to the Company as a business expense until June 2, 2006, when Alex instructed Mr. Chisholm to adjust his shareholder loan by that amount. Mr. Chisholm was not aware that Mr. Moskovsky had been employed by the Company from January to July of 2002. In his view, the Company could have continued to claim Mr. Moskovsky's salary as a legitimate business expense during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Alex acknowledged in cross-examination that he did not see his mother again after she terminated the services of Mr. Moskovsky. He said he recalled phoning her and urging her to use the car and driver. He thought Eida passed away soon thereafter.</w:t>
      </w:r>
      <w:r>
        <w:rPr>
          <w:rFonts w:ascii="arial" w:eastAsia="arial" w:hAnsi="arial" w:cs="arial"/>
          <w:sz w:val="20"/>
          <w:lang w:val="en-US" w:eastAsia="en-US" w:bidi="ar-SA"/>
        </w:rPr>
        <w:cr/>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2002: Eida's death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Eida became ill in late March, 2002. Viviane cared for Eida at home until she was hospitalized in early April, 2002. Eida died on April 11, 2002. Alex was travelling abroad on business at the time Eida fell ill. He was notified of her death, but did not attend her funeral because he continued to have business commitments abroad.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Viviane advised Mr. Wilson of Eida's death. On April 15, 2002, Mr. Wilson registered the property transfer respecting the transfer of the Warehouse to him as trustee. He then obtained an appraisal of the Warehouse for purposes of determining the income tax consequences of the transfer. He subsequently transferred the property to Viviane in accordance with the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None of Eida's assets passed by her will. For that reason, Mr. Wilson did not apply for probate of the will. At the time of Eida's death, her assets were worth approximately $1.8 million. The joint bank account contained $20,000. The jointly held RBC Dominion investments were worth $312,000. The Condominium sold for $550,000. As noted earlier, the Warehouse was appraised at $960,000. The jewellery that passed to Viviane by way of the Deed of Gift was never appraised but is likely worth between $100,000 and $200,000.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The Warehouse is now worth approximately $1.75 million, and the accumulated revenue generated by the Warehouse since April, 2002, is in the range of $250,000.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Viviane was working for the Vancouver Chamber Choir at the time of Eida's death, and still works there. Her employment income is approximately $40,000 annually. Her only asset at the time of Eida's death was her home, then worth about $600,000. She and Bjorn continue to live in their house on Heather Street, the value of which is now approximately $750,000. Bjorn is now retired. In 2001 and 2002, his taxable income was in the $100,000 range as a result of stock options he exercised upon his retirement after 14 years with Ballard Power Systems. His taxable income in 2004 was $18,000. Viviane's daughter, Galia, is self-employed.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Alex's taxable income between 2001 and 2005 has been in the range of $350,000 per annum. The Company has approximately 30% of the market share for bicycles in Canada. The assessed value of his home on Point Grey Road is $3,650,000. His net worth is between $7 million and $8 million. No evidence was led concerning the financial circumstances of Alex's spouse.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Alex has purchased a home for Gabby, located on West 1st Avenue, Vancouver, about a block from Alex's home on Point Grey Road. Alex has also purchased a condominium for Gabby, which has been placed in trust, and a car. Gabby is currently employed by the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Alex testified that this litigation "is not about the money". He acknowledged that he is financially secure, although the Company is always at risk of a reversal in fortunes. He said he commenced these proceedings to obtain the justice his parents did not see fit to give him in their lifetimes.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IV. DISCUSSION</w:t>
      </w:r>
      <w:r>
        <w:rPr>
          <w:rFonts w:ascii="arial" w:eastAsia="arial" w:hAnsi="arial" w:cs="arial"/>
          <w:sz w:val="20"/>
          <w:lang w:val="en-US" w:eastAsia="en-US" w:bidi="ar-SA"/>
        </w:rPr>
        <w:cr/>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Alleged admissions in the defendant's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xml:space="preserve">  An issue arose as to whether Viviane admitted in her pleadings that none of the disputed assets were </w:t>
      </w:r>
      <w:r>
        <w:rPr>
          <w:rFonts w:ascii="arial" w:eastAsia="arial" w:hAnsi="arial" w:cs="arial"/>
          <w:i/>
          <w:color w:val="000000"/>
          <w:sz w:val="20"/>
          <w:lang w:val="en-US" w:eastAsia="en-US" w:bidi="ar-SA"/>
        </w:rPr>
        <w:t>inter vivos</w:t>
      </w:r>
      <w:r>
        <w:rPr>
          <w:rFonts w:ascii="arial" w:eastAsia="arial" w:hAnsi="arial" w:cs="arial"/>
          <w:color w:val="000000"/>
          <w:sz w:val="20"/>
          <w:lang w:val="en-US" w:eastAsia="en-US" w:bidi="ar-SA"/>
        </w:rPr>
        <w:t xml:space="preserve"> gifts or transfers.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The pleadings in this case were amended in the course of the litigation. Amended Statements of Claim and Defence were filed, and, subsequently, Further Amended Statements of Claim and Defence were filed.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The Amended Statement of Defence contains the following at paragraph 7:</w:t>
      </w:r>
      <w:r>
        <w:rPr>
          <w:rFonts w:ascii="arial" w:eastAsia="arial" w:hAnsi="arial" w:cs="arial"/>
          <w:sz w:val="20"/>
          <w:lang w:val="en-US" w:eastAsia="en-US" w:bidi="ar-SA"/>
        </w:rPr>
        <w:cr/>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answer to paragraph 8 of the Amended Statement of Claim, the Defendant received income from employment at all material times and never received assets from her parents.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xml:space="preserve">  Alex argued that the above paragraph constituted a judicial admission by Viviane that none of the disputed assets were valid </w:t>
      </w:r>
      <w:r>
        <w:rPr>
          <w:rFonts w:ascii="arial" w:eastAsia="arial" w:hAnsi="arial" w:cs="arial"/>
          <w:i/>
          <w:color w:val="000000"/>
          <w:sz w:val="20"/>
          <w:lang w:val="en-US" w:eastAsia="en-US" w:bidi="ar-SA"/>
        </w:rPr>
        <w:t>inter vivos</w:t>
      </w:r>
      <w:r>
        <w:rPr>
          <w:rFonts w:ascii="arial" w:eastAsia="arial" w:hAnsi="arial" w:cs="arial"/>
          <w:color w:val="000000"/>
          <w:sz w:val="20"/>
          <w:lang w:val="en-US" w:eastAsia="en-US" w:bidi="ar-SA"/>
        </w:rPr>
        <w:t xml:space="preserve"> transfers. I do not accept that argument. The alleged admission must be read in the context of the pleadings as a whole. The specific pleadings operate to clarify the general pleadings. Viviane specifically joined issue with the assertions in the Amended Statement of Claim that the transfers were not </w:t>
      </w:r>
      <w:r>
        <w:rPr>
          <w:rFonts w:ascii="arial" w:eastAsia="arial" w:hAnsi="arial" w:cs="arial"/>
          <w:i/>
          <w:color w:val="000000"/>
          <w:sz w:val="20"/>
          <w:lang w:val="en-US" w:eastAsia="en-US" w:bidi="ar-SA"/>
        </w:rPr>
        <w:t>inter vivos</w:t>
      </w:r>
      <w:r>
        <w:rPr>
          <w:rFonts w:ascii="arial" w:eastAsia="arial" w:hAnsi="arial" w:cs="arial"/>
          <w:color w:val="000000"/>
          <w:sz w:val="20"/>
          <w:lang w:val="en-US" w:eastAsia="en-US" w:bidi="ar-SA"/>
        </w:rPr>
        <w:t xml:space="preserve"> in nature. Read in the context of the pleadings as a whole, paragraph 7 merely sets out Viviane's position that she earned her own living and did not receive monetary support from her parents while they were alive.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Alex filed a Further Amended Statement of Claim which revised and particularized much of the claim. In response, Viviane filed a Further Amended Statement of Defence, in which her position with respect to the disputed dispositions was clarified further. The relevant portions of the Further Amended Statement of Defence are as follows:</w:t>
      </w:r>
      <w:r>
        <w:rPr>
          <w:rFonts w:ascii="arial" w:eastAsia="arial" w:hAnsi="arial" w:cs="arial"/>
          <w:sz w:val="20"/>
          <w:lang w:val="en-US" w:eastAsia="en-US" w:bidi="ar-SA"/>
        </w:rPr>
        <w:cr/>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answer to paragraph 7 of the Further Amended Statement of Claim, the Defendant was a joint owner with right of survivorship of the said Accounts and therefore the Defendant had a legal and beneficial interest in the said Accounts.</w:t>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answer to paragraph 8 of the Further Amended Statement of Claim, the Defendant was a joint owner with right of survivorship of the said Condominium and therefore the Defendant had a legal and beneficial interest in the said Condominium.</w:t>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answer to paragraph 11 of the Further Amended Statement of Claim, Gabriel and Eida Mordo provided less funds to the Defendant and her first husband than they provided to the Plaintiff. Gabriel and Eida Mordo provided gifts of the Accounts and Condominium to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Viviane confirmed her position throughout the trial that she had received the disputed assets as gifts from her parents during their lives.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xml:space="preserve">  The question of whether the transfers were </w:t>
      </w:r>
      <w:r>
        <w:rPr>
          <w:rFonts w:ascii="arial" w:eastAsia="arial" w:hAnsi="arial" w:cs="arial"/>
          <w:i/>
          <w:color w:val="000000"/>
          <w:sz w:val="20"/>
          <w:lang w:val="en-US" w:eastAsia="en-US" w:bidi="ar-SA"/>
        </w:rPr>
        <w:t>inter vivos</w:t>
      </w:r>
      <w:r>
        <w:rPr>
          <w:rFonts w:ascii="arial" w:eastAsia="arial" w:hAnsi="arial" w:cs="arial"/>
          <w:color w:val="000000"/>
          <w:sz w:val="20"/>
          <w:lang w:val="en-US" w:eastAsia="en-US" w:bidi="ar-SA"/>
        </w:rPr>
        <w:t xml:space="preserve"> in nature was the central issue in this lengthy trial and the subject of a great deal of evidence. Counsel for Alex led evidence and cross-examined witnesses on the circumstances surrounding the creation of the jointly held accounts and the joint tenancy of the Condominium and the Trust. There was no objection to the admissibility of the evidence on the basis that it was at variance with the pleadings. I am satisfied that Alex was not misled by the impugned pleading in the Amended Statement of Defence or in any way prejudiced by it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 regarding judicial admissions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I conclude that the alleged judicial admissions were not made.</w:t>
      </w:r>
      <w:r>
        <w:rPr>
          <w:rFonts w:ascii="arial" w:eastAsia="arial" w:hAnsi="arial" w:cs="arial"/>
          <w:sz w:val="20"/>
          <w:lang w:val="en-US" w:eastAsia="en-US" w:bidi="ar-SA"/>
        </w:rPr>
        <w:cr/>
      </w:r>
    </w:p>
    <w:p>
      <w:pPr>
        <w:numPr>
          <w:numId w:val="49"/>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The Condominium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Summary of key facts regarding the Condominium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Gabriel and Eida purchased the Condominium in 1993. The Condominium was bought in the names of Gabriel, Eida and Viviane as joint tenants. Before the purchase, Mr. Wilson explained to Gabriel and Eida the legal effect and consequences of making Viviane a joint tenant.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Soon after the purchase of the Condominium, Alex conducted a title search on the property and discovered that it was held in joint tenancy by Gabriel, Eida and Viviane.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Viviane contributed her Canada Savings Bonds as collateral to assist her parents in obtaining bridge financing for the Condominium because their home on West 52nd Avenue had not yet been sold. Viviane also signed the mortgage on the Condominium as joint owner at the time of the purchase. She was an active member of the Strata Council during the years her parents occupied the Condominium and, after Gabriel's death, during the years until Eida's death.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Following Gabriel's death in 1996, the Condominium was registered in the joint names of Eida and Viviane. When Eida went to see Ms. Richter after Gabriel's death, Ms. Richter confirmed with Eida her intention to hold the property with Viviane in joint tenancy with a right of survivorship. When Mr. Wilson reviewed the estate plan with Eida before drawing her 2000 will, Eida again confirmed her intention to gift the Condominium to Viviane.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xml:space="preserve">  The transfer of the Condominium to Viviane as joint tenant was challenged by Alex on the basis that it was not a valid </w:t>
      </w:r>
      <w:r>
        <w:rPr>
          <w:rFonts w:ascii="arial" w:eastAsia="arial" w:hAnsi="arial" w:cs="arial"/>
          <w:i/>
          <w:color w:val="000000"/>
          <w:sz w:val="20"/>
          <w:lang w:val="en-US" w:eastAsia="en-US" w:bidi="ar-SA"/>
        </w:rPr>
        <w:t>inter vivos</w:t>
      </w:r>
      <w:r>
        <w:rPr>
          <w:rFonts w:ascii="arial" w:eastAsia="arial" w:hAnsi="arial" w:cs="arial"/>
          <w:color w:val="000000"/>
          <w:sz w:val="20"/>
          <w:lang w:val="en-US" w:eastAsia="en-US" w:bidi="ar-SA"/>
        </w:rPr>
        <w:t xml:space="preserve"> transfer.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law of gifts of real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Saylor v. Madsen Estate</w:t>
      </w:r>
      <w:r>
        <w:rPr>
          <w:rFonts w:ascii="arial" w:eastAsia="arial" w:hAnsi="arial" w:cs="arial"/>
          <w:color w:val="000000"/>
          <w:sz w:val="20"/>
          <w:lang w:val="en-US" w:eastAsia="en-US" w:bidi="ar-SA"/>
        </w:rPr>
        <w:t xml:space="preserve"> </w:t>
      </w:r>
      <w:hyperlink r:id="rId26" w:history="1">
        <w:r>
          <w:rPr>
            <w:rFonts w:ascii="arial" w:eastAsia="arial" w:hAnsi="arial" w:cs="arial"/>
            <w:i/>
            <w:color w:val="0077CC"/>
            <w:sz w:val="20"/>
            <w:u w:val="single"/>
            <w:shd w:val="clear" w:color="auto" w:fill="FFFFFF"/>
            <w:lang w:val="en-US" w:eastAsia="en-US" w:bidi="ar-SA"/>
          </w:rPr>
          <w:t>(2005), 261 D.L.R. (4th) 597</w:t>
        </w:r>
      </w:hyperlink>
      <w:r>
        <w:rPr>
          <w:rFonts w:ascii="arial" w:eastAsia="arial" w:hAnsi="arial" w:cs="arial"/>
          <w:color w:val="000000"/>
          <w:sz w:val="20"/>
          <w:lang w:val="en-US" w:eastAsia="en-US" w:bidi="ar-SA"/>
        </w:rPr>
        <w:t xml:space="preserve"> (Ont. C.A.) [</w:t>
      </w:r>
      <w:r>
        <w:rPr>
          <w:rFonts w:ascii="arial" w:eastAsia="arial" w:hAnsi="arial" w:cs="arial"/>
          <w:b/>
          <w:i/>
          <w:color w:val="000000"/>
          <w:sz w:val="20"/>
          <w:lang w:val="en-US" w:eastAsia="en-US" w:bidi="ar-SA"/>
        </w:rPr>
        <w:t>Saylor</w:t>
      </w:r>
      <w:r>
        <w:rPr>
          <w:rFonts w:ascii="arial" w:eastAsia="arial" w:hAnsi="arial" w:cs="arial"/>
          <w:color w:val="000000"/>
          <w:sz w:val="20"/>
          <w:lang w:val="en-US" w:eastAsia="en-US" w:bidi="ar-SA"/>
        </w:rPr>
        <w:t xml:space="preserve">], leave to appeal to the Supreme Court of Canada granted, </w:t>
      </w:r>
      <w:hyperlink r:id="rId27" w:history="1">
        <w:r>
          <w:rPr>
            <w:rFonts w:ascii="arial" w:eastAsia="arial" w:hAnsi="arial" w:cs="arial"/>
            <w:i/>
            <w:color w:val="0077CC"/>
            <w:sz w:val="20"/>
            <w:u w:val="single"/>
            <w:shd w:val="clear" w:color="auto" w:fill="FFFFFF"/>
            <w:lang w:val="en-US" w:eastAsia="en-US" w:bidi="ar-SA"/>
          </w:rPr>
          <w:t>[2005] S.C.C.A. No. 558</w:t>
        </w:r>
      </w:hyperlink>
      <w:r>
        <w:rPr>
          <w:rFonts w:ascii="arial" w:eastAsia="arial" w:hAnsi="arial" w:cs="arial"/>
          <w:color w:val="000000"/>
          <w:sz w:val="20"/>
          <w:lang w:val="en-US" w:eastAsia="en-US" w:bidi="ar-SA"/>
        </w:rPr>
        <w:t>, the rule presuming resulting trusts was stated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resulting trust is presumed where a person makes a gratuitous transfer of property into another person's name, or into the joint name of him or herself and another. There is then a presumption that the transferee intended to transfer legal title, but retain beneficial title. This presumption may be rebutted by evidence showing that the transferor intended a gift (</w:t>
      </w:r>
      <w:r>
        <w:rPr>
          <w:rFonts w:ascii="arial" w:eastAsia="arial" w:hAnsi="arial" w:cs="arial"/>
          <w:b/>
          <w:i/>
          <w:color w:val="000000"/>
          <w:sz w:val="20"/>
          <w:lang w:val="en-US" w:eastAsia="en-US" w:bidi="ar-SA"/>
        </w:rPr>
        <w:t>Saylor</w:t>
      </w:r>
      <w:r>
        <w:rPr>
          <w:rFonts w:ascii="arial" w:eastAsia="arial" w:hAnsi="arial" w:cs="arial"/>
          <w:color w:val="000000"/>
          <w:sz w:val="20"/>
          <w:lang w:val="en-US" w:eastAsia="en-US" w:bidi="ar-SA"/>
        </w:rPr>
        <w:t xml:space="preserve"> at para. 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xml:space="preserve">  However, when a father purchases real property and it is jointly registered in the names of the parent and child, a rebuttable presumption of advancement arises. This was confirmed in </w:t>
      </w:r>
      <w:r>
        <w:rPr>
          <w:rFonts w:ascii="arial" w:eastAsia="arial" w:hAnsi="arial" w:cs="arial"/>
          <w:b/>
          <w:i/>
          <w:color w:val="000000"/>
          <w:sz w:val="20"/>
          <w:lang w:val="en-US" w:eastAsia="en-US" w:bidi="ar-SA"/>
        </w:rPr>
        <w:t>Clemens v. Clemens Estate</w:t>
      </w:r>
      <w:r>
        <w:rPr>
          <w:rFonts w:ascii="arial" w:eastAsia="arial" w:hAnsi="arial" w:cs="arial"/>
          <w:color w:val="000000"/>
          <w:sz w:val="20"/>
          <w:lang w:val="en-US" w:eastAsia="en-US" w:bidi="ar-SA"/>
        </w:rPr>
        <w:t xml:space="preserve">, </w:t>
      </w:r>
      <w:hyperlink r:id="rId28" w:history="1">
        <w:r>
          <w:rPr>
            <w:rFonts w:ascii="arial" w:eastAsia="arial" w:hAnsi="arial" w:cs="arial"/>
            <w:i/>
            <w:color w:val="0077CC"/>
            <w:sz w:val="20"/>
            <w:u w:val="single"/>
            <w:shd w:val="clear" w:color="auto" w:fill="FFFFFF"/>
            <w:lang w:val="en-US" w:eastAsia="en-US" w:bidi="ar-SA"/>
          </w:rPr>
          <w:t>[1956] S.C.R. 286</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Clemens</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Where a father purchases either real or personal estate in the name of a child alone . . . there is no resulting trust for the father; but the father is presumed to have intended to advance the child, especially where he is an infant .... The presumption may be rebutted by evidence of a contrary intention (</w:t>
      </w:r>
      <w:r>
        <w:rPr>
          <w:rFonts w:ascii="arial" w:eastAsia="arial" w:hAnsi="arial" w:cs="arial"/>
          <w:b/>
          <w:i/>
          <w:color w:val="000000"/>
          <w:sz w:val="20"/>
          <w:lang w:val="en-US" w:eastAsia="en-US" w:bidi="ar-SA"/>
        </w:rPr>
        <w:t>Clemens</w:t>
      </w:r>
      <w:r>
        <w:rPr>
          <w:rFonts w:ascii="arial" w:eastAsia="arial" w:hAnsi="arial" w:cs="arial"/>
          <w:color w:val="000000"/>
          <w:sz w:val="20"/>
          <w:lang w:val="en-US" w:eastAsia="en-US" w:bidi="ar-SA"/>
        </w:rPr>
        <w:t xml:space="preserve"> at 294 citing Halsbury's Laws of England, 2nd Edition, Vol. 17, page 677).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Still, however, as it is a presumption, it may be repelled by evidence, and, in my opinion, the burden of proof lies on the plaintiff to rebut the presumption of advancement by evidence sufficiently strong to lead to an opposite conclusion. The evidence ought to be distinct, because, as observed in several cases, this is a principle which is not to be frittered away by nice refinements. The evidence ought to be contemporaneous, or nearly so, because subsequent acts or subsequent declarations by a father will not enable him to convert an advancement for his son into a beneficial purchase for himself (</w:t>
      </w:r>
      <w:r>
        <w:rPr>
          <w:rFonts w:ascii="arial" w:eastAsia="arial" w:hAnsi="arial" w:cs="arial"/>
          <w:b/>
          <w:i/>
          <w:color w:val="000000"/>
          <w:sz w:val="20"/>
          <w:lang w:val="en-US" w:eastAsia="en-US" w:bidi="ar-SA"/>
        </w:rPr>
        <w:t>Clemens</w:t>
      </w:r>
      <w:r>
        <w:rPr>
          <w:rFonts w:ascii="arial" w:eastAsia="arial" w:hAnsi="arial" w:cs="arial"/>
          <w:color w:val="000000"/>
          <w:sz w:val="20"/>
          <w:lang w:val="en-US" w:eastAsia="en-US" w:bidi="ar-SA"/>
        </w:rPr>
        <w:t xml:space="preserve"> at 294 citing </w:t>
      </w:r>
      <w:r>
        <w:rPr>
          <w:rFonts w:ascii="arial" w:eastAsia="arial" w:hAnsi="arial" w:cs="arial"/>
          <w:b/>
          <w:i/>
          <w:color w:val="000000"/>
          <w:sz w:val="20"/>
          <w:lang w:val="en-US" w:eastAsia="en-US" w:bidi="ar-SA"/>
        </w:rPr>
        <w:t>Jeans v. Cooke</w:t>
      </w:r>
      <w:r>
        <w:rPr>
          <w:rFonts w:ascii="arial" w:eastAsia="arial" w:hAnsi="arial" w:cs="arial"/>
          <w:color w:val="000000"/>
          <w:sz w:val="20"/>
          <w:lang w:val="en-US" w:eastAsia="en-US" w:bidi="ar-SA"/>
        </w:rPr>
        <w:t xml:space="preserve"> (1857), 24 Beav. 513 at 521).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xml:space="preserve">  Subsequent acts of the donor are admissible as evidence against him or her to prove that a beneficial interest was gifted: </w:t>
      </w:r>
      <w:r>
        <w:rPr>
          <w:rFonts w:ascii="arial" w:eastAsia="arial" w:hAnsi="arial" w:cs="arial"/>
          <w:b/>
          <w:i/>
          <w:color w:val="000000"/>
          <w:sz w:val="20"/>
          <w:lang w:val="en-US" w:eastAsia="en-US" w:bidi="ar-SA"/>
        </w:rPr>
        <w:t>Romaine v. Romaine</w:t>
      </w:r>
      <w:r>
        <w:rPr>
          <w:rFonts w:ascii="arial" w:eastAsia="arial" w:hAnsi="arial" w:cs="arial"/>
          <w:color w:val="000000"/>
          <w:sz w:val="20"/>
          <w:lang w:val="en-US" w:eastAsia="en-US" w:bidi="ar-SA"/>
        </w:rPr>
        <w:t xml:space="preserve"> </w:t>
      </w:r>
      <w:hyperlink r:id="rId29" w:history="1">
        <w:r>
          <w:rPr>
            <w:rFonts w:ascii="arial" w:eastAsia="arial" w:hAnsi="arial" w:cs="arial"/>
            <w:i/>
            <w:color w:val="0077CC"/>
            <w:sz w:val="20"/>
            <w:u w:val="single"/>
            <w:shd w:val="clear" w:color="auto" w:fill="FFFFFF"/>
            <w:lang w:val="en-US" w:eastAsia="en-US" w:bidi="ar-SA"/>
          </w:rPr>
          <w:t>(2001), 95 B.C.L.R. (3d) 95</w:t>
        </w:r>
      </w:hyperlink>
      <w:r>
        <w:rPr>
          <w:rFonts w:ascii="arial" w:eastAsia="arial" w:hAnsi="arial" w:cs="arial"/>
          <w:color w:val="000000"/>
          <w:sz w:val="20"/>
          <w:lang w:val="en-US" w:eastAsia="en-US" w:bidi="ar-SA"/>
        </w:rPr>
        <w:t xml:space="preserve"> at para. 59, </w:t>
      </w:r>
      <w:hyperlink r:id="rId29" w:history="1">
        <w:r>
          <w:rPr>
            <w:rFonts w:ascii="arial" w:eastAsia="arial" w:hAnsi="arial" w:cs="arial"/>
            <w:i/>
            <w:color w:val="0077CC"/>
            <w:sz w:val="20"/>
            <w:u w:val="single"/>
            <w:shd w:val="clear" w:color="auto" w:fill="FFFFFF"/>
            <w:lang w:val="en-US" w:eastAsia="en-US" w:bidi="ar-SA"/>
          </w:rPr>
          <w:t>2001 BCCA 509</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Romaine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Edwards Estates v. Bradley</w:t>
      </w:r>
      <w:r>
        <w:rPr>
          <w:rFonts w:ascii="arial" w:eastAsia="arial" w:hAnsi="arial" w:cs="arial"/>
          <w:color w:val="000000"/>
          <w:sz w:val="20"/>
          <w:lang w:val="en-US" w:eastAsia="en-US" w:bidi="ar-SA"/>
        </w:rPr>
        <w:t xml:space="preserve">, </w:t>
      </w:r>
      <w:hyperlink r:id="rId30" w:history="1">
        <w:r>
          <w:rPr>
            <w:rFonts w:ascii="arial" w:eastAsia="arial" w:hAnsi="arial" w:cs="arial"/>
            <w:i/>
            <w:color w:val="0077CC"/>
            <w:sz w:val="20"/>
            <w:u w:val="single"/>
            <w:shd w:val="clear" w:color="auto" w:fill="FFFFFF"/>
            <w:lang w:val="en-US" w:eastAsia="en-US" w:bidi="ar-SA"/>
          </w:rPr>
          <w:t>[1957] S.C.R. 599</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Edwards</w:t>
      </w:r>
      <w:r>
        <w:rPr>
          <w:rFonts w:ascii="arial" w:eastAsia="arial" w:hAnsi="arial" w:cs="arial"/>
          <w:color w:val="000000"/>
          <w:sz w:val="20"/>
          <w:lang w:val="en-US" w:eastAsia="en-US" w:bidi="ar-SA"/>
        </w:rPr>
        <w:t>], the Supreme Court of Canada held that a presumption of advancement did not automatically arise in the case of an alleged gift from a mother to a daughter. Instead, the court considered the relationship of the parties and the intention of the donor. In that case, because of the distant relationship between the mother and the daughter, and the clear intention of the mother to provide for all her children, the court concluded that the presumption of advancement did not apply.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xml:space="preserve">  As I read </w:t>
      </w:r>
      <w:r>
        <w:rPr>
          <w:rFonts w:ascii="arial" w:eastAsia="arial" w:hAnsi="arial" w:cs="arial"/>
          <w:b/>
          <w:i/>
          <w:color w:val="000000"/>
          <w:sz w:val="20"/>
          <w:lang w:val="en-US" w:eastAsia="en-US" w:bidi="ar-SA"/>
        </w:rPr>
        <w:t>Edwards</w:t>
      </w:r>
      <w:r>
        <w:rPr>
          <w:rFonts w:ascii="arial" w:eastAsia="arial" w:hAnsi="arial" w:cs="arial"/>
          <w:color w:val="000000"/>
          <w:sz w:val="20"/>
          <w:lang w:val="en-US" w:eastAsia="en-US" w:bidi="ar-SA"/>
        </w:rPr>
        <w:t>, one must consider the nature of the relationship and the intention of the transferor.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Goodfriend v. Goodfriend</w:t>
      </w:r>
      <w:r>
        <w:rPr>
          <w:rFonts w:ascii="arial" w:eastAsia="arial" w:hAnsi="arial" w:cs="arial"/>
          <w:color w:val="000000"/>
          <w:sz w:val="20"/>
          <w:lang w:val="en-US" w:eastAsia="en-US" w:bidi="ar-SA"/>
        </w:rPr>
        <w:t xml:space="preserve">, </w:t>
      </w:r>
      <w:hyperlink r:id="rId31" w:history="1">
        <w:r>
          <w:rPr>
            <w:rFonts w:ascii="arial" w:eastAsia="arial" w:hAnsi="arial" w:cs="arial"/>
            <w:i/>
            <w:color w:val="0077CC"/>
            <w:sz w:val="20"/>
            <w:u w:val="single"/>
            <w:shd w:val="clear" w:color="auto" w:fill="FFFFFF"/>
            <w:lang w:val="en-US" w:eastAsia="en-US" w:bidi="ar-SA"/>
          </w:rPr>
          <w:t>[1972] S.C.R. 640</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Goodfriend</w:t>
      </w:r>
      <w:r>
        <w:rPr>
          <w:rFonts w:ascii="arial" w:eastAsia="arial" w:hAnsi="arial" w:cs="arial"/>
          <w:color w:val="000000"/>
          <w:sz w:val="20"/>
          <w:lang w:val="en-US" w:eastAsia="en-US" w:bidi="ar-SA"/>
        </w:rPr>
        <w:t>], Mr. Justice Spence concluded that the real issue is the true intention of the transferor, which can only be determined by considering the circumstances of the particular case: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abundantly clear that whatever presumptions may arise from the circumstances of any particular case, the Court is under a duty to go into the actual facts, and to consider all the circumstances of the case, so as to arrive at the real intention of the transferor, giving due weight to the presumptions that are raised by the circumstances (</w:t>
      </w:r>
      <w:r>
        <w:rPr>
          <w:rFonts w:ascii="arial" w:eastAsia="arial" w:hAnsi="arial" w:cs="arial"/>
          <w:b/>
          <w:i/>
          <w:color w:val="000000"/>
          <w:sz w:val="20"/>
          <w:lang w:val="en-US" w:eastAsia="en-US" w:bidi="ar-SA"/>
        </w:rPr>
        <w:t>Goodfriend</w:t>
      </w:r>
      <w:r>
        <w:rPr>
          <w:rFonts w:ascii="arial" w:eastAsia="arial" w:hAnsi="arial" w:cs="arial"/>
          <w:color w:val="000000"/>
          <w:sz w:val="20"/>
          <w:lang w:val="en-US" w:eastAsia="en-US" w:bidi="ar-SA"/>
        </w:rPr>
        <w:t xml:space="preserve"> at 647 citing </w:t>
      </w:r>
      <w:r>
        <w:rPr>
          <w:rFonts w:ascii="arial" w:eastAsia="arial" w:hAnsi="arial" w:cs="arial"/>
          <w:b/>
          <w:i/>
          <w:color w:val="000000"/>
          <w:sz w:val="20"/>
          <w:lang w:val="en-US" w:eastAsia="en-US" w:bidi="ar-SA"/>
        </w:rPr>
        <w:t>Walsh v. Walsh</w:t>
      </w:r>
      <w:r>
        <w:rPr>
          <w:rFonts w:ascii="arial" w:eastAsia="arial" w:hAnsi="arial" w:cs="arial"/>
          <w:color w:val="000000"/>
          <w:sz w:val="20"/>
          <w:lang w:val="en-US" w:eastAsia="en-US" w:bidi="ar-SA"/>
        </w:rPr>
        <w:t xml:space="preserve">, </w:t>
      </w:r>
      <w:hyperlink r:id="rId32" w:history="1">
        <w:r>
          <w:rPr>
            <w:rFonts w:ascii="arial" w:eastAsia="arial" w:hAnsi="arial" w:cs="arial"/>
            <w:i/>
            <w:color w:val="0077CC"/>
            <w:sz w:val="20"/>
            <w:u w:val="single"/>
            <w:shd w:val="clear" w:color="auto" w:fill="FFFFFF"/>
            <w:lang w:val="en-US" w:eastAsia="en-US" w:bidi="ar-SA"/>
          </w:rPr>
          <w:t>[1948] O.R. 81</w:t>
        </w:r>
      </w:hyperlink>
      <w:r>
        <w:rPr>
          <w:rFonts w:ascii="arial" w:eastAsia="arial" w:hAnsi="arial" w:cs="arial"/>
          <w:color w:val="000000"/>
          <w:sz w:val="20"/>
          <w:lang w:val="en-US" w:eastAsia="en-US" w:bidi="ar-SA"/>
        </w:rPr>
        <w:t xml:space="preserve"> at 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xml:space="preserve">  The paramount importance of determining the transferor's intention, and the role of the presumptions in making that determination, was reiterated in </w:t>
      </w:r>
      <w:r>
        <w:rPr>
          <w:rFonts w:ascii="arial" w:eastAsia="arial" w:hAnsi="arial" w:cs="arial"/>
          <w:b/>
          <w:i/>
          <w:color w:val="000000"/>
          <w:sz w:val="20"/>
          <w:lang w:val="en-US" w:eastAsia="en-US" w:bidi="ar-SA"/>
        </w:rPr>
        <w:t>Saylor</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Reliance on the presumptions has diminished because the courts are now first examining all the evidence to determine the transferor's intent. That is to say, courts are tending to examine the evidence in its entirety, and base findings regarding intention on all the facts. It will only be where the evidence itself is unclear that reliance on the presumptions becomes necessary (</w:t>
      </w:r>
      <w:r>
        <w:rPr>
          <w:rFonts w:ascii="arial" w:eastAsia="arial" w:hAnsi="arial" w:cs="arial"/>
          <w:b/>
          <w:i/>
          <w:color w:val="000000"/>
          <w:sz w:val="20"/>
          <w:lang w:val="en-US" w:eastAsia="en-US" w:bidi="ar-SA"/>
        </w:rPr>
        <w:t>Saylor</w:t>
      </w:r>
      <w:r>
        <w:rPr>
          <w:rFonts w:ascii="arial" w:eastAsia="arial" w:hAnsi="arial" w:cs="arial"/>
          <w:color w:val="000000"/>
          <w:sz w:val="20"/>
          <w:lang w:val="en-US" w:eastAsia="en-US" w:bidi="ar-SA"/>
        </w:rPr>
        <w:t xml:space="preserve"> at para. 24, per LaForme J.A.).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Indeed, my colleague, Gillese J.A. in </w:t>
      </w:r>
      <w:r>
        <w:rPr>
          <w:rFonts w:ascii="arial" w:eastAsia="arial" w:hAnsi="arial" w:cs="arial"/>
          <w:i/>
          <w:color w:val="000000"/>
          <w:sz w:val="20"/>
          <w:lang w:val="en-US" w:eastAsia="en-US" w:bidi="ar-SA"/>
        </w:rPr>
        <w:t>Essentials of Canadian Law: The Law of Torts</w:t>
      </w:r>
      <w:r>
        <w:rPr>
          <w:rFonts w:ascii="arial" w:eastAsia="arial" w:hAnsi="arial" w:cs="arial"/>
          <w:color w:val="000000"/>
          <w:sz w:val="20"/>
          <w:lang w:val="en-US" w:eastAsia="en-US" w:bidi="ar-SA"/>
        </w:rPr>
        <w:t xml:space="preserve"> (Irwin Law: Concord, 1996), advocates the approach that there is no need to resort to the presumptions where evidence of intention is clear. This approach is both contemporary and reasonable since the overall purpose is, after all, to ascertain the transferor's intention (</w:t>
      </w:r>
      <w:r>
        <w:rPr>
          <w:rFonts w:ascii="arial" w:eastAsia="arial" w:hAnsi="arial" w:cs="arial"/>
          <w:b/>
          <w:i/>
          <w:color w:val="000000"/>
          <w:sz w:val="20"/>
          <w:lang w:val="en-US" w:eastAsia="en-US" w:bidi="ar-SA"/>
        </w:rPr>
        <w:t>Saylor</w:t>
      </w:r>
      <w:r>
        <w:rPr>
          <w:rFonts w:ascii="arial" w:eastAsia="arial" w:hAnsi="arial" w:cs="arial"/>
          <w:color w:val="000000"/>
          <w:sz w:val="20"/>
          <w:lang w:val="en-US" w:eastAsia="en-US" w:bidi="ar-SA"/>
        </w:rPr>
        <w:t xml:space="preserve"> at para. 25, per LaForme J.A.).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Saylor</w:t>
      </w:r>
      <w:r>
        <w:rPr>
          <w:rFonts w:ascii="arial" w:eastAsia="arial" w:hAnsi="arial" w:cs="arial"/>
          <w:color w:val="000000"/>
          <w:sz w:val="20"/>
          <w:lang w:val="en-US" w:eastAsia="en-US" w:bidi="ar-SA"/>
        </w:rPr>
        <w:t xml:space="preserve">, LaForme J.A. questioned whether the presumption of advancement, to the extent it is relevant, applies equally when gifts are made by fathers or mothers. LaForme J.A. declined to decide that question because in </w:t>
      </w:r>
      <w:r>
        <w:rPr>
          <w:rFonts w:ascii="arial" w:eastAsia="arial" w:hAnsi="arial" w:cs="arial"/>
          <w:b/>
          <w:i/>
          <w:color w:val="000000"/>
          <w:sz w:val="20"/>
          <w:lang w:val="en-US" w:eastAsia="en-US" w:bidi="ar-SA"/>
        </w:rPr>
        <w:t>Saylor</w:t>
      </w:r>
      <w:r>
        <w:rPr>
          <w:rFonts w:ascii="arial" w:eastAsia="arial" w:hAnsi="arial" w:cs="arial"/>
          <w:color w:val="000000"/>
          <w:sz w:val="20"/>
          <w:lang w:val="en-US" w:eastAsia="en-US" w:bidi="ar-SA"/>
        </w:rPr>
        <w:t xml:space="preserve"> the gift was by a father.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Clarke v. Hambly</w:t>
      </w:r>
      <w:r>
        <w:rPr>
          <w:rFonts w:ascii="arial" w:eastAsia="arial" w:hAnsi="arial" w:cs="arial"/>
          <w:color w:val="000000"/>
          <w:sz w:val="20"/>
          <w:lang w:val="en-US" w:eastAsia="en-US" w:bidi="ar-SA"/>
        </w:rPr>
        <w:t xml:space="preserve"> </w:t>
      </w:r>
      <w:hyperlink r:id="rId33" w:history="1">
        <w:r>
          <w:rPr>
            <w:rFonts w:ascii="arial" w:eastAsia="arial" w:hAnsi="arial" w:cs="arial"/>
            <w:i/>
            <w:color w:val="0077CC"/>
            <w:sz w:val="20"/>
            <w:u w:val="single"/>
            <w:shd w:val="clear" w:color="auto" w:fill="FFFFFF"/>
            <w:lang w:val="en-US" w:eastAsia="en-US" w:bidi="ar-SA"/>
          </w:rPr>
          <w:t>(2002), 46 E.T.R. (2d) 166</w:t>
        </w:r>
      </w:hyperlink>
      <w:r>
        <w:rPr>
          <w:rFonts w:ascii="arial" w:eastAsia="arial" w:hAnsi="arial" w:cs="arial"/>
          <w:color w:val="000000"/>
          <w:sz w:val="20"/>
          <w:lang w:val="en-US" w:eastAsia="en-US" w:bidi="ar-SA"/>
        </w:rPr>
        <w:t xml:space="preserve">, </w:t>
      </w:r>
      <w:hyperlink r:id="rId33" w:history="1">
        <w:r>
          <w:rPr>
            <w:rFonts w:ascii="arial" w:eastAsia="arial" w:hAnsi="arial" w:cs="arial"/>
            <w:i/>
            <w:color w:val="0077CC"/>
            <w:sz w:val="20"/>
            <w:u w:val="single"/>
            <w:shd w:val="clear" w:color="auto" w:fill="FFFFFF"/>
            <w:lang w:val="en-US" w:eastAsia="en-US" w:bidi="ar-SA"/>
          </w:rPr>
          <w:t>2002 BCSC 1074</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Clarke v. Hambly</w:t>
      </w:r>
      <w:r>
        <w:rPr>
          <w:rFonts w:ascii="arial" w:eastAsia="arial" w:hAnsi="arial" w:cs="arial"/>
          <w:color w:val="000000"/>
          <w:sz w:val="20"/>
          <w:lang w:val="en-US" w:eastAsia="en-US" w:bidi="ar-SA"/>
        </w:rPr>
        <w:t>], Kirkpatrick J. (as she then was) dealt with presumptions of advancement in the case of a gift by a mother to her daughter, and found that the presumption of advancement was not rebutted. In that case, the parties agreed there was a presumption of advancement when the gift was made by the mother. Kirkpatrick J. dealt only with the issue of whether the presumption was rebutted.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Saylor</w:t>
      </w:r>
      <w:r>
        <w:rPr>
          <w:rFonts w:ascii="arial" w:eastAsia="arial" w:hAnsi="arial" w:cs="arial"/>
          <w:color w:val="000000"/>
          <w:sz w:val="20"/>
          <w:lang w:val="en-US" w:eastAsia="en-US" w:bidi="ar-SA"/>
        </w:rPr>
        <w:t>, LaForme J.A. also questioned whether the presumption of advancement arises only in circumstances of dependent children, or can apply to an independent adult child. He concluded at para. 20 that the presumption of advancement depends on parental affection towards the child and not on financial dependence by the child. The presumption may thus apply to independent adult children. However, as noted above, LaForme J.A. held that the presumptions come into play only where the intention of the donor is unclear.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Application of the law to the Condominium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Whether Viviane was in substance a joint owner of the Condominium depends on the intentions of Eida and Gabriel at the time the Condominium was purchased.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On the basis of the evidence of Mr. Wilson and Viviane regarding the events surrounding the purchase of the Condominium in 1993, I am satisfied that Gabriel and Eida intended Viviane to be a beneficial joint tenant. At that time, Mr. Wilson explained the nature and effect of joint tenancy to Gabriel and Eida, who then chose to proceed with their plan to name Viviane as a joint tenant.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On Gabriel's death, the Condominium was registered in the joint names of Eida and Viviane. At that time, Eida confirmed her intention that Viviane be a joint owner. Eida's 1996 will, as well as her 1996 and 1999 statutory declarations, establish that she continued to intend that Viviane be a joint owner taking sole ownership upon Eida's death. The evidence of Mr. Wilson and Ms. Richter, which I accept, was that Eida well understood the effect in law of holding her property in joint tenancy with Viviane.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Alex argued that the presumption of advancement does not apply in this case, or that if it does, it was rebutted. Having concluded that Gabriel and Eida intended to make Viviane a beneficial joint owner, I need not consider the operation of the presumptions. Nevertheless, applying the presumptions yields the same result in this case. Common sense suggests that, all else being equal, the presumption of advancement should apply equally to gifts by mothers and fathers. However, even if the presumption of resulting trust applies, I conclude that the evidence of Mr. Wilson and Viviane regarding the events surrounding the purchase of the Condominium rebut that presumption. Gabriel and Eida, and latterly, Eida, clearly intended that Viviane be a beneficial joint owner of the Condominium.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 regarding the condominium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xml:space="preserve">  I conclude that the transfer of the Condominium was a valid </w:t>
      </w:r>
      <w:r>
        <w:rPr>
          <w:rFonts w:ascii="arial" w:eastAsia="arial" w:hAnsi="arial" w:cs="arial"/>
          <w:i/>
          <w:color w:val="000000"/>
          <w:sz w:val="20"/>
          <w:lang w:val="en-US" w:eastAsia="en-US" w:bidi="ar-SA"/>
        </w:rPr>
        <w:t>inter vivos</w:t>
      </w:r>
      <w:r>
        <w:rPr>
          <w:rFonts w:ascii="arial" w:eastAsia="arial" w:hAnsi="arial" w:cs="arial"/>
          <w:color w:val="000000"/>
          <w:sz w:val="20"/>
          <w:lang w:val="en-US" w:eastAsia="en-US" w:bidi="ar-SA"/>
        </w:rPr>
        <w:t xml:space="preserve"> gift to Viviane and passed to Viviane by right of survivorship upon Eida's death.</w:t>
      </w:r>
      <w:r>
        <w:rPr>
          <w:rFonts w:ascii="arial" w:eastAsia="arial" w:hAnsi="arial" w:cs="arial"/>
          <w:sz w:val="20"/>
          <w:lang w:val="en-US" w:eastAsia="en-US" w:bidi="ar-SA"/>
        </w:rPr>
        <w:cr/>
      </w:r>
    </w:p>
    <w:p>
      <w:pPr>
        <w:numPr>
          <w:numId w:val="50"/>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The jointly held accounts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Summary of key facts regarding the jointly held accounts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xml:space="preserve">  The bank account and investment account were held jointly by Eida and Viviane at the time of Eida's death. These jointly held assets were challenged by Alex on the basis that they were not valid </w:t>
      </w:r>
      <w:r>
        <w:rPr>
          <w:rFonts w:ascii="arial" w:eastAsia="arial" w:hAnsi="arial" w:cs="arial"/>
          <w:i/>
          <w:color w:val="000000"/>
          <w:sz w:val="20"/>
          <w:lang w:val="en-US" w:eastAsia="en-US" w:bidi="ar-SA"/>
        </w:rPr>
        <w:t>inter vivos</w:t>
      </w:r>
      <w:r>
        <w:rPr>
          <w:rFonts w:ascii="arial" w:eastAsia="arial" w:hAnsi="arial" w:cs="arial"/>
          <w:color w:val="000000"/>
          <w:sz w:val="20"/>
          <w:lang w:val="en-US" w:eastAsia="en-US" w:bidi="ar-SA"/>
        </w:rPr>
        <w:t xml:space="preserve"> transfers.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Gabriel and Eida transferred their bank account from TD Bank to the Royal Bank after purchasing the Condominium in 1993.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The investment portfolio of Gabriel and Eida was originally held with the TD Bank. In 1993 Gabriel and Eida decided to hold their investments jointly with Viviane. In 1996, after Gabriel's death, Eida transferred the investment portfolio to the RBC Dominion Securities account. The RBC account was opened in the joint names of Eida and Viviane on June 4,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Viviane did not deposit her own money into her parents' bank account and considered the money in that account to be theirs while they were alive. With respect to the RBC investment portfolio, Viviane's evidence was that she did not contribute to the portfolio and considered it to belong to her parents while they were alive. She understood the accounts to be gifts to her from her parents that would be realized upon her parents' deaths.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There was approximately $20,000 left in the joint bank account at the time of Eida's death, from which funeral, taxes and legal expenses were paid.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law of gifts and jointly held accounts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xml:space="preserve">  The law of gifts discussed earlier is generally applicable to gifts of money. As with gifts of land, the central question is the intention of the transferor: </w:t>
      </w:r>
      <w:r>
        <w:rPr>
          <w:rFonts w:ascii="arial" w:eastAsia="arial" w:hAnsi="arial" w:cs="arial"/>
          <w:b/>
          <w:i/>
          <w:color w:val="000000"/>
          <w:sz w:val="20"/>
          <w:lang w:val="en-US" w:eastAsia="en-US" w:bidi="ar-SA"/>
        </w:rPr>
        <w:t>Saylor</w:t>
      </w:r>
      <w:r>
        <w:rPr>
          <w:rFonts w:ascii="arial" w:eastAsia="arial" w:hAnsi="arial" w:cs="arial"/>
          <w:color w:val="000000"/>
          <w:sz w:val="20"/>
          <w:lang w:val="en-US" w:eastAsia="en-US" w:bidi="ar-SA"/>
        </w:rPr>
        <w:t xml:space="preserve"> at paras. 24 - 25. The presumptions are engaged only if the evidence of transferor's intention at the time of transfer is unclear.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Saylor</w:t>
      </w:r>
      <w:r>
        <w:rPr>
          <w:rFonts w:ascii="arial" w:eastAsia="arial" w:hAnsi="arial" w:cs="arial"/>
          <w:color w:val="000000"/>
          <w:sz w:val="20"/>
          <w:lang w:val="en-US" w:eastAsia="en-US" w:bidi="ar-SA"/>
        </w:rPr>
        <w:t>, LaForme J.A. observed at para. 22 that, if needed, the presumption of advancement would apply in the case of a father's gift of bank account funds to his daughter. On the facts of that case, the court concluded the father created the joint accounts purely for his convenience and did not intend to gift them to his daughter. LaForme J.A. commented as follows on the significance of the terms of the bank account providing for a right of survivorship:</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Bank documents can be strong evidence of a party's intention at the time the parties signed them. I do not, however, agree that the bank documents should be assigned presumptive value when trying to determine a party's intention. The probative value of such documents, like any other relevant evidence, can only be ascertained after an assessment of the totality of the relevant evidence. As this case demonstrates, the document does not always provide accurate evidence of the parties' intent (</w:t>
      </w:r>
      <w:r>
        <w:rPr>
          <w:rFonts w:ascii="arial" w:eastAsia="arial" w:hAnsi="arial" w:cs="arial"/>
          <w:b/>
          <w:i/>
          <w:color w:val="000000"/>
          <w:sz w:val="20"/>
          <w:lang w:val="en-US" w:eastAsia="en-US" w:bidi="ar-SA"/>
        </w:rPr>
        <w:t>Saylor</w:t>
      </w:r>
      <w:r>
        <w:rPr>
          <w:rFonts w:ascii="arial" w:eastAsia="arial" w:hAnsi="arial" w:cs="arial"/>
          <w:color w:val="000000"/>
          <w:sz w:val="20"/>
          <w:lang w:val="en-US" w:eastAsia="en-US" w:bidi="ar-SA"/>
        </w:rPr>
        <w:t xml:space="preserve"> at para. 27).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there is no reason to treat the documents as dispositive of the actual relationship between the parties. Documents remain a piece of evidence -- perhaps a very important piece of evidence -- going to the intention of the parties who created the document. Nevertheless, the weight to be assigned to such documents in any given case must be left to the trier of fact (</w:t>
      </w:r>
      <w:r>
        <w:rPr>
          <w:rFonts w:ascii="arial" w:eastAsia="arial" w:hAnsi="arial" w:cs="arial"/>
          <w:b/>
          <w:i/>
          <w:color w:val="000000"/>
          <w:sz w:val="20"/>
          <w:lang w:val="en-US" w:eastAsia="en-US" w:bidi="ar-SA"/>
        </w:rPr>
        <w:t>Saylor</w:t>
      </w:r>
      <w:r>
        <w:rPr>
          <w:rFonts w:ascii="arial" w:eastAsia="arial" w:hAnsi="arial" w:cs="arial"/>
          <w:color w:val="000000"/>
          <w:sz w:val="20"/>
          <w:lang w:val="en-US" w:eastAsia="en-US" w:bidi="ar-SA"/>
        </w:rPr>
        <w:t xml:space="preserve"> at para. 31).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LaForme J.A. then summarised the approach that should have been taken by the trial judge with respect to the joint accounts: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First, the court should have evaluated the whole of the evidence, including the bank documents, to determine whether there was a clear intention at the time of the transfer on the part of the late father to gift the joint accounts to [the donee]. Second, if, the intention of the late father remained unclear after this evaluation, then the court should have resorted to an analysis of the application of the presumptions of advancement or resulting trust (</w:t>
      </w:r>
      <w:r>
        <w:rPr>
          <w:rFonts w:ascii="arial" w:eastAsia="arial" w:hAnsi="arial" w:cs="arial"/>
          <w:b/>
          <w:i/>
          <w:color w:val="000000"/>
          <w:sz w:val="20"/>
          <w:lang w:val="en-US" w:eastAsia="en-US" w:bidi="ar-SA"/>
        </w:rPr>
        <w:t>Saylor</w:t>
      </w:r>
      <w:r>
        <w:rPr>
          <w:rFonts w:ascii="arial" w:eastAsia="arial" w:hAnsi="arial" w:cs="arial"/>
          <w:color w:val="000000"/>
          <w:sz w:val="20"/>
          <w:lang w:val="en-US" w:eastAsia="en-US" w:bidi="ar-SA"/>
        </w:rPr>
        <w:t xml:space="preserve"> at para. 31).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I agree with the analysis of LaForme J.A.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Clarke v. Hambly,</w:t>
      </w:r>
      <w:r>
        <w:rPr>
          <w:rFonts w:ascii="arial" w:eastAsia="arial" w:hAnsi="arial" w:cs="arial"/>
          <w:color w:val="000000"/>
          <w:sz w:val="20"/>
          <w:lang w:val="en-US" w:eastAsia="en-US" w:bidi="ar-SA"/>
        </w:rPr>
        <w:t xml:space="preserve"> the parties admitted that the presumption of advancement applied when a mother named her daughter as a joint owner of her bank and investment accounts. The presumption was not rebutted. At para. 10 of her reasons, Kirkpatrick J. noted (citing W.J. Mowbray, </w:t>
      </w:r>
      <w:r>
        <w:rPr>
          <w:rFonts w:ascii="arial" w:eastAsia="arial" w:hAnsi="arial" w:cs="arial"/>
          <w:i/>
          <w:color w:val="000000"/>
          <w:sz w:val="20"/>
          <w:lang w:val="en-US" w:eastAsia="en-US" w:bidi="ar-SA"/>
        </w:rPr>
        <w:t>Lewin on Trusts</w:t>
      </w:r>
      <w:r>
        <w:rPr>
          <w:rFonts w:ascii="arial" w:eastAsia="arial" w:hAnsi="arial" w:cs="arial"/>
          <w:color w:val="000000"/>
          <w:sz w:val="20"/>
          <w:lang w:val="en-US" w:eastAsia="en-US" w:bidi="ar-SA"/>
        </w:rPr>
        <w:t xml:space="preserve">, 16th ed. (London: Sweet &amp; Maxwell, 1964) at 135) that "advancement is a question of intention". I view the approach of Kirkpatrick J. as consistent with that of LaForme J.A. in </w:t>
      </w:r>
      <w:r>
        <w:rPr>
          <w:rFonts w:ascii="arial" w:eastAsia="arial" w:hAnsi="arial" w:cs="arial"/>
          <w:b/>
          <w:i/>
          <w:color w:val="000000"/>
          <w:sz w:val="20"/>
          <w:lang w:val="en-US" w:eastAsia="en-US" w:bidi="ar-SA"/>
        </w:rPr>
        <w:t>Saylor</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Application of the law to the jointly held accounts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Viviane did not regard the joint bank and investment accounts as hers to deal with as she wished during her parents' lifetimes. However, she understood her parents placed both their bank and investment accounts jointly in her name as a gift of a future interest that she would receive upon their deaths. She also understood that Eida, after transferring the investment account to RBC Dominion Securities, registered the investments as a joint account for the same reason.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xml:space="preserve">  In any event, Viviane's intention or understanding concerning the accounts she held jointly with her parents is not determinative of the issue. The authorities establish that the central question is the intention of the </w:t>
      </w:r>
      <w:r>
        <w:rPr>
          <w:rFonts w:ascii="arial" w:eastAsia="arial" w:hAnsi="arial" w:cs="arial"/>
          <w:i/>
          <w:color w:val="000000"/>
          <w:sz w:val="20"/>
          <w:lang w:val="en-US" w:eastAsia="en-US" w:bidi="ar-SA"/>
        </w:rPr>
        <w:t>transferor or donor</w:t>
      </w:r>
      <w:r>
        <w:rPr>
          <w:rFonts w:ascii="arial" w:eastAsia="arial" w:hAnsi="arial" w:cs="arial"/>
          <w:color w:val="000000"/>
          <w:sz w:val="20"/>
          <w:lang w:val="en-US" w:eastAsia="en-US" w:bidi="ar-SA"/>
        </w:rPr>
        <w:t>. What then, were the intentions of Gabriel and Eida when they decided to hold their accounts jointly with Viviane? And, ultimately, what was the intention of Eida when she transferred her investments to the RBC Dominion Securities joint account in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In my view, the true intentions of the transferor in this case are abundantly clear. Both Mr. Wilson and Ms. Richter advised Gabriel and Eida in 1993 of the effect of placing their bank accounts in their names jointly with Viviane. Both lawyers told Gabriel and Eida that the effect was to make a present gift of the accounts, and that if Viviane survived them she would be the sole owner of the funds in the accounts. The evidence of both Mr. Wilson and Ms. Richter, which I accept, was that upon being given that advice, Gabriel and Eida confirmed their intention to gift the accounts to Viviane by having her hold the accounts jointly with them during their lives.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When Eida transferred the investment portfolio to RBC Dominion Securities, Mr. Wolfe, the bank's representative, explained to her the effect of placing the portfolio jointly in Viviane's name. Eida was told, for example, that as joint owners of the investment account, she and Viviane had equal access to and control of the account. She was also told that as a consequence of Viviane's present joint ownership of the investments, the account was subject to claims by Viviane's creditors and by her spouse should her marriage break down. Eida also received advice from Ms. Richter about the jointly held investment portfolio at the time it was opened with RBC Dominion Securities. That advice was reiterated by Mr. Wilson in 2000, when he drafted the new will for Eida on her instructions.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Eida went to extraordinary lengths to ensure that her intentions with respect to the accounts were unambiguous. She did not set up the joint accounts for her convenience. She made clear in her 1996 will and her statutory declarations of 1996 and 1999 that she intended the jointly held accounts to pass to Viviane by right of survivorship rather than having them pass by her will to her estate.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 regarding the joint accounts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238</w:t>
      </w:r>
      <w:r>
        <w:rPr>
          <w:rFonts w:ascii="arial" w:eastAsia="arial" w:hAnsi="arial" w:cs="arial"/>
          <w:color w:val="000000"/>
          <w:sz w:val="20"/>
          <w:lang w:val="en-US" w:eastAsia="en-US" w:bidi="ar-SA"/>
        </w:rPr>
        <w:t xml:space="preserve">  I am satisfied that the transfers of the joint accounts were valid </w:t>
      </w:r>
      <w:r>
        <w:rPr>
          <w:rFonts w:ascii="arial" w:eastAsia="arial" w:hAnsi="arial" w:cs="arial"/>
          <w:i/>
          <w:color w:val="000000"/>
          <w:sz w:val="20"/>
          <w:lang w:val="en-US" w:eastAsia="en-US" w:bidi="ar-SA"/>
        </w:rPr>
        <w:t>inter vivos</w:t>
      </w:r>
      <w:r>
        <w:rPr>
          <w:rFonts w:ascii="arial" w:eastAsia="arial" w:hAnsi="arial" w:cs="arial"/>
          <w:color w:val="000000"/>
          <w:sz w:val="20"/>
          <w:lang w:val="en-US" w:eastAsia="en-US" w:bidi="ar-SA"/>
        </w:rPr>
        <w:t xml:space="preserve"> gifts and that both accounts passed to Viviane by right of survivorship upon Eida's death.</w:t>
      </w:r>
      <w:r>
        <w:rPr>
          <w:rFonts w:ascii="arial" w:eastAsia="arial" w:hAnsi="arial" w:cs="arial"/>
          <w:sz w:val="20"/>
          <w:lang w:val="en-US" w:eastAsia="en-US" w:bidi="ar-SA"/>
        </w:rPr>
        <w:cr/>
      </w:r>
    </w:p>
    <w:p>
      <w:pPr>
        <w:numPr>
          <w:numId w:val="51"/>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The Deed of Gift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Summary of key facts regarding the Deed of Gift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239</w:t>
      </w:r>
      <w:r>
        <w:rPr>
          <w:rFonts w:ascii="arial" w:eastAsia="arial" w:hAnsi="arial" w:cs="arial"/>
          <w:color w:val="000000"/>
          <w:sz w:val="20"/>
          <w:lang w:val="en-US" w:eastAsia="en-US" w:bidi="ar-SA"/>
        </w:rPr>
        <w:t>  In the years preceding the execution of the Deed of Gift, Eida took photographs of her various items of jewellery and wrote notes on the back of the photographs to indicate various earlier dates and occasions on which she purported to "give" Viviane the items. Evidently, Eida was not satisfied with this photographic record and wanted a more formal arrangement for the jewellery. In 1996, she told Mr. Wilson that she wanted to gift the jewellery to Viviane as part of her estate plan. As a result, Mr. Wilson prepared a Deed of Gift for the jewellery, dated October 9,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240</w:t>
      </w:r>
      <w:r>
        <w:rPr>
          <w:rFonts w:ascii="arial" w:eastAsia="arial" w:hAnsi="arial" w:cs="arial"/>
          <w:color w:val="000000"/>
          <w:sz w:val="20"/>
          <w:lang w:val="en-US" w:eastAsia="en-US" w:bidi="ar-SA"/>
        </w:rPr>
        <w:t>  Prior to drafting the Deed of Gift in 1996, Mr. Wilson explained to Eida the effect of executing the deed with respect to her jewellery and other personal items. Mr. Wilson explained that the effect of the document would be to make a present gift of her entire interest in the property described in the Deed of Gift, and that upon acceptance of the gift by Viviane, it would be a completed gift. Thereafter, Eida instructed him to draft the Deed of Gift, which was created under seal. Viviane also signed the document acknowledging her acceptance of the property described in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241</w:t>
      </w:r>
      <w:r>
        <w:rPr>
          <w:rFonts w:ascii="arial" w:eastAsia="arial" w:hAnsi="arial" w:cs="arial"/>
          <w:color w:val="000000"/>
          <w:sz w:val="20"/>
          <w:lang w:val="en-US" w:eastAsia="en-US" w:bidi="ar-SA"/>
        </w:rPr>
        <w:t>  After the jewellery was conveyed to Viviane by the Deed of Gift, Eida was free to use the items covered by the deed, but much of the jewellery remained or was placed in the safety deposit box held jointly by Viviane and Eida.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law of deeds of gift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242</w:t>
      </w:r>
      <w:r>
        <w:rPr>
          <w:rFonts w:ascii="arial" w:eastAsia="arial" w:hAnsi="arial" w:cs="arial"/>
          <w:color w:val="000000"/>
          <w:sz w:val="20"/>
          <w:lang w:val="en-US" w:eastAsia="en-US" w:bidi="ar-SA"/>
        </w:rPr>
        <w:t>  The Supreme Court of Canada has relatively recently affirmed the efficacy of sealed contracts. Because a contract under seal derives its validity from its form alone, there are several incidents of such a contract which differ from those of a simple contract. The fundamental difference between contracts under seal and simple contracts is in relation to the doctrine of consideration. The law will enforce a contract under seal even without consideration. Therefore, a gratuitous promise which is expressed in an instrument under seal is enforceable (</w:t>
      </w:r>
      <w:r>
        <w:rPr>
          <w:rFonts w:ascii="arial" w:eastAsia="arial" w:hAnsi="arial" w:cs="arial"/>
          <w:b/>
          <w:i/>
          <w:color w:val="000000"/>
          <w:sz w:val="20"/>
          <w:lang w:val="en-US" w:eastAsia="en-US" w:bidi="ar-SA"/>
        </w:rPr>
        <w:t>Friedmann Equity Developments Inc. v. Final Note Ltd.</w:t>
      </w:r>
      <w:r>
        <w:rPr>
          <w:rFonts w:ascii="arial" w:eastAsia="arial" w:hAnsi="arial" w:cs="arial"/>
          <w:color w:val="000000"/>
          <w:sz w:val="20"/>
          <w:lang w:val="en-US" w:eastAsia="en-US" w:bidi="ar-SA"/>
        </w:rPr>
        <w:t xml:space="preserve">, </w:t>
      </w:r>
      <w:hyperlink r:id="rId34" w:history="1">
        <w:r>
          <w:rPr>
            <w:rFonts w:ascii="arial" w:eastAsia="arial" w:hAnsi="arial" w:cs="arial"/>
            <w:i/>
            <w:color w:val="0077CC"/>
            <w:sz w:val="20"/>
            <w:u w:val="single"/>
            <w:shd w:val="clear" w:color="auto" w:fill="FFFFFF"/>
            <w:lang w:val="en-US" w:eastAsia="en-US" w:bidi="ar-SA"/>
          </w:rPr>
          <w:t>[2000] 1 S.C.R. 842</w:t>
        </w:r>
      </w:hyperlink>
      <w:r>
        <w:rPr>
          <w:rFonts w:ascii="arial" w:eastAsia="arial" w:hAnsi="arial" w:cs="arial"/>
          <w:color w:val="000000"/>
          <w:sz w:val="20"/>
          <w:lang w:val="en-US" w:eastAsia="en-US" w:bidi="ar-SA"/>
        </w:rPr>
        <w:t xml:space="preserve"> at para. 20, </w:t>
      </w:r>
      <w:hyperlink r:id="rId34" w:history="1">
        <w:r>
          <w:rPr>
            <w:rFonts w:ascii="arial" w:eastAsia="arial" w:hAnsi="arial" w:cs="arial"/>
            <w:i/>
            <w:color w:val="0077CC"/>
            <w:sz w:val="20"/>
            <w:u w:val="single"/>
            <w:shd w:val="clear" w:color="auto" w:fill="FFFFFF"/>
            <w:lang w:val="en-US" w:eastAsia="en-US" w:bidi="ar-SA"/>
          </w:rPr>
          <w:t>2000 SCC 34</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Friedmann Equity</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243</w:t>
      </w:r>
      <w:r>
        <w:rPr>
          <w:rFonts w:ascii="arial" w:eastAsia="arial" w:hAnsi="arial" w:cs="arial"/>
          <w:color w:val="000000"/>
          <w:sz w:val="20"/>
          <w:lang w:val="en-US" w:eastAsia="en-US" w:bidi="ar-SA"/>
        </w:rPr>
        <w:t>  The court set out the requirements for the enforceability of a sealed contract: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At common law, a sealed instrument, such as a deed or a specialty, must be signed, sealed and delivered. The mere inclusion of these three words is not sufficient, and some indication of a seal is required: see, e.g., </w:t>
      </w:r>
      <w:r>
        <w:rPr>
          <w:rFonts w:ascii="arial" w:eastAsia="arial" w:hAnsi="arial" w:cs="arial"/>
          <w:b/>
          <w:i/>
          <w:color w:val="000000"/>
          <w:sz w:val="20"/>
          <w:lang w:val="en-US" w:eastAsia="en-US" w:bidi="ar-SA"/>
        </w:rPr>
        <w:t>872899 Ontario Inc. v. Iacovoni</w:t>
      </w:r>
      <w:r>
        <w:rPr>
          <w:rFonts w:ascii="arial" w:eastAsia="arial" w:hAnsi="arial" w:cs="arial"/>
          <w:color w:val="000000"/>
          <w:sz w:val="20"/>
          <w:lang w:val="en-US" w:eastAsia="en-US" w:bidi="ar-SA"/>
        </w:rPr>
        <w:t xml:space="preserve"> </w:t>
      </w:r>
      <w:hyperlink r:id="rId35" w:history="1">
        <w:r>
          <w:rPr>
            <w:rFonts w:ascii="arial" w:eastAsia="arial" w:hAnsi="arial" w:cs="arial"/>
            <w:i/>
            <w:color w:val="0077CC"/>
            <w:sz w:val="20"/>
            <w:u w:val="single"/>
            <w:shd w:val="clear" w:color="auto" w:fill="FFFFFF"/>
            <w:lang w:val="en-US" w:eastAsia="en-US" w:bidi="ar-SA"/>
          </w:rPr>
          <w:t>(1998), 163 D.L.R. (4th) 263</w:t>
        </w:r>
      </w:hyperlink>
      <w:r>
        <w:rPr>
          <w:rFonts w:ascii="arial" w:eastAsia="arial" w:hAnsi="arial" w:cs="arial"/>
          <w:color w:val="000000"/>
          <w:sz w:val="20"/>
          <w:lang w:val="en-US" w:eastAsia="en-US" w:bidi="ar-SA"/>
        </w:rPr>
        <w:t xml:space="preserve"> (Ont. C.A.). To create a sealed instrument, the application of the seal must be a conscious and deliberate act. At common law, then, the relevant question is whether the party intended to create an instrument under seal (</w:t>
      </w:r>
      <w:r>
        <w:rPr>
          <w:rFonts w:ascii="arial" w:eastAsia="arial" w:hAnsi="arial" w:cs="arial"/>
          <w:b/>
          <w:i/>
          <w:color w:val="000000"/>
          <w:sz w:val="20"/>
          <w:lang w:val="en-US" w:eastAsia="en-US" w:bidi="ar-SA"/>
        </w:rPr>
        <w:t>Friedmann Equity</w:t>
      </w:r>
      <w:r>
        <w:rPr>
          <w:rFonts w:ascii="arial" w:eastAsia="arial" w:hAnsi="arial" w:cs="arial"/>
          <w:color w:val="000000"/>
          <w:sz w:val="20"/>
          <w:lang w:val="en-US" w:eastAsia="en-US" w:bidi="ar-SA"/>
        </w:rPr>
        <w:t xml:space="preserve"> at para. 36).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244</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Romaine</w:t>
      </w:r>
      <w:r>
        <w:rPr>
          <w:rFonts w:ascii="arial" w:eastAsia="arial" w:hAnsi="arial" w:cs="arial"/>
          <w:color w:val="000000"/>
          <w:sz w:val="20"/>
          <w:lang w:val="en-US" w:eastAsia="en-US" w:bidi="ar-SA"/>
        </w:rPr>
        <w:t xml:space="preserve"> it was confirmed that the mere affixing of a wafer seal may not be sufficient to form a valid deed. Rather, the seal must be affixed by a party with an intention to create legal obligations: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presence of the wafer seals on the Gift Documents when they were signed satisfies the "form and material substance" requirement (</w:t>
      </w:r>
      <w:r>
        <w:rPr>
          <w:rFonts w:ascii="arial" w:eastAsia="arial" w:hAnsi="arial" w:cs="arial"/>
          <w:b/>
          <w:i/>
          <w:color w:val="000000"/>
          <w:sz w:val="20"/>
          <w:lang w:val="en-US" w:eastAsia="en-US" w:bidi="ar-SA"/>
        </w:rPr>
        <w:t>Romaine</w:t>
      </w:r>
      <w:r>
        <w:rPr>
          <w:rFonts w:ascii="arial" w:eastAsia="arial" w:hAnsi="arial" w:cs="arial"/>
          <w:color w:val="000000"/>
          <w:sz w:val="20"/>
          <w:lang w:val="en-US" w:eastAsia="en-US" w:bidi="ar-SA"/>
        </w:rPr>
        <w:t xml:space="preserve"> at para. 40).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Whether there was a "sufficient act of sealing" relates to the procedure followed when the document was executed. There must be "acts or words sufficient to show that it is intended by the party to be executed as his deed and presently binding upon him" (</w:t>
      </w:r>
      <w:r>
        <w:rPr>
          <w:rFonts w:ascii="arial" w:eastAsia="arial" w:hAnsi="arial" w:cs="arial"/>
          <w:b/>
          <w:i/>
          <w:color w:val="000000"/>
          <w:sz w:val="20"/>
          <w:lang w:val="en-US" w:eastAsia="en-US" w:bidi="ar-SA"/>
        </w:rPr>
        <w:t>Romaine</w:t>
      </w:r>
      <w:r>
        <w:rPr>
          <w:rFonts w:ascii="arial" w:eastAsia="arial" w:hAnsi="arial" w:cs="arial"/>
          <w:color w:val="000000"/>
          <w:sz w:val="20"/>
          <w:lang w:val="en-US" w:eastAsia="en-US" w:bidi="ar-SA"/>
        </w:rPr>
        <w:t xml:space="preserve"> at para. 41. citing </w:t>
      </w:r>
      <w:r>
        <w:rPr>
          <w:rFonts w:ascii="arial" w:eastAsia="arial" w:hAnsi="arial" w:cs="arial"/>
          <w:b/>
          <w:i/>
          <w:color w:val="000000"/>
          <w:sz w:val="20"/>
          <w:lang w:val="en-US" w:eastAsia="en-US" w:bidi="ar-SA"/>
        </w:rPr>
        <w:t>Xenos v. Wickham</w:t>
      </w:r>
      <w:r>
        <w:rPr>
          <w:rFonts w:ascii="arial" w:eastAsia="arial" w:hAnsi="arial" w:cs="arial"/>
          <w:color w:val="000000"/>
          <w:sz w:val="20"/>
          <w:lang w:val="en-US" w:eastAsia="en-US" w:bidi="ar-SA"/>
        </w:rPr>
        <w:t>, (1867) L.R. 2 H.L. 296 at 312).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Application of the law to the Deed of Gift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245</w:t>
      </w:r>
      <w:r>
        <w:rPr>
          <w:rFonts w:ascii="arial" w:eastAsia="arial" w:hAnsi="arial" w:cs="arial"/>
          <w:color w:val="000000"/>
          <w:sz w:val="20"/>
          <w:lang w:val="en-US" w:eastAsia="en-US" w:bidi="ar-SA"/>
        </w:rPr>
        <w:t>  There is no dispute that Eida and Viviane signed the Deed of Gift. It was not suggested that Eida was not mentally competent at the time the deed was executed. It was suggested that Eida was unduly influenced by Viviane. I have rejected the allegations of undue influence for the reasons discussed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246</w:t>
      </w:r>
      <w:r>
        <w:rPr>
          <w:rFonts w:ascii="arial" w:eastAsia="arial" w:hAnsi="arial" w:cs="arial"/>
          <w:color w:val="000000"/>
          <w:sz w:val="20"/>
          <w:lang w:val="en-US" w:eastAsia="en-US" w:bidi="ar-SA"/>
        </w:rPr>
        <w:t>  The Deed of Gift states on its face that it was "signed, sealed and delivered". Mr. Wilson testified that the documents were sealed and I accept that the seals were placed on the documents at the time of execution. Thus, in all respects, the Deed of Gift meets the form requirements for sealed instruments. The only question remaining is whether Eida intended to create legal obligations when executing the Deed of Gift.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247</w:t>
      </w:r>
      <w:r>
        <w:rPr>
          <w:rFonts w:ascii="arial" w:eastAsia="arial" w:hAnsi="arial" w:cs="arial"/>
          <w:color w:val="000000"/>
          <w:sz w:val="20"/>
          <w:lang w:val="en-US" w:eastAsia="en-US" w:bidi="ar-SA"/>
        </w:rPr>
        <w:t>  The photographs with notes on the back were taken some time before the Deed of Gift was executed and are not determinative of Eida's intention at the time of execution. I take the photos and notes to be merely expressions of Eida's ongoing intention to give the items to her daughter and her somewhat crude means of leaving a record of having done so, prompted by her concerns about a dispute over her estate and before receiving the advice of Mr. Wilson concerning the Deed of Gift.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248</w:t>
      </w:r>
      <w:r>
        <w:rPr>
          <w:rFonts w:ascii="arial" w:eastAsia="arial" w:hAnsi="arial" w:cs="arial"/>
          <w:color w:val="000000"/>
          <w:sz w:val="20"/>
          <w:lang w:val="en-US" w:eastAsia="en-US" w:bidi="ar-SA"/>
        </w:rPr>
        <w:t>  Eida explained to Mr. Wilson that she wanted to leave her jewellery to Viviane. I have no doubt that at the time the Deed of Gift was executed, Eida intended Viviane to have the jewellery. Before the Deed of Gift was executed, Mr. Wilson explained to Eida the significance of executing a sealed instrument. I conclude that Eida appreciated the legal significance of executing the Deed of Gift and intended to gift to Viviane the specific property described.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249</w:t>
      </w:r>
      <w:r>
        <w:rPr>
          <w:rFonts w:ascii="arial" w:eastAsia="arial" w:hAnsi="arial" w:cs="arial"/>
          <w:color w:val="000000"/>
          <w:sz w:val="20"/>
          <w:lang w:val="en-US" w:eastAsia="en-US" w:bidi="ar-SA"/>
        </w:rPr>
        <w:t>  Any ongoing use by Eida of the jewellery and other items listed in the Deed of Gift would not affect Viviane's acceptance of the gifts or her right of ownership. In any event, there was no evidence to suggest that Eida did continue to wear the jewellery. Neither Ms. Quadir nor Ms. Shariff, regular companions of Eida, saw Eida wearing jewellery other than a signet ring she always wore.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 regarding the Deed of Gift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250</w:t>
      </w:r>
      <w:r>
        <w:rPr>
          <w:rFonts w:ascii="arial" w:eastAsia="arial" w:hAnsi="arial" w:cs="arial"/>
          <w:color w:val="000000"/>
          <w:sz w:val="20"/>
          <w:lang w:val="en-US" w:eastAsia="en-US" w:bidi="ar-SA"/>
        </w:rPr>
        <w:t>  I conclude that the Deed of Gift was effective from the time of its execution in October of 1996.</w:t>
      </w:r>
      <w:r>
        <w:rPr>
          <w:rFonts w:ascii="arial" w:eastAsia="arial" w:hAnsi="arial" w:cs="arial"/>
          <w:sz w:val="20"/>
          <w:lang w:val="en-US" w:eastAsia="en-US" w:bidi="ar-SA"/>
        </w:rPr>
        <w:cr/>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The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Summary of key facts regarding the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251</w:t>
      </w:r>
      <w:r>
        <w:rPr>
          <w:rFonts w:ascii="arial" w:eastAsia="arial" w:hAnsi="arial" w:cs="arial"/>
          <w:color w:val="000000"/>
          <w:sz w:val="20"/>
          <w:lang w:val="en-US" w:eastAsia="en-US" w:bidi="ar-SA"/>
        </w:rPr>
        <w:t xml:space="preserve">  The Trust was created as an </w:t>
      </w:r>
      <w:r>
        <w:rPr>
          <w:rFonts w:ascii="arial" w:eastAsia="arial" w:hAnsi="arial" w:cs="arial"/>
          <w:i/>
          <w:color w:val="000000"/>
          <w:sz w:val="20"/>
          <w:lang w:val="en-US" w:eastAsia="en-US" w:bidi="ar-SA"/>
        </w:rPr>
        <w:t>inter vivos</w:t>
      </w:r>
      <w:r>
        <w:rPr>
          <w:rFonts w:ascii="arial" w:eastAsia="arial" w:hAnsi="arial" w:cs="arial"/>
          <w:color w:val="000000"/>
          <w:sz w:val="20"/>
          <w:lang w:val="en-US" w:eastAsia="en-US" w:bidi="ar-SA"/>
        </w:rPr>
        <w:t xml:space="preserve"> trust to hold the Warehouse until Eida's death. Eida instructed Mr. Wilson to draft the Trust to prevent the Warehouse passing under her will, in the hope that she could thereby preclude a </w:t>
      </w:r>
      <w:r>
        <w:rPr>
          <w:rFonts w:ascii="arial" w:eastAsia="arial" w:hAnsi="arial" w:cs="arial"/>
          <w:b/>
          <w:i/>
          <w:color w:val="000000"/>
          <w:sz w:val="20"/>
          <w:lang w:val="en-US" w:eastAsia="en-US" w:bidi="ar-SA"/>
        </w:rPr>
        <w:t>WVA</w:t>
      </w:r>
      <w:r>
        <w:rPr>
          <w:rFonts w:ascii="arial" w:eastAsia="arial" w:hAnsi="arial" w:cs="arial"/>
          <w:color w:val="000000"/>
          <w:sz w:val="20"/>
          <w:lang w:val="en-US" w:eastAsia="en-US" w:bidi="ar-SA"/>
        </w:rPr>
        <w:t xml:space="preserve"> claim by Alex. In order to avoid capital gains tax on the Warehouse at the time of settlement, the Trust was designed to comply with s. 104(4) of the </w:t>
      </w:r>
      <w:r>
        <w:rPr>
          <w:rFonts w:ascii="arial" w:eastAsia="arial" w:hAnsi="arial" w:cs="arial"/>
          <w:b/>
          <w:i/>
          <w:color w:val="000000"/>
          <w:sz w:val="20"/>
          <w:lang w:val="en-US" w:eastAsia="en-US" w:bidi="ar-SA"/>
        </w:rPr>
        <w:t>Income Tax Act</w:t>
      </w:r>
      <w:r>
        <w:rPr>
          <w:rFonts w:ascii="arial" w:eastAsia="arial" w:hAnsi="arial" w:cs="arial"/>
          <w:color w:val="000000"/>
          <w:sz w:val="20"/>
          <w:lang w:val="en-US" w:eastAsia="en-US" w:bidi="ar-SA"/>
        </w:rPr>
        <w:t xml:space="preserve">, </w:t>
      </w:r>
      <w:hyperlink r:id="rId36" w:history="1">
        <w:r>
          <w:rPr>
            <w:rFonts w:ascii="arial" w:eastAsia="arial" w:hAnsi="arial" w:cs="arial"/>
            <w:i/>
            <w:color w:val="0077CC"/>
            <w:sz w:val="20"/>
            <w:u w:val="single"/>
            <w:shd w:val="clear" w:color="auto" w:fill="FFFFFF"/>
            <w:lang w:val="en-US" w:eastAsia="en-US" w:bidi="ar-SA"/>
          </w:rPr>
          <w:t>R.S.C. 1985, c. 1 (5th Supp.)</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ITA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252</w:t>
      </w:r>
      <w:r>
        <w:rPr>
          <w:rFonts w:ascii="arial" w:eastAsia="arial" w:hAnsi="arial" w:cs="arial"/>
          <w:color w:val="000000"/>
          <w:sz w:val="20"/>
          <w:lang w:val="en-US" w:eastAsia="en-US" w:bidi="ar-SA"/>
        </w:rPr>
        <w:t>  Eida did not reserve the right as settlor to revoke the Trust (Paragraph 1.4 of the Trust Indenture).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253</w:t>
      </w:r>
      <w:r>
        <w:rPr>
          <w:rFonts w:ascii="arial" w:eastAsia="arial" w:hAnsi="arial" w:cs="arial"/>
          <w:color w:val="000000"/>
          <w:sz w:val="20"/>
          <w:lang w:val="en-US" w:eastAsia="en-US" w:bidi="ar-SA"/>
        </w:rPr>
        <w:t>  Eida had the right, as a beneficiary, to call for Trust Property to be transferred to her during her lifetime. She did not exercise that 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254</w:t>
      </w:r>
      <w:r>
        <w:rPr>
          <w:rFonts w:ascii="arial" w:eastAsia="arial" w:hAnsi="arial" w:cs="arial"/>
          <w:color w:val="000000"/>
          <w:sz w:val="20"/>
          <w:lang w:val="en-US" w:eastAsia="en-US" w:bidi="ar-SA"/>
        </w:rPr>
        <w:t>  Upon Eida's death, the Trust Property was transferred to Viviane as the ultimate beneficiary.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255</w:t>
      </w:r>
      <w:r>
        <w:rPr>
          <w:rFonts w:ascii="arial" w:eastAsia="arial" w:hAnsi="arial" w:cs="arial"/>
          <w:color w:val="000000"/>
          <w:sz w:val="20"/>
          <w:lang w:val="en-US" w:eastAsia="en-US" w:bidi="ar-SA"/>
        </w:rPr>
        <w:t>  Although the Trust allowed for additional property to be added, the Warehouse, and the income from it, were the only property ever held by the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256</w:t>
      </w:r>
      <w:r>
        <w:rPr>
          <w:rFonts w:ascii="arial" w:eastAsia="arial" w:hAnsi="arial" w:cs="arial"/>
          <w:color w:val="000000"/>
          <w:sz w:val="20"/>
          <w:lang w:val="en-US" w:eastAsia="en-US" w:bidi="ar-SA"/>
        </w:rPr>
        <w:t>  The Trust Indenture and the Form A land transfer document were executed by Eida on September 5,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257</w:t>
      </w:r>
      <w:r>
        <w:rPr>
          <w:rFonts w:ascii="arial" w:eastAsia="arial" w:hAnsi="arial" w:cs="arial"/>
          <w:color w:val="000000"/>
          <w:sz w:val="20"/>
          <w:lang w:val="en-US" w:eastAsia="en-US" w:bidi="ar-SA"/>
        </w:rPr>
        <w:t>  Mr. Wilson did not register the Form A in the Land Title Office until after Eida's death. On his own initiative, Mr. Wilson held the transfer. He did so in order to prevent the triggering of property taxes that would have occurred upon the transfer of the Trust Property from Eida to himself as Trustee.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258</w:t>
      </w:r>
      <w:r>
        <w:rPr>
          <w:rFonts w:ascii="arial" w:eastAsia="arial" w:hAnsi="arial" w:cs="arial"/>
          <w:color w:val="000000"/>
          <w:sz w:val="20"/>
          <w:lang w:val="en-US" w:eastAsia="en-US" w:bidi="ar-SA"/>
        </w:rPr>
        <w:t>  Eida died on April 11,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Summary of issues and approach to analysis of the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259</w:t>
      </w:r>
      <w:r>
        <w:rPr>
          <w:rFonts w:ascii="arial" w:eastAsia="arial" w:hAnsi="arial" w:cs="arial"/>
          <w:color w:val="000000"/>
          <w:sz w:val="20"/>
          <w:lang w:val="en-US" w:eastAsia="en-US" w:bidi="ar-SA"/>
        </w:rPr>
        <w:t xml:space="preserve">  In order to determine whether the Trust was a valid </w:t>
      </w:r>
      <w:r>
        <w:rPr>
          <w:rFonts w:ascii="arial" w:eastAsia="arial" w:hAnsi="arial" w:cs="arial"/>
          <w:i/>
          <w:color w:val="000000"/>
          <w:sz w:val="20"/>
          <w:lang w:val="en-US" w:eastAsia="en-US" w:bidi="ar-SA"/>
        </w:rPr>
        <w:t>inter vivos</w:t>
      </w:r>
      <w:r>
        <w:rPr>
          <w:rFonts w:ascii="arial" w:eastAsia="arial" w:hAnsi="arial" w:cs="arial"/>
          <w:color w:val="000000"/>
          <w:sz w:val="20"/>
          <w:lang w:val="en-US" w:eastAsia="en-US" w:bidi="ar-SA"/>
        </w:rPr>
        <w:t xml:space="preserve"> trust, I have considered the following issues:</w:t>
      </w:r>
      <w:r>
        <w:rPr>
          <w:rFonts w:ascii="arial" w:eastAsia="arial" w:hAnsi="arial" w:cs="arial"/>
          <w:sz w:val="20"/>
          <w:lang w:val="en-US" w:eastAsia="en-US" w:bidi="ar-SA"/>
        </w:rPr>
        <w:cr/>
      </w:r>
    </w:p>
    <w:p>
      <w:pPr>
        <w:numPr>
          <w:numId w:val="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there a valid act of transfer to a clearly identified trustee?</w:t>
      </w:r>
    </w:p>
    <w:p>
      <w:pPr>
        <w:numPr>
          <w:numId w:val="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act of transfer vitiated by the circumstances of the transfer?</w:t>
      </w:r>
    </w:p>
    <w:p>
      <w:pPr>
        <w:numPr>
          <w:numId w:val="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Trust certain?</w:t>
      </w:r>
    </w:p>
    <w:p>
      <w:pPr>
        <w:numPr>
          <w:numId w:val="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Where the formalities for </w:t>
      </w:r>
      <w:r>
        <w:rPr>
          <w:rFonts w:ascii="arial" w:eastAsia="arial" w:hAnsi="arial" w:cs="arial"/>
          <w:i/>
          <w:color w:val="000000"/>
          <w:sz w:val="20"/>
          <w:lang w:val="en-US" w:eastAsia="en-US" w:bidi="ar-SA"/>
        </w:rPr>
        <w:t>inter vivos</w:t>
      </w:r>
      <w:r>
        <w:rPr>
          <w:rFonts w:ascii="arial" w:eastAsia="arial" w:hAnsi="arial" w:cs="arial"/>
          <w:color w:val="000000"/>
          <w:sz w:val="20"/>
          <w:lang w:val="en-US" w:eastAsia="en-US" w:bidi="ar-SA"/>
        </w:rPr>
        <w:t xml:space="preserve"> trusts complied with?</w:t>
      </w:r>
    </w:p>
    <w:p>
      <w:pPr>
        <w:numPr>
          <w:numId w:val="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there a resulting trust for lack of consideration?</w:t>
      </w:r>
    </w:p>
    <w:p>
      <w:pPr>
        <w:numPr>
          <w:numId w:val="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Trust testamentary in nature?</w:t>
      </w:r>
    </w:p>
    <w:p>
      <w:pPr>
        <w:numPr>
          <w:numId w:val="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any part of the Trust void for repugnancy?</w:t>
      </w:r>
    </w:p>
    <w:p>
      <w:pPr>
        <w:numPr>
          <w:numId w:val="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Trust properly constituted?</w:t>
      </w:r>
    </w:p>
    <w:p>
      <w:pPr>
        <w:numPr>
          <w:numId w:val="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Trust void on public policy grounds?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Significance of the ITA provisions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260</w:t>
      </w:r>
      <w:r>
        <w:rPr>
          <w:rFonts w:ascii="arial" w:eastAsia="arial" w:hAnsi="arial" w:cs="arial"/>
          <w:color w:val="000000"/>
          <w:sz w:val="20"/>
          <w:lang w:val="en-US" w:eastAsia="en-US" w:bidi="ar-SA"/>
        </w:rPr>
        <w:t xml:space="preserve">  Before turning to those issues, I will make the following comments about the alter ego trust provisions of the </w:t>
      </w:r>
      <w:r>
        <w:rPr>
          <w:rFonts w:ascii="arial" w:eastAsia="arial" w:hAnsi="arial" w:cs="arial"/>
          <w:b/>
          <w:i/>
          <w:color w:val="000000"/>
          <w:sz w:val="20"/>
          <w:lang w:val="en-US" w:eastAsia="en-US" w:bidi="ar-SA"/>
        </w:rPr>
        <w:t>ITA</w:t>
      </w:r>
      <w:r>
        <w:rPr>
          <w:rFonts w:ascii="arial" w:eastAsia="arial" w:hAnsi="arial" w:cs="arial"/>
          <w:color w:val="000000"/>
          <w:sz w:val="20"/>
          <w:lang w:val="en-US" w:eastAsia="en-US" w:bidi="ar-SA"/>
        </w:rPr>
        <w:t xml:space="preserve">. Those provisions have no bearing on whether the Trust was properly formed or valid. The </w:t>
      </w:r>
      <w:r>
        <w:rPr>
          <w:rFonts w:ascii="arial" w:eastAsia="arial" w:hAnsi="arial" w:cs="arial"/>
          <w:b/>
          <w:i/>
          <w:color w:val="000000"/>
          <w:sz w:val="20"/>
          <w:lang w:val="en-US" w:eastAsia="en-US" w:bidi="ar-SA"/>
        </w:rPr>
        <w:t>ITA</w:t>
      </w:r>
      <w:r>
        <w:rPr>
          <w:rFonts w:ascii="arial" w:eastAsia="arial" w:hAnsi="arial" w:cs="arial"/>
          <w:color w:val="000000"/>
          <w:sz w:val="20"/>
          <w:lang w:val="en-US" w:eastAsia="en-US" w:bidi="ar-SA"/>
        </w:rPr>
        <w:t xml:space="preserve"> merely determines whether the settlor is required to pay capital gains tax at the time of settlement, or defer the triggering of capital gains until his or her death. Section 104(4) of the </w:t>
      </w:r>
      <w:r>
        <w:rPr>
          <w:rFonts w:ascii="arial" w:eastAsia="arial" w:hAnsi="arial" w:cs="arial"/>
          <w:b/>
          <w:i/>
          <w:color w:val="000000"/>
          <w:sz w:val="20"/>
          <w:lang w:val="en-US" w:eastAsia="en-US" w:bidi="ar-SA"/>
        </w:rPr>
        <w:t>ITA</w:t>
      </w:r>
      <w:r>
        <w:rPr>
          <w:rFonts w:ascii="arial" w:eastAsia="arial" w:hAnsi="arial" w:cs="arial"/>
          <w:color w:val="000000"/>
          <w:sz w:val="20"/>
          <w:lang w:val="en-US" w:eastAsia="en-US" w:bidi="ar-SA"/>
        </w:rPr>
        <w:t xml:space="preserve"> deals with the issue of when trusts are taxed. The section reads, with parts not relevant to this case excluded,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Deemed disposition by trust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104(4) Every trust is, at the end of each of the following days, deemed to have disposed of each property of the trust ... that was capital property ... at the end of that day and to have reacquired the property immediately after that day for an amount equal to that fair market value, and for the purposes of this Act those days are</w:t>
      </w:r>
    </w:p>
    <w:p>
      <w:pPr>
        <w:numPr>
          <w:numId w:val="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 trust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a trust ... that was created after 1999 by a taxpayer during the taxpayer's lifetime and that, at any time after 1999, was a trust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under which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case of a trust described in subparagraph (ii.1) created by a taxpayer who had attained 65 years of age at the time the trust was created,</w:t>
      </w:r>
    </w:p>
    <w:p>
      <w:pPr>
        <w:numPr>
          <w:numId w:val="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taxpayer was entitled to receive all of the income of the trust that arose before the taxpayer's death and no person except the taxpayer could, before the taxpayer's death, receive or otherwise obtain the use of any of the income or capital of the trust,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day on which the death ... occurs.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261</w:t>
      </w:r>
      <w:r>
        <w:rPr>
          <w:rFonts w:ascii="arial" w:eastAsia="arial" w:hAnsi="arial" w:cs="arial"/>
          <w:color w:val="000000"/>
          <w:sz w:val="20"/>
          <w:lang w:val="en-US" w:eastAsia="en-US" w:bidi="ar-SA"/>
        </w:rPr>
        <w:t xml:space="preserve">  Section 104(4)(a)(iv)(A) suggests that under a valid </w:t>
      </w:r>
      <w:r>
        <w:rPr>
          <w:rFonts w:ascii="arial" w:eastAsia="arial" w:hAnsi="arial" w:cs="arial"/>
          <w:i/>
          <w:color w:val="000000"/>
          <w:sz w:val="20"/>
          <w:lang w:val="en-US" w:eastAsia="en-US" w:bidi="ar-SA"/>
        </w:rPr>
        <w:t>inter vivos</w:t>
      </w:r>
      <w:r>
        <w:rPr>
          <w:rFonts w:ascii="arial" w:eastAsia="arial" w:hAnsi="arial" w:cs="arial"/>
          <w:color w:val="000000"/>
          <w:sz w:val="20"/>
          <w:lang w:val="en-US" w:eastAsia="en-US" w:bidi="ar-SA"/>
        </w:rPr>
        <w:t xml:space="preserve"> trust the settlor may </w:t>
      </w:r>
      <w:r>
        <w:rPr>
          <w:rFonts w:ascii="arial" w:eastAsia="arial" w:hAnsi="arial" w:cs="arial"/>
          <w:i/>
          <w:color w:val="000000"/>
          <w:sz w:val="20"/>
          <w:lang w:val="en-US" w:eastAsia="en-US" w:bidi="ar-SA"/>
        </w:rPr>
        <w:t>receive</w:t>
      </w:r>
      <w:r>
        <w:rPr>
          <w:rFonts w:ascii="arial" w:eastAsia="arial" w:hAnsi="arial" w:cs="arial"/>
          <w:color w:val="000000"/>
          <w:sz w:val="20"/>
          <w:lang w:val="en-US" w:eastAsia="en-US" w:bidi="ar-SA"/>
        </w:rPr>
        <w:t xml:space="preserve"> capital property. This may occur where the trust document provides that specified amounts of capital will be transferred to the settlor as beneficiary at specified times. This </w:t>
      </w:r>
      <w:r>
        <w:rPr>
          <w:rFonts w:ascii="arial" w:eastAsia="arial" w:hAnsi="arial" w:cs="arial"/>
          <w:b/>
          <w:i/>
          <w:color w:val="000000"/>
          <w:sz w:val="20"/>
          <w:lang w:val="en-US" w:eastAsia="en-US" w:bidi="ar-SA"/>
        </w:rPr>
        <w:t>ITA</w:t>
      </w:r>
      <w:r>
        <w:rPr>
          <w:rFonts w:ascii="arial" w:eastAsia="arial" w:hAnsi="arial" w:cs="arial"/>
          <w:color w:val="000000"/>
          <w:sz w:val="20"/>
          <w:lang w:val="en-US" w:eastAsia="en-US" w:bidi="ar-SA"/>
        </w:rPr>
        <w:t xml:space="preserve"> provision does not imply that the settlor may reserve the right to </w:t>
      </w:r>
      <w:r>
        <w:rPr>
          <w:rFonts w:ascii="arial" w:eastAsia="arial" w:hAnsi="arial" w:cs="arial"/>
          <w:i/>
          <w:color w:val="000000"/>
          <w:sz w:val="20"/>
          <w:lang w:val="en-US" w:eastAsia="en-US" w:bidi="ar-SA"/>
        </w:rPr>
        <w:t>call</w:t>
      </w:r>
      <w:r>
        <w:rPr>
          <w:rFonts w:ascii="arial" w:eastAsia="arial" w:hAnsi="arial" w:cs="arial"/>
          <w:color w:val="000000"/>
          <w:sz w:val="20"/>
          <w:lang w:val="en-US" w:eastAsia="en-US" w:bidi="ar-SA"/>
        </w:rPr>
        <w:t xml:space="preserve"> for trust capital, but does not prohibit such a trust. Whether the reservation of that right affects the validity or </w:t>
      </w:r>
      <w:r>
        <w:rPr>
          <w:rFonts w:ascii="arial" w:eastAsia="arial" w:hAnsi="arial" w:cs="arial"/>
          <w:i/>
          <w:color w:val="000000"/>
          <w:sz w:val="20"/>
          <w:lang w:val="en-US" w:eastAsia="en-US" w:bidi="ar-SA"/>
        </w:rPr>
        <w:t>inter vivos</w:t>
      </w:r>
      <w:r>
        <w:rPr>
          <w:rFonts w:ascii="arial" w:eastAsia="arial" w:hAnsi="arial" w:cs="arial"/>
          <w:color w:val="000000"/>
          <w:sz w:val="20"/>
          <w:lang w:val="en-US" w:eastAsia="en-US" w:bidi="ar-SA"/>
        </w:rPr>
        <w:t xml:space="preserve"> nature of the trust is a matter of trust law, not tax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262</w:t>
      </w:r>
      <w:r>
        <w:rPr>
          <w:rFonts w:ascii="arial" w:eastAsia="arial" w:hAnsi="arial" w:cs="arial"/>
          <w:color w:val="000000"/>
          <w:sz w:val="20"/>
          <w:lang w:val="en-US" w:eastAsia="en-US" w:bidi="ar-SA"/>
        </w:rPr>
        <w:t xml:space="preserve">  Because compliance of the Trust with the </w:t>
      </w:r>
      <w:r>
        <w:rPr>
          <w:rFonts w:ascii="arial" w:eastAsia="arial" w:hAnsi="arial" w:cs="arial"/>
          <w:b/>
          <w:i/>
          <w:color w:val="000000"/>
          <w:sz w:val="20"/>
          <w:lang w:val="en-US" w:eastAsia="en-US" w:bidi="ar-SA"/>
        </w:rPr>
        <w:t>ITA</w:t>
      </w:r>
      <w:r>
        <w:rPr>
          <w:rFonts w:ascii="arial" w:eastAsia="arial" w:hAnsi="arial" w:cs="arial"/>
          <w:color w:val="000000"/>
          <w:sz w:val="20"/>
          <w:lang w:val="en-US" w:eastAsia="en-US" w:bidi="ar-SA"/>
        </w:rPr>
        <w:t>was not in issue in this case, the tax aspects of the Trust will not be considered further.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Was there a valid act of transfer to a clearly identified trustee?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263</w:t>
      </w:r>
      <w:r>
        <w:rPr>
          <w:rFonts w:ascii="arial" w:eastAsia="arial" w:hAnsi="arial" w:cs="arial"/>
          <w:color w:val="000000"/>
          <w:sz w:val="20"/>
          <w:lang w:val="en-US" w:eastAsia="en-US" w:bidi="ar-SA"/>
        </w:rPr>
        <w:t xml:space="preserve">  To form a valid </w:t>
      </w:r>
      <w:r>
        <w:rPr>
          <w:rFonts w:ascii="arial" w:eastAsia="arial" w:hAnsi="arial" w:cs="arial"/>
          <w:i/>
          <w:color w:val="000000"/>
          <w:sz w:val="20"/>
          <w:lang w:val="en-US" w:eastAsia="en-US" w:bidi="ar-SA"/>
        </w:rPr>
        <w:t>inter vivos</w:t>
      </w:r>
      <w:r>
        <w:rPr>
          <w:rFonts w:ascii="arial" w:eastAsia="arial" w:hAnsi="arial" w:cs="arial"/>
          <w:color w:val="000000"/>
          <w:sz w:val="20"/>
          <w:lang w:val="en-US" w:eastAsia="en-US" w:bidi="ar-SA"/>
        </w:rPr>
        <w:t xml:space="preserve"> trust, there must be a valid act of transfer to a clearly identified trustee.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264</w:t>
      </w:r>
      <w:r>
        <w:rPr>
          <w:rFonts w:ascii="arial" w:eastAsia="arial" w:hAnsi="arial" w:cs="arial"/>
          <w:color w:val="000000"/>
          <w:sz w:val="20"/>
          <w:lang w:val="en-US" w:eastAsia="en-US" w:bidi="ar-SA"/>
        </w:rPr>
        <w:t>  It is clear from the Trust Indenture that Mr. Wilson was to be the original Trustee. Further, a Form A transferring the Warehouse to Mr. Wilson "as Trustee" was executed by Eida on September 5, 2000. Accordingly, in this case, the identity of the Trustee was clear.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265</w:t>
      </w:r>
      <w:r>
        <w:rPr>
          <w:rFonts w:ascii="arial" w:eastAsia="arial" w:hAnsi="arial" w:cs="arial"/>
          <w:color w:val="000000"/>
          <w:sz w:val="20"/>
          <w:lang w:val="en-US" w:eastAsia="en-US" w:bidi="ar-SA"/>
        </w:rPr>
        <w:t xml:space="preserve">  However, the creation of a valid </w:t>
      </w:r>
      <w:r>
        <w:rPr>
          <w:rFonts w:ascii="arial" w:eastAsia="arial" w:hAnsi="arial" w:cs="arial"/>
          <w:i/>
          <w:color w:val="000000"/>
          <w:sz w:val="20"/>
          <w:lang w:val="en-US" w:eastAsia="en-US" w:bidi="ar-SA"/>
        </w:rPr>
        <w:t>inter vivos</w:t>
      </w:r>
      <w:r>
        <w:rPr>
          <w:rFonts w:ascii="arial" w:eastAsia="arial" w:hAnsi="arial" w:cs="arial"/>
          <w:color w:val="000000"/>
          <w:sz w:val="20"/>
          <w:lang w:val="en-US" w:eastAsia="en-US" w:bidi="ar-SA"/>
        </w:rPr>
        <w:t xml:space="preserve"> trust requires a valid act of transfer to that clearly identified trustee. In this case, was it enough for Eida to complete the Form A and hand it to Mr. Wilson, or was it also necessary to register the Form A before the Trust came into existence? As noted, Mr. Wilson did not register the Form A until after Eida's death for property tax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Legal authorities concerning the requirements for a valid transfer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266</w:t>
      </w:r>
      <w:r>
        <w:rPr>
          <w:rFonts w:ascii="arial" w:eastAsia="arial" w:hAnsi="arial" w:cs="arial"/>
          <w:color w:val="000000"/>
          <w:sz w:val="20"/>
          <w:lang w:val="en-US" w:eastAsia="en-US" w:bidi="ar-SA"/>
        </w:rPr>
        <w:t xml:space="preserve">  The rule as to the formation of a valid trust was stated in </w:t>
      </w:r>
      <w:r>
        <w:rPr>
          <w:rFonts w:ascii="arial" w:eastAsia="arial" w:hAnsi="arial" w:cs="arial"/>
          <w:b/>
          <w:i/>
          <w:color w:val="000000"/>
          <w:sz w:val="20"/>
          <w:lang w:val="en-US" w:eastAsia="en-US" w:bidi="ar-SA"/>
        </w:rPr>
        <w:t>Milroy v. Lord</w:t>
      </w:r>
      <w:r>
        <w:rPr>
          <w:rFonts w:ascii="arial" w:eastAsia="arial" w:hAnsi="arial" w:cs="arial"/>
          <w:color w:val="000000"/>
          <w:sz w:val="20"/>
          <w:lang w:val="en-US" w:eastAsia="en-US" w:bidi="ar-SA"/>
        </w:rPr>
        <w:t xml:space="preserve"> (1862), 45 E.R. 1184 (C.A.) [</w:t>
      </w:r>
      <w:r>
        <w:rPr>
          <w:rFonts w:ascii="arial" w:eastAsia="arial" w:hAnsi="arial" w:cs="arial"/>
          <w:b/>
          <w:i/>
          <w:color w:val="000000"/>
          <w:sz w:val="20"/>
          <w:lang w:val="en-US" w:eastAsia="en-US" w:bidi="ar-SA"/>
        </w:rPr>
        <w:t>Milroy</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order to render a voluntary settlement valid and effectual, the settler must have done everything which, according to the nature of the property comprised in the settlement, was necessary to be done in order to transfer the property and render the settlement binding upon him (</w:t>
      </w:r>
      <w:r>
        <w:rPr>
          <w:rFonts w:ascii="arial" w:eastAsia="arial" w:hAnsi="arial" w:cs="arial"/>
          <w:b/>
          <w:i/>
          <w:color w:val="000000"/>
          <w:sz w:val="20"/>
          <w:lang w:val="en-US" w:eastAsia="en-US" w:bidi="ar-SA"/>
        </w:rPr>
        <w:t>Milroy</w:t>
      </w:r>
      <w:r>
        <w:rPr>
          <w:rFonts w:ascii="arial" w:eastAsia="arial" w:hAnsi="arial" w:cs="arial"/>
          <w:color w:val="000000"/>
          <w:sz w:val="20"/>
          <w:lang w:val="en-US" w:eastAsia="en-US" w:bidi="ar-SA"/>
        </w:rPr>
        <w:t xml:space="preserve"> at 1189).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267</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Milroy</w:t>
      </w:r>
      <w:r>
        <w:rPr>
          <w:rFonts w:ascii="arial" w:eastAsia="arial" w:hAnsi="arial" w:cs="arial"/>
          <w:color w:val="000000"/>
          <w:sz w:val="20"/>
          <w:lang w:val="en-US" w:eastAsia="en-US" w:bidi="ar-SA"/>
        </w:rPr>
        <w:t>, the trustee was given share certificates and a power of attorney under which he could transfer the shares into his name. The shares were such that legal title did not pass until the new owner's name was entered in the share register; that was not done until after the settlor's death. The court concluded it was not sufficient that the trustee was capable of transferring the shares. The transaction was incomplete without the actual transfer having occurred. The court would not compel the agent of the settlor to complete the transfer because it could not compel the settlor to complete the transfer: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Equity could not, I think, decree the agent of the settlor to make the transfer, unless it could decree the settlor himself to do so, and it is plain that no such decree could have been made against the settlor (</w:t>
      </w:r>
      <w:r>
        <w:rPr>
          <w:rFonts w:ascii="arial" w:eastAsia="arial" w:hAnsi="arial" w:cs="arial"/>
          <w:b/>
          <w:i/>
          <w:color w:val="000000"/>
          <w:sz w:val="20"/>
          <w:lang w:val="en-US" w:eastAsia="en-US" w:bidi="ar-SA"/>
        </w:rPr>
        <w:t>Milroy</w:t>
      </w:r>
      <w:r>
        <w:rPr>
          <w:rFonts w:ascii="arial" w:eastAsia="arial" w:hAnsi="arial" w:cs="arial"/>
          <w:color w:val="000000"/>
          <w:sz w:val="20"/>
          <w:lang w:val="en-US" w:eastAsia="en-US" w:bidi="ar-SA"/>
        </w:rPr>
        <w:t xml:space="preserve"> at 1190).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268</w:t>
      </w:r>
      <w:r>
        <w:rPr>
          <w:rFonts w:ascii="arial" w:eastAsia="arial" w:hAnsi="arial" w:cs="arial"/>
          <w:color w:val="000000"/>
          <w:sz w:val="20"/>
          <w:lang w:val="en-US" w:eastAsia="en-US" w:bidi="ar-SA"/>
        </w:rPr>
        <w:t xml:space="preserve">  The court in </w:t>
      </w:r>
      <w:r>
        <w:rPr>
          <w:rFonts w:ascii="arial" w:eastAsia="arial" w:hAnsi="arial" w:cs="arial"/>
          <w:b/>
          <w:i/>
          <w:color w:val="000000"/>
          <w:sz w:val="20"/>
          <w:lang w:val="en-US" w:eastAsia="en-US" w:bidi="ar-SA"/>
        </w:rPr>
        <w:t>Milroy</w:t>
      </w:r>
      <w:r>
        <w:rPr>
          <w:rFonts w:ascii="arial" w:eastAsia="arial" w:hAnsi="arial" w:cs="arial"/>
          <w:color w:val="000000"/>
          <w:sz w:val="20"/>
          <w:lang w:val="en-US" w:eastAsia="en-US" w:bidi="ar-SA"/>
        </w:rPr>
        <w:t xml:space="preserve"> refused to hold that the settlor held the legal title on trust for the trustee: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does not appear to me to be any sufficient ground to warrant us in holding that the settlor himself became a trustee of these bank shares for the purposes of this settlement (</w:t>
      </w:r>
      <w:r>
        <w:rPr>
          <w:rFonts w:ascii="arial" w:eastAsia="arial" w:hAnsi="arial" w:cs="arial"/>
          <w:b/>
          <w:i/>
          <w:color w:val="000000"/>
          <w:sz w:val="20"/>
          <w:lang w:val="en-US" w:eastAsia="en-US" w:bidi="ar-SA"/>
        </w:rPr>
        <w:t>Milroy</w:t>
      </w:r>
      <w:r>
        <w:rPr>
          <w:rFonts w:ascii="arial" w:eastAsia="arial" w:hAnsi="arial" w:cs="arial"/>
          <w:color w:val="000000"/>
          <w:sz w:val="20"/>
          <w:lang w:val="en-US" w:eastAsia="en-US" w:bidi="ar-SA"/>
        </w:rPr>
        <w:t xml:space="preserve"> at 1190).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269</w:t>
      </w:r>
      <w:r>
        <w:rPr>
          <w:rFonts w:ascii="arial" w:eastAsia="arial" w:hAnsi="arial" w:cs="arial"/>
          <w:color w:val="000000"/>
          <w:sz w:val="20"/>
          <w:lang w:val="en-US" w:eastAsia="en-US" w:bidi="ar-SA"/>
        </w:rPr>
        <w:t xml:space="preserve">  In the case of </w:t>
      </w:r>
      <w:r>
        <w:rPr>
          <w:rFonts w:ascii="arial" w:eastAsia="arial" w:hAnsi="arial" w:cs="arial"/>
          <w:b/>
          <w:i/>
          <w:color w:val="000000"/>
          <w:sz w:val="20"/>
          <w:lang w:val="en-US" w:eastAsia="en-US" w:bidi="ar-SA"/>
        </w:rPr>
        <w:t>Re Rose</w:t>
      </w:r>
      <w:r>
        <w:rPr>
          <w:rFonts w:ascii="arial" w:eastAsia="arial" w:hAnsi="arial" w:cs="arial"/>
          <w:color w:val="000000"/>
          <w:sz w:val="20"/>
          <w:lang w:val="en-US" w:eastAsia="en-US" w:bidi="ar-SA"/>
        </w:rPr>
        <w:t>, [1952] Ch. 499, [1952] 1 All E.R. 1217 (C.A.) [</w:t>
      </w:r>
      <w:r>
        <w:rPr>
          <w:rFonts w:ascii="arial" w:eastAsia="arial" w:hAnsi="arial" w:cs="arial"/>
          <w:b/>
          <w:i/>
          <w:color w:val="000000"/>
          <w:sz w:val="20"/>
          <w:lang w:val="en-US" w:eastAsia="en-US" w:bidi="ar-SA"/>
        </w:rPr>
        <w:t>Re Rose</w:t>
      </w:r>
      <w:r>
        <w:rPr>
          <w:rFonts w:ascii="arial" w:eastAsia="arial" w:hAnsi="arial" w:cs="arial"/>
          <w:color w:val="000000"/>
          <w:sz w:val="20"/>
          <w:lang w:val="en-US" w:eastAsia="en-US" w:bidi="ar-SA"/>
        </w:rPr>
        <w:t xml:space="preserve">] the English Court of Appeal distinguished </w:t>
      </w:r>
      <w:r>
        <w:rPr>
          <w:rFonts w:ascii="arial" w:eastAsia="arial" w:hAnsi="arial" w:cs="arial"/>
          <w:b/>
          <w:i/>
          <w:color w:val="000000"/>
          <w:sz w:val="20"/>
          <w:lang w:val="en-US" w:eastAsia="en-US" w:bidi="ar-SA"/>
        </w:rPr>
        <w:t>Milroy</w:t>
      </w:r>
      <w:r>
        <w:rPr>
          <w:rFonts w:ascii="arial" w:eastAsia="arial" w:hAnsi="arial" w:cs="arial"/>
          <w:color w:val="000000"/>
          <w:sz w:val="20"/>
          <w:lang w:val="en-US" w:eastAsia="en-US" w:bidi="ar-SA"/>
        </w:rPr>
        <w:t xml:space="preserve"> and found a valid trust. In </w:t>
      </w:r>
      <w:r>
        <w:rPr>
          <w:rFonts w:ascii="arial" w:eastAsia="arial" w:hAnsi="arial" w:cs="arial"/>
          <w:b/>
          <w:i/>
          <w:color w:val="000000"/>
          <w:sz w:val="20"/>
          <w:lang w:val="en-US" w:eastAsia="en-US" w:bidi="ar-SA"/>
        </w:rPr>
        <w:t>Re Rose,</w:t>
      </w:r>
      <w:r>
        <w:rPr>
          <w:rFonts w:ascii="arial" w:eastAsia="arial" w:hAnsi="arial" w:cs="arial"/>
          <w:color w:val="000000"/>
          <w:sz w:val="20"/>
          <w:lang w:val="en-US" w:eastAsia="en-US" w:bidi="ar-SA"/>
        </w:rPr>
        <w:t xml:space="preserve"> the registration of the shares could not be completed until the board of directors approved the transfer. The court concluded that the settlor had done all that he could by completing the documentation and forwarding it to the board for approval, and accordingly held that legal title passed before registration, when the settlor gave up possession of the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270</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Fenton v. Whittier</w:t>
      </w:r>
      <w:r>
        <w:rPr>
          <w:rFonts w:ascii="arial" w:eastAsia="arial" w:hAnsi="arial" w:cs="arial"/>
          <w:color w:val="000000"/>
          <w:sz w:val="20"/>
          <w:lang w:val="en-US" w:eastAsia="en-US" w:bidi="ar-SA"/>
        </w:rPr>
        <w:t xml:space="preserve"> </w:t>
      </w:r>
      <w:hyperlink r:id="rId37" w:history="1">
        <w:r>
          <w:rPr>
            <w:rFonts w:ascii="arial" w:eastAsia="arial" w:hAnsi="arial" w:cs="arial"/>
            <w:i/>
            <w:color w:val="0077CC"/>
            <w:sz w:val="20"/>
            <w:u w:val="single"/>
            <w:shd w:val="clear" w:color="auto" w:fill="FFFFFF"/>
            <w:lang w:val="en-US" w:eastAsia="en-US" w:bidi="ar-SA"/>
          </w:rPr>
          <w:t>(1977), 26 N.S.R. (2d) 662</w:t>
        </w:r>
      </w:hyperlink>
      <w:r>
        <w:rPr>
          <w:rFonts w:ascii="arial" w:eastAsia="arial" w:hAnsi="arial" w:cs="arial"/>
          <w:color w:val="000000"/>
          <w:sz w:val="20"/>
          <w:lang w:val="en-US" w:eastAsia="en-US" w:bidi="ar-SA"/>
        </w:rPr>
        <w:t xml:space="preserve"> at paras. 86 to 96; 40 A.P.R. 662 (S.C.) [</w:t>
      </w:r>
      <w:r>
        <w:rPr>
          <w:rFonts w:ascii="arial" w:eastAsia="arial" w:hAnsi="arial" w:cs="arial"/>
          <w:b/>
          <w:i/>
          <w:color w:val="000000"/>
          <w:sz w:val="20"/>
          <w:lang w:val="en-US" w:eastAsia="en-US" w:bidi="ar-SA"/>
        </w:rPr>
        <w:t>Fenton</w:t>
      </w:r>
      <w:r>
        <w:rPr>
          <w:rFonts w:ascii="arial" w:eastAsia="arial" w:hAnsi="arial" w:cs="arial"/>
          <w:color w:val="000000"/>
          <w:sz w:val="20"/>
          <w:lang w:val="en-US" w:eastAsia="en-US" w:bidi="ar-SA"/>
        </w:rPr>
        <w:t xml:space="preserve">], the Nova Scotia Supreme Court, considering </w:t>
      </w:r>
      <w:r>
        <w:rPr>
          <w:rFonts w:ascii="arial" w:eastAsia="arial" w:hAnsi="arial" w:cs="arial"/>
          <w:b/>
          <w:i/>
          <w:color w:val="000000"/>
          <w:sz w:val="20"/>
          <w:lang w:val="en-US" w:eastAsia="en-US" w:bidi="ar-SA"/>
        </w:rPr>
        <w:t>Re Rose,</w:t>
      </w:r>
      <w:r>
        <w:rPr>
          <w:rFonts w:ascii="arial" w:eastAsia="arial" w:hAnsi="arial" w:cs="arial"/>
          <w:color w:val="000000"/>
          <w:sz w:val="20"/>
          <w:lang w:val="en-US" w:eastAsia="en-US" w:bidi="ar-SA"/>
        </w:rPr>
        <w:t xml:space="preserve"> concluded there was no </w:t>
      </w:r>
      <w:r>
        <w:rPr>
          <w:rFonts w:ascii="arial" w:eastAsia="arial" w:hAnsi="arial" w:cs="arial"/>
          <w:i/>
          <w:color w:val="000000"/>
          <w:sz w:val="20"/>
          <w:lang w:val="en-US" w:eastAsia="en-US" w:bidi="ar-SA"/>
        </w:rPr>
        <w:t>inter vivos</w:t>
      </w:r>
      <w:r>
        <w:rPr>
          <w:rFonts w:ascii="arial" w:eastAsia="arial" w:hAnsi="arial" w:cs="arial"/>
          <w:color w:val="000000"/>
          <w:sz w:val="20"/>
          <w:lang w:val="en-US" w:eastAsia="en-US" w:bidi="ar-SA"/>
        </w:rPr>
        <w:t xml:space="preserve"> gift of shares. Although the donor had completed the share transfer forms, she kept them in a safety deposit box until her death because she wanted the benefit of the dividends during her lifetime. The court concluded that the donor intended the gift to take effect only upon her death.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271</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Pennington v. Waine</w:t>
      </w:r>
      <w:r>
        <w:rPr>
          <w:rFonts w:ascii="arial" w:eastAsia="arial" w:hAnsi="arial" w:cs="arial"/>
          <w:color w:val="000000"/>
          <w:sz w:val="20"/>
          <w:lang w:val="en-US" w:eastAsia="en-US" w:bidi="ar-SA"/>
        </w:rPr>
        <w:t xml:space="preserve">, [2002] 1 W.L.R. 2075, [2002] EWCA Civ 1587 an aunt intended to make a gift of shares to her nephew. However, the share register was not updated with the name of the new owner, and the donor kept the completed share transfer forms rather than handing them to her nephew. On a strict application of the principle in </w:t>
      </w:r>
      <w:r>
        <w:rPr>
          <w:rFonts w:ascii="arial" w:eastAsia="arial" w:hAnsi="arial" w:cs="arial"/>
          <w:b/>
          <w:i/>
          <w:color w:val="000000"/>
          <w:sz w:val="20"/>
          <w:lang w:val="en-US" w:eastAsia="en-US" w:bidi="ar-SA"/>
        </w:rPr>
        <w:t>Re Rose,</w:t>
      </w:r>
      <w:r>
        <w:rPr>
          <w:rFonts w:ascii="arial" w:eastAsia="arial" w:hAnsi="arial" w:cs="arial"/>
          <w:color w:val="000000"/>
          <w:sz w:val="20"/>
          <w:lang w:val="en-US" w:eastAsia="en-US" w:bidi="ar-SA"/>
        </w:rPr>
        <w:t xml:space="preserve"> there was no valid </w:t>
      </w:r>
      <w:r>
        <w:rPr>
          <w:rFonts w:ascii="arial" w:eastAsia="arial" w:hAnsi="arial" w:cs="arial"/>
          <w:i/>
          <w:color w:val="000000"/>
          <w:sz w:val="20"/>
          <w:lang w:val="en-US" w:eastAsia="en-US" w:bidi="ar-SA"/>
        </w:rPr>
        <w:t>inter vivos</w:t>
      </w:r>
      <w:r>
        <w:rPr>
          <w:rFonts w:ascii="arial" w:eastAsia="arial" w:hAnsi="arial" w:cs="arial"/>
          <w:color w:val="000000"/>
          <w:sz w:val="20"/>
          <w:lang w:val="en-US" w:eastAsia="en-US" w:bidi="ar-SA"/>
        </w:rPr>
        <w:t xml:space="preserve"> gift. However, the English Court of Appeal held that it would have been unconscionable for the executors of the giftor to refuse to hand over the share certificates, and found that the gift was valid. In so concluding, the court relaxed the rule in </w:t>
      </w:r>
      <w:r>
        <w:rPr>
          <w:rFonts w:ascii="arial" w:eastAsia="arial" w:hAnsi="arial" w:cs="arial"/>
          <w:b/>
          <w:i/>
          <w:color w:val="000000"/>
          <w:sz w:val="20"/>
          <w:lang w:val="en-US" w:eastAsia="en-US" w:bidi="ar-SA"/>
        </w:rPr>
        <w:t>Milroy</w:t>
      </w:r>
      <w:r>
        <w:rPr>
          <w:rFonts w:ascii="arial" w:eastAsia="arial" w:hAnsi="arial" w:cs="arial"/>
          <w:color w:val="000000"/>
          <w:sz w:val="20"/>
          <w:lang w:val="en-US" w:eastAsia="en-US" w:bidi="ar-SA"/>
        </w:rPr>
        <w:t xml:space="preserve"> and imposed a trust on the settlor such that she held the legal title to the shares in trust for the trustee until the transfer of ownership was completed.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272</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Bank Leu AG v. Gaming Lottery Corp.</w:t>
      </w:r>
      <w:r>
        <w:rPr>
          <w:rFonts w:ascii="arial" w:eastAsia="arial" w:hAnsi="arial" w:cs="arial"/>
          <w:color w:val="000000"/>
          <w:sz w:val="20"/>
          <w:lang w:val="en-US" w:eastAsia="en-US" w:bidi="ar-SA"/>
        </w:rPr>
        <w:t xml:space="preserve"> </w:t>
      </w:r>
      <w:hyperlink r:id="rId38" w:history="1">
        <w:r>
          <w:rPr>
            <w:rFonts w:ascii="arial" w:eastAsia="arial" w:hAnsi="arial" w:cs="arial"/>
            <w:i/>
            <w:color w:val="0077CC"/>
            <w:sz w:val="20"/>
            <w:u w:val="single"/>
            <w:shd w:val="clear" w:color="auto" w:fill="FFFFFF"/>
            <w:lang w:val="en-US" w:eastAsia="en-US" w:bidi="ar-SA"/>
          </w:rPr>
          <w:t>(2003), 231 D.L.R. (4th) 251</w:t>
        </w:r>
      </w:hyperlink>
      <w:r>
        <w:rPr>
          <w:rFonts w:ascii="arial" w:eastAsia="arial" w:hAnsi="arial" w:cs="arial"/>
          <w:color w:val="000000"/>
          <w:sz w:val="20"/>
          <w:lang w:val="en-US" w:eastAsia="en-US" w:bidi="ar-SA"/>
        </w:rPr>
        <w:t xml:space="preserve"> at para. 56 (Ont. C.A.) Weiler J.A. (for the court), referring to </w:t>
      </w:r>
      <w:r>
        <w:rPr>
          <w:rFonts w:ascii="arial" w:eastAsia="arial" w:hAnsi="arial" w:cs="arial"/>
          <w:b/>
          <w:i/>
          <w:color w:val="000000"/>
          <w:sz w:val="20"/>
          <w:lang w:val="en-US" w:eastAsia="en-US" w:bidi="ar-SA"/>
        </w:rPr>
        <w:t>Pennington</w:t>
      </w:r>
      <w:r>
        <w:rPr>
          <w:rFonts w:ascii="arial" w:eastAsia="arial" w:hAnsi="arial" w:cs="arial"/>
          <w:color w:val="000000"/>
          <w:sz w:val="20"/>
          <w:lang w:val="en-US" w:eastAsia="en-US" w:bidi="ar-SA"/>
        </w:rPr>
        <w:t xml:space="preserve">, affirmed the principle in </w:t>
      </w:r>
      <w:r>
        <w:rPr>
          <w:rFonts w:ascii="arial" w:eastAsia="arial" w:hAnsi="arial" w:cs="arial"/>
          <w:b/>
          <w:i/>
          <w:color w:val="000000"/>
          <w:sz w:val="20"/>
          <w:lang w:val="en-US" w:eastAsia="en-US" w:bidi="ar-SA"/>
        </w:rPr>
        <w:t>Re Rose</w:t>
      </w:r>
      <w:r>
        <w:rPr>
          <w:rFonts w:ascii="arial" w:eastAsia="arial" w:hAnsi="arial" w:cs="arial"/>
          <w:color w:val="000000"/>
          <w:sz w:val="20"/>
          <w:lang w:val="en-US" w:eastAsia="en-US" w:bidi="ar-SA"/>
        </w:rPr>
        <w:t xml:space="preserve"> that a transfer may be valid notwithstanding that the transferee must perform further acts to complete the transfer.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273</w:t>
      </w:r>
      <w:r>
        <w:rPr>
          <w:rFonts w:ascii="arial" w:eastAsia="arial" w:hAnsi="arial" w:cs="arial"/>
          <w:color w:val="000000"/>
          <w:sz w:val="20"/>
          <w:lang w:val="en-US" w:eastAsia="en-US" w:bidi="ar-SA"/>
        </w:rPr>
        <w:t xml:space="preserve">  The foregoing cases deal with the transfer of shares. As noted in </w:t>
      </w:r>
      <w:r>
        <w:rPr>
          <w:rFonts w:ascii="arial" w:eastAsia="arial" w:hAnsi="arial" w:cs="arial"/>
          <w:b/>
          <w:i/>
          <w:color w:val="000000"/>
          <w:sz w:val="20"/>
          <w:lang w:val="en-US" w:eastAsia="en-US" w:bidi="ar-SA"/>
        </w:rPr>
        <w:t>Milroy</w:t>
      </w:r>
      <w:r>
        <w:rPr>
          <w:rFonts w:ascii="arial" w:eastAsia="arial" w:hAnsi="arial" w:cs="arial"/>
          <w:color w:val="000000"/>
          <w:sz w:val="20"/>
          <w:lang w:val="en-US" w:eastAsia="en-US" w:bidi="ar-SA"/>
        </w:rPr>
        <w:t>, what constitutes "everything necessary" to achieve an effective transfer depends on the nature of the property being settled. In the case of real property, what is "everything necessary" to effect a transfer?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274</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Mascall v. Mascall</w:t>
      </w:r>
      <w:r>
        <w:rPr>
          <w:rFonts w:ascii="arial" w:eastAsia="arial" w:hAnsi="arial" w:cs="arial"/>
          <w:color w:val="000000"/>
          <w:sz w:val="20"/>
          <w:lang w:val="en-US" w:eastAsia="en-US" w:bidi="ar-SA"/>
        </w:rPr>
        <w:t xml:space="preserve"> (1989), 50 P. &amp; C.R. 119 (C.A.) the plaintiff father applied for a declaration that a transfer of real property to his son, the defendant, was invalid. The plaintiff had completed the land transfer forms and handed them to the defendant, anticipating that any further steps concerning the forms would be taken by the defendant. At the time of the plaintiff's death, the defendant had not yet registered the forms. The English Court of Appeal, applying </w:t>
      </w:r>
      <w:r>
        <w:rPr>
          <w:rFonts w:ascii="arial" w:eastAsia="arial" w:hAnsi="arial" w:cs="arial"/>
          <w:b/>
          <w:i/>
          <w:color w:val="000000"/>
          <w:sz w:val="20"/>
          <w:lang w:val="en-US" w:eastAsia="en-US" w:bidi="ar-SA"/>
        </w:rPr>
        <w:t>Re Rose</w:t>
      </w:r>
      <w:r>
        <w:rPr>
          <w:rFonts w:ascii="arial" w:eastAsia="arial" w:hAnsi="arial" w:cs="arial"/>
          <w:color w:val="000000"/>
          <w:sz w:val="20"/>
          <w:lang w:val="en-US" w:eastAsia="en-US" w:bidi="ar-SA"/>
        </w:rPr>
        <w:t>, found that the plaintiff had done all that he could to complete the transfer and therefore the transfer was complete. In the result, the son was the holder of legal title despite registration having not yet taken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275</w:t>
      </w:r>
      <w:r>
        <w:rPr>
          <w:rFonts w:ascii="arial" w:eastAsia="arial" w:hAnsi="arial" w:cs="arial"/>
          <w:color w:val="000000"/>
          <w:sz w:val="20"/>
          <w:lang w:val="en-US" w:eastAsia="en-US" w:bidi="ar-SA"/>
        </w:rPr>
        <w:t xml:space="preserve">  The acts necessary to affect a valid transfer of land is more a question of the legislation governing land transfers than a matter of trust law: </w:t>
      </w:r>
      <w:r>
        <w:rPr>
          <w:rFonts w:ascii="arial" w:eastAsia="arial" w:hAnsi="arial" w:cs="arial"/>
          <w:i/>
          <w:color w:val="000000"/>
          <w:sz w:val="20"/>
          <w:lang w:val="en-US" w:eastAsia="en-US" w:bidi="ar-SA"/>
        </w:rPr>
        <w:t>The Australian Law Journal</w:t>
      </w:r>
      <w:r>
        <w:rPr>
          <w:rFonts w:ascii="arial" w:eastAsia="arial" w:hAnsi="arial" w:cs="arial"/>
          <w:color w:val="000000"/>
          <w:sz w:val="20"/>
          <w:lang w:val="en-US" w:eastAsia="en-US" w:bidi="ar-SA"/>
        </w:rPr>
        <w:t xml:space="preserve">, [1968] A.L.J. Vol. 42 at 227. Section 20 of the </w:t>
      </w:r>
      <w:r>
        <w:rPr>
          <w:rFonts w:ascii="arial" w:eastAsia="arial" w:hAnsi="arial" w:cs="arial"/>
          <w:b/>
          <w:i/>
          <w:color w:val="000000"/>
          <w:sz w:val="20"/>
          <w:lang w:val="en-US" w:eastAsia="en-US" w:bidi="ar-SA"/>
        </w:rPr>
        <w:t>Land Title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250</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Land Title Act</w:t>
      </w:r>
      <w:r>
        <w:rPr>
          <w:rFonts w:ascii="arial" w:eastAsia="arial" w:hAnsi="arial" w:cs="arial"/>
          <w:color w:val="000000"/>
          <w:sz w:val="20"/>
          <w:lang w:val="en-US" w:eastAsia="en-US" w:bidi="ar-SA"/>
        </w:rPr>
        <w:t>] deals with the transfer of land in British Columbia:</w:t>
      </w:r>
      <w:r>
        <w:rPr>
          <w:rFonts w:ascii="arial" w:eastAsia="arial" w:hAnsi="arial" w:cs="arial"/>
          <w:sz w:val="20"/>
          <w:lang w:val="en-US" w:eastAsia="en-US" w:bidi="ar-SA"/>
        </w:rPr>
        <w:cr/>
      </w:r>
    </w:p>
    <w:p>
      <w:pPr>
        <w:numPr>
          <w:numId w:val="66"/>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Except as against the person making it</w:t>
      </w:r>
      <w:r>
        <w:rPr>
          <w:rFonts w:ascii="arial" w:eastAsia="arial" w:hAnsi="arial" w:cs="arial"/>
          <w:color w:val="000000"/>
          <w:sz w:val="20"/>
          <w:lang w:val="en-US" w:eastAsia="en-US" w:bidi="ar-SA"/>
        </w:rPr>
        <w:t>, an instrument purporting to transfer, charge, deal with or affect land or an estate or interest in land does not operate to pass an estate or interest, either at law or in equity, in the land unless the instrument is registered in compliance with this 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276</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Davidson v. Davidson</w:t>
      </w:r>
      <w:r>
        <w:rPr>
          <w:rFonts w:ascii="arial" w:eastAsia="arial" w:hAnsi="arial" w:cs="arial"/>
          <w:color w:val="000000"/>
          <w:sz w:val="20"/>
          <w:lang w:val="en-US" w:eastAsia="en-US" w:bidi="ar-SA"/>
        </w:rPr>
        <w:t xml:space="preserve">, </w:t>
      </w:r>
      <w:hyperlink r:id="rId39" w:history="1">
        <w:r>
          <w:rPr>
            <w:rFonts w:ascii="arial" w:eastAsia="arial" w:hAnsi="arial" w:cs="arial"/>
            <w:i/>
            <w:color w:val="0077CC"/>
            <w:sz w:val="20"/>
            <w:u w:val="single"/>
            <w:shd w:val="clear" w:color="auto" w:fill="FFFFFF"/>
            <w:lang w:val="en-US" w:eastAsia="en-US" w:bidi="ar-SA"/>
          </w:rPr>
          <w:t>[1946] 2 D.L.R. 289</w:t>
        </w:r>
      </w:hyperlink>
      <w:r>
        <w:rPr>
          <w:rFonts w:ascii="arial" w:eastAsia="arial" w:hAnsi="arial" w:cs="arial"/>
          <w:color w:val="000000"/>
          <w:sz w:val="20"/>
          <w:lang w:val="en-US" w:eastAsia="en-US" w:bidi="ar-SA"/>
        </w:rPr>
        <w:t xml:space="preserve"> (S.C.C), aff'g </w:t>
      </w:r>
      <w:hyperlink r:id="rId40" w:history="1">
        <w:r>
          <w:rPr>
            <w:rFonts w:ascii="arial" w:eastAsia="arial" w:hAnsi="arial" w:cs="arial"/>
            <w:i/>
            <w:color w:val="0077CC"/>
            <w:sz w:val="20"/>
            <w:u w:val="single"/>
            <w:shd w:val="clear" w:color="auto" w:fill="FFFFFF"/>
            <w:lang w:val="en-US" w:eastAsia="en-US" w:bidi="ar-SA"/>
          </w:rPr>
          <w:t>[1945] 2 W.W.R. 576</w:t>
        </w:r>
      </w:hyperlink>
      <w:r>
        <w:rPr>
          <w:rFonts w:ascii="arial" w:eastAsia="arial" w:hAnsi="arial" w:cs="arial"/>
          <w:color w:val="000000"/>
          <w:sz w:val="20"/>
          <w:lang w:val="en-US" w:eastAsia="en-US" w:bidi="ar-SA"/>
        </w:rPr>
        <w:t xml:space="preserve"> (B.C.C.A), the Supreme Court of Canada, considering language of the </w:t>
      </w:r>
      <w:r>
        <w:rPr>
          <w:rFonts w:ascii="arial" w:eastAsia="arial" w:hAnsi="arial" w:cs="arial"/>
          <w:b/>
          <w:i/>
          <w:color w:val="000000"/>
          <w:sz w:val="20"/>
          <w:lang w:val="en-US" w:eastAsia="en-US" w:bidi="ar-SA"/>
        </w:rPr>
        <w:t>Land Title Act</w:t>
      </w:r>
      <w:r>
        <w:rPr>
          <w:rFonts w:ascii="arial" w:eastAsia="arial" w:hAnsi="arial" w:cs="arial"/>
          <w:color w:val="000000"/>
          <w:sz w:val="20"/>
          <w:lang w:val="en-US" w:eastAsia="en-US" w:bidi="ar-SA"/>
        </w:rPr>
        <w:t xml:space="preserve">almost identical to that now contained in s. 20, held that an unregistered transfer of land took effect on the day the transfer was executed and not on the day it was registered. More recently, in </w:t>
      </w:r>
      <w:r>
        <w:rPr>
          <w:rFonts w:ascii="arial" w:eastAsia="arial" w:hAnsi="arial" w:cs="arial"/>
          <w:b/>
          <w:i/>
          <w:color w:val="000000"/>
          <w:sz w:val="20"/>
          <w:lang w:val="en-US" w:eastAsia="en-US" w:bidi="ar-SA"/>
        </w:rPr>
        <w:t>Chung Estate v. Chan</w:t>
      </w:r>
      <w:r>
        <w:rPr>
          <w:rFonts w:ascii="arial" w:eastAsia="arial" w:hAnsi="arial" w:cs="arial"/>
          <w:color w:val="000000"/>
          <w:sz w:val="20"/>
          <w:lang w:val="en-US" w:eastAsia="en-US" w:bidi="ar-SA"/>
        </w:rPr>
        <w:t xml:space="preserve"> </w:t>
      </w:r>
      <w:hyperlink r:id="rId41" w:history="1">
        <w:r>
          <w:rPr>
            <w:rFonts w:ascii="arial" w:eastAsia="arial" w:hAnsi="arial" w:cs="arial"/>
            <w:i/>
            <w:color w:val="0077CC"/>
            <w:sz w:val="20"/>
            <w:u w:val="single"/>
            <w:shd w:val="clear" w:color="auto" w:fill="FFFFFF"/>
            <w:lang w:val="en-US" w:eastAsia="en-US" w:bidi="ar-SA"/>
          </w:rPr>
          <w:t>(1995), 4 B.C.L.R. (3d) 371</w:t>
        </w:r>
      </w:hyperlink>
      <w:r>
        <w:rPr>
          <w:rFonts w:ascii="arial" w:eastAsia="arial" w:hAnsi="arial" w:cs="arial"/>
          <w:color w:val="000000"/>
          <w:sz w:val="20"/>
          <w:lang w:val="en-US" w:eastAsia="en-US" w:bidi="ar-SA"/>
        </w:rPr>
        <w:t xml:space="preserve"> (S.C.) [</w:t>
      </w:r>
      <w:r>
        <w:rPr>
          <w:rFonts w:ascii="arial" w:eastAsia="arial" w:hAnsi="arial" w:cs="arial"/>
          <w:b/>
          <w:i/>
          <w:color w:val="000000"/>
          <w:sz w:val="20"/>
          <w:lang w:val="en-US" w:eastAsia="en-US" w:bidi="ar-SA"/>
        </w:rPr>
        <w:t>Chung</w:t>
      </w:r>
      <w:r>
        <w:rPr>
          <w:rFonts w:ascii="arial" w:eastAsia="arial" w:hAnsi="arial" w:cs="arial"/>
          <w:color w:val="000000"/>
          <w:sz w:val="20"/>
          <w:lang w:val="en-US" w:eastAsia="en-US" w:bidi="ar-SA"/>
        </w:rPr>
        <w:t xml:space="preserve">], aff'd </w:t>
      </w:r>
      <w:hyperlink r:id="rId42" w:history="1">
        <w:r>
          <w:rPr>
            <w:rFonts w:ascii="arial" w:eastAsia="arial" w:hAnsi="arial" w:cs="arial"/>
            <w:i/>
            <w:color w:val="0077CC"/>
            <w:sz w:val="20"/>
            <w:u w:val="single"/>
            <w:shd w:val="clear" w:color="auto" w:fill="FFFFFF"/>
            <w:lang w:val="en-US" w:eastAsia="en-US" w:bidi="ar-SA"/>
          </w:rPr>
          <w:t>(1995), 13 B.C.L.R. (3d) 157</w:t>
        </w:r>
      </w:hyperlink>
      <w:r>
        <w:rPr>
          <w:rFonts w:ascii="arial" w:eastAsia="arial" w:hAnsi="arial" w:cs="arial"/>
          <w:color w:val="000000"/>
          <w:sz w:val="20"/>
          <w:lang w:val="en-US" w:eastAsia="en-US" w:bidi="ar-SA"/>
        </w:rPr>
        <w:t xml:space="preserve"> (C.A.) the court held that if the transferor has properly completed a freehold transfer form, the opening words of s. 20 -- "except as against the person making it" -- apply such that the form may be registered after the transferor's death to effect a transfer of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277</w:t>
      </w:r>
      <w:r>
        <w:rPr>
          <w:rFonts w:ascii="arial" w:eastAsia="arial" w:hAnsi="arial" w:cs="arial"/>
          <w:color w:val="000000"/>
          <w:sz w:val="20"/>
          <w:lang w:val="en-US" w:eastAsia="en-US" w:bidi="ar-SA"/>
        </w:rPr>
        <w:t>  </w:t>
      </w:r>
      <w:r>
        <w:rPr>
          <w:rFonts w:ascii="arial" w:eastAsia="arial" w:hAnsi="arial" w:cs="arial"/>
          <w:b/>
          <w:i/>
          <w:color w:val="000000"/>
          <w:sz w:val="20"/>
          <w:lang w:val="en-US" w:eastAsia="en-US" w:bidi="ar-SA"/>
        </w:rPr>
        <w:t>Chung</w:t>
      </w:r>
      <w:r>
        <w:rPr>
          <w:rFonts w:ascii="arial" w:eastAsia="arial" w:hAnsi="arial" w:cs="arial"/>
          <w:color w:val="000000"/>
          <w:sz w:val="20"/>
          <w:lang w:val="en-US" w:eastAsia="en-US" w:bidi="ar-SA"/>
        </w:rPr>
        <w:t xml:space="preserve"> was distinguished in the case of </w:t>
      </w:r>
      <w:r>
        <w:rPr>
          <w:rFonts w:ascii="arial" w:eastAsia="arial" w:hAnsi="arial" w:cs="arial"/>
          <w:b/>
          <w:i/>
          <w:color w:val="000000"/>
          <w:sz w:val="20"/>
          <w:lang w:val="en-US" w:eastAsia="en-US" w:bidi="ar-SA"/>
        </w:rPr>
        <w:t>Kovacs v. Tuteckyj</w:t>
      </w:r>
      <w:r>
        <w:rPr>
          <w:rFonts w:ascii="arial" w:eastAsia="arial" w:hAnsi="arial" w:cs="arial"/>
          <w:color w:val="000000"/>
          <w:sz w:val="20"/>
          <w:lang w:val="en-US" w:eastAsia="en-US" w:bidi="ar-SA"/>
        </w:rPr>
        <w:t xml:space="preserve"> </w:t>
      </w:r>
      <w:hyperlink r:id="rId43" w:history="1">
        <w:r>
          <w:rPr>
            <w:rFonts w:ascii="arial" w:eastAsia="arial" w:hAnsi="arial" w:cs="arial"/>
            <w:i/>
            <w:color w:val="0077CC"/>
            <w:sz w:val="20"/>
            <w:u w:val="single"/>
            <w:shd w:val="clear" w:color="auto" w:fill="FFFFFF"/>
            <w:lang w:val="en-US" w:eastAsia="en-US" w:bidi="ar-SA"/>
          </w:rPr>
          <w:t>(2000), 147 Man.R. (2d) 161</w:t>
        </w:r>
      </w:hyperlink>
      <w:r>
        <w:rPr>
          <w:rFonts w:ascii="arial" w:eastAsia="arial" w:hAnsi="arial" w:cs="arial"/>
          <w:color w:val="000000"/>
          <w:sz w:val="20"/>
          <w:lang w:val="en-US" w:eastAsia="en-US" w:bidi="ar-SA"/>
        </w:rPr>
        <w:t xml:space="preserve">, </w:t>
      </w:r>
      <w:hyperlink r:id="rId43" w:history="1">
        <w:r>
          <w:rPr>
            <w:rFonts w:ascii="arial" w:eastAsia="arial" w:hAnsi="arial" w:cs="arial"/>
            <w:i/>
            <w:color w:val="0077CC"/>
            <w:sz w:val="20"/>
            <w:u w:val="single"/>
            <w:shd w:val="clear" w:color="auto" w:fill="FFFFFF"/>
            <w:lang w:val="en-US" w:eastAsia="en-US" w:bidi="ar-SA"/>
          </w:rPr>
          <w:t>2000 MBQB 104</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Kovacs</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Kovacs</w:t>
      </w:r>
      <w:r>
        <w:rPr>
          <w:rFonts w:ascii="arial" w:eastAsia="arial" w:hAnsi="arial" w:cs="arial"/>
          <w:color w:val="000000"/>
          <w:sz w:val="20"/>
          <w:lang w:val="en-US" w:eastAsia="en-US" w:bidi="ar-SA"/>
        </w:rPr>
        <w:t>, the transferor had executed the transfer form and given it to another, but instructed that it not be registered until after he had consulted with his solicitor. The court held that the intention of the transferor at the time he handed over the transfer form was relevant. The court drew the inference from the circumstances that the transferor had not done everything necessary to complete the transfer and, as such, the transfer was not complete.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278</w:t>
      </w:r>
      <w:r>
        <w:rPr>
          <w:rFonts w:ascii="arial" w:eastAsia="arial" w:hAnsi="arial" w:cs="arial"/>
          <w:color w:val="000000"/>
          <w:sz w:val="20"/>
          <w:lang w:val="en-US" w:eastAsia="en-US" w:bidi="ar-SA"/>
        </w:rPr>
        <w:t xml:space="preserve">  As the foregoing case law indicates, the intention of the transferor is crucial. If the transferor intends to transfer the property, the transfer will be complete when the transferor has relinquished control of the property and put the transferee in a position to complete the transfer. The importance of control was discussed in </w:t>
      </w:r>
      <w:r>
        <w:rPr>
          <w:rFonts w:ascii="arial" w:eastAsia="arial" w:hAnsi="arial" w:cs="arial"/>
          <w:b/>
          <w:i/>
          <w:color w:val="000000"/>
          <w:sz w:val="20"/>
          <w:lang w:val="en-US" w:eastAsia="en-US" w:bidi="ar-SA"/>
        </w:rPr>
        <w:t>Re Evans, Royal Trust Co. v. Lloyd's Bank Ltd.</w:t>
      </w:r>
      <w:r>
        <w:rPr>
          <w:rFonts w:ascii="arial" w:eastAsia="arial" w:hAnsi="arial" w:cs="arial"/>
          <w:color w:val="000000"/>
          <w:sz w:val="20"/>
          <w:lang w:val="en-US" w:eastAsia="en-US" w:bidi="ar-SA"/>
        </w:rPr>
        <w:t xml:space="preserve"> </w:t>
      </w:r>
      <w:hyperlink r:id="rId44" w:history="1">
        <w:r>
          <w:rPr>
            <w:rFonts w:ascii="arial" w:eastAsia="arial" w:hAnsi="arial" w:cs="arial"/>
            <w:i/>
            <w:color w:val="0077CC"/>
            <w:sz w:val="20"/>
            <w:u w:val="single"/>
            <w:shd w:val="clear" w:color="auto" w:fill="FFFFFF"/>
            <w:lang w:val="en-US" w:eastAsia="en-US" w:bidi="ar-SA"/>
          </w:rPr>
          <w:t>(1956), 7 D.L.R. (2d) 445</w:t>
        </w:r>
      </w:hyperlink>
      <w:r>
        <w:rPr>
          <w:rFonts w:ascii="arial" w:eastAsia="arial" w:hAnsi="arial" w:cs="arial"/>
          <w:color w:val="000000"/>
          <w:sz w:val="20"/>
          <w:lang w:val="en-US" w:eastAsia="en-US" w:bidi="ar-SA"/>
        </w:rPr>
        <w:t xml:space="preserve"> (B.C.S.C.) [</w:t>
      </w:r>
      <w:r>
        <w:rPr>
          <w:rFonts w:ascii="arial" w:eastAsia="arial" w:hAnsi="arial" w:cs="arial"/>
          <w:b/>
          <w:i/>
          <w:color w:val="000000"/>
          <w:sz w:val="20"/>
          <w:lang w:val="en-US" w:eastAsia="en-US" w:bidi="ar-SA"/>
        </w:rPr>
        <w:t>Re Evans</w:t>
      </w:r>
      <w:r>
        <w:rPr>
          <w:rFonts w:ascii="arial" w:eastAsia="arial" w:hAnsi="arial" w:cs="arial"/>
          <w:color w:val="000000"/>
          <w:sz w:val="20"/>
          <w:lang w:val="en-US" w:eastAsia="en-US" w:bidi="ar-SA"/>
        </w:rPr>
        <w:t xml:space="preserve">]. The Court, citing Austin W. Scott, </w:t>
      </w:r>
      <w:r>
        <w:rPr>
          <w:rFonts w:ascii="arial" w:eastAsia="arial" w:hAnsi="arial" w:cs="arial"/>
          <w:i/>
          <w:color w:val="000000"/>
          <w:sz w:val="20"/>
          <w:lang w:val="en-US" w:eastAsia="en-US" w:bidi="ar-SA"/>
        </w:rPr>
        <w:t>The Law of Trusts</w:t>
      </w:r>
      <w:r>
        <w:rPr>
          <w:rFonts w:ascii="arial" w:eastAsia="arial" w:hAnsi="arial" w:cs="arial"/>
          <w:color w:val="000000"/>
          <w:sz w:val="20"/>
          <w:lang w:val="en-US" w:eastAsia="en-US" w:bidi="ar-SA"/>
        </w:rPr>
        <w:t>, 1st ed. (Boston: Little, Brown and Company, 1939) at 225 [</w:t>
      </w:r>
      <w:r>
        <w:rPr>
          <w:rFonts w:ascii="arial" w:eastAsia="arial" w:hAnsi="arial" w:cs="arial"/>
          <w:b/>
          <w:i/>
          <w:color w:val="000000"/>
          <w:sz w:val="20"/>
          <w:lang w:val="en-US" w:eastAsia="en-US" w:bidi="ar-SA"/>
        </w:rPr>
        <w:t>Scott</w:t>
      </w:r>
      <w:r>
        <w:rPr>
          <w:rFonts w:ascii="arial" w:eastAsia="arial" w:hAnsi="arial" w:cs="arial"/>
          <w:color w:val="000000"/>
          <w:sz w:val="20"/>
          <w:lang w:val="en-US" w:eastAsia="en-US" w:bidi="ar-SA"/>
        </w:rPr>
        <w:t>] said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conveyance, whether absolute or in trust, is ineffective if the transferor does not surrender control of the property .... A conveyance in trust is incomplete unless the settlor has passed the title to the property to the trustee by delivery of the subject matter of the trust or of an instrument of transfer. On the other hand, if the conveyance in trust is completed by such delivery, the trust is not incomplete merely because the settlor reserves power to revoke or to alter the trust. There is a sufficient surrender of control over the property if the settlor transfers the title to it to the trustee, even though he reserves power to undo what he had done. The surrender of control is sufficient even though the settlor reserves power to reassume the control (</w:t>
      </w:r>
      <w:r>
        <w:rPr>
          <w:rFonts w:ascii="arial" w:eastAsia="arial" w:hAnsi="arial" w:cs="arial"/>
          <w:b/>
          <w:i/>
          <w:color w:val="000000"/>
          <w:sz w:val="20"/>
          <w:lang w:val="en-US" w:eastAsia="en-US" w:bidi="ar-SA"/>
        </w:rPr>
        <w:t>Re Evans</w:t>
      </w:r>
      <w:r>
        <w:rPr>
          <w:rFonts w:ascii="arial" w:eastAsia="arial" w:hAnsi="arial" w:cs="arial"/>
          <w:color w:val="000000"/>
          <w:sz w:val="20"/>
          <w:lang w:val="en-US" w:eastAsia="en-US" w:bidi="ar-SA"/>
        </w:rPr>
        <w:t xml:space="preserve"> at 451 - 452).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279</w:t>
      </w:r>
      <w:r>
        <w:rPr>
          <w:rFonts w:ascii="arial" w:eastAsia="arial" w:hAnsi="arial" w:cs="arial"/>
          <w:color w:val="000000"/>
          <w:sz w:val="20"/>
          <w:lang w:val="en-US" w:eastAsia="en-US" w:bidi="ar-SA"/>
        </w:rPr>
        <w:t xml:space="preserve">  Alex argued that Eida did not effectively transfer the property, or relinquish control of it, because Mr. Wilson did not register the transfer form. As such, said Alex, Eida had the unrestricted right to deal with the property. In particular, Alex relied on the following words from </w:t>
      </w:r>
      <w:r>
        <w:rPr>
          <w:rFonts w:ascii="arial" w:eastAsia="arial" w:hAnsi="arial" w:cs="arial"/>
          <w:b/>
          <w:i/>
          <w:color w:val="000000"/>
          <w:sz w:val="20"/>
          <w:lang w:val="en-US" w:eastAsia="en-US" w:bidi="ar-SA"/>
        </w:rPr>
        <w:t>Re Pfrimmer Estate</w:t>
      </w:r>
      <w:r>
        <w:rPr>
          <w:rFonts w:ascii="arial" w:eastAsia="arial" w:hAnsi="arial" w:cs="arial"/>
          <w:color w:val="000000"/>
          <w:sz w:val="20"/>
          <w:lang w:val="en-US" w:eastAsia="en-US" w:bidi="ar-SA"/>
        </w:rPr>
        <w:t xml:space="preserve">, </w:t>
      </w:r>
      <w:hyperlink r:id="rId45" w:history="1">
        <w:r>
          <w:rPr>
            <w:rFonts w:ascii="arial" w:eastAsia="arial" w:hAnsi="arial" w:cs="arial"/>
            <w:i/>
            <w:color w:val="0077CC"/>
            <w:sz w:val="20"/>
            <w:u w:val="single"/>
            <w:shd w:val="clear" w:color="auto" w:fill="FFFFFF"/>
            <w:lang w:val="en-US" w:eastAsia="en-US" w:bidi="ar-SA"/>
          </w:rPr>
          <w:t>[1936] 2 D.L.R. 460</w:t>
        </w:r>
      </w:hyperlink>
      <w:r>
        <w:rPr>
          <w:rFonts w:ascii="arial" w:eastAsia="arial" w:hAnsi="arial" w:cs="arial"/>
          <w:color w:val="000000"/>
          <w:sz w:val="20"/>
          <w:lang w:val="en-US" w:eastAsia="en-US" w:bidi="ar-SA"/>
        </w:rPr>
        <w:t xml:space="preserve"> at para. 10 (Man. C.A.) [</w:t>
      </w:r>
      <w:r>
        <w:rPr>
          <w:rFonts w:ascii="arial" w:eastAsia="arial" w:hAnsi="arial" w:cs="arial"/>
          <w:b/>
          <w:i/>
          <w:color w:val="000000"/>
          <w:sz w:val="20"/>
          <w:lang w:val="en-US" w:eastAsia="en-US" w:bidi="ar-SA"/>
        </w:rPr>
        <w:t>Re Pfrimmer Estate</w:t>
      </w:r>
      <w:r>
        <w:rPr>
          <w:rFonts w:ascii="arial" w:eastAsia="arial" w:hAnsi="arial" w:cs="arial"/>
          <w:color w:val="000000"/>
          <w:sz w:val="20"/>
          <w:lang w:val="en-US" w:eastAsia="en-US" w:bidi="ar-SA"/>
        </w:rPr>
        <w:t xml:space="preserve">] citing </w:t>
      </w:r>
      <w:r>
        <w:rPr>
          <w:rFonts w:ascii="arial" w:eastAsia="arial" w:hAnsi="arial" w:cs="arial"/>
          <w:b/>
          <w:i/>
          <w:color w:val="000000"/>
          <w:sz w:val="20"/>
          <w:lang w:val="en-US" w:eastAsia="en-US" w:bidi="ar-SA"/>
        </w:rPr>
        <w:t>Malim v. Keighley</w:t>
      </w:r>
      <w:r>
        <w:rPr>
          <w:rFonts w:ascii="arial" w:eastAsia="arial" w:hAnsi="arial" w:cs="arial"/>
          <w:color w:val="000000"/>
          <w:sz w:val="20"/>
          <w:lang w:val="en-US" w:eastAsia="en-US" w:bidi="ar-SA"/>
        </w:rPr>
        <w:t xml:space="preserve"> (1794), 30 E.R. 659 at 660: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will lay down the rule as broad as this; wherever any person gives property, and points out the object, the property, and the way in which it shall go, that does create a trust, unless he shews clearly, that his desire expressed is to be controlled by the party; and that he shall have an option to defeat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Application of the law to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280</w:t>
      </w:r>
      <w:r>
        <w:rPr>
          <w:rFonts w:ascii="arial" w:eastAsia="arial" w:hAnsi="arial" w:cs="arial"/>
          <w:color w:val="000000"/>
          <w:sz w:val="20"/>
          <w:lang w:val="en-US" w:eastAsia="en-US" w:bidi="ar-SA"/>
        </w:rPr>
        <w:t>  Eida executed the Form A and handed it to Mr. Wilson for eventual registration.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281</w:t>
      </w:r>
      <w:r>
        <w:rPr>
          <w:rFonts w:ascii="arial" w:eastAsia="arial" w:hAnsi="arial" w:cs="arial"/>
          <w:color w:val="000000"/>
          <w:sz w:val="20"/>
          <w:lang w:val="en-US" w:eastAsia="en-US" w:bidi="ar-SA"/>
        </w:rPr>
        <w:t xml:space="preserve">  Applying the principles in </w:t>
      </w:r>
      <w:r>
        <w:rPr>
          <w:rFonts w:ascii="arial" w:eastAsia="arial" w:hAnsi="arial" w:cs="arial"/>
          <w:b/>
          <w:i/>
          <w:color w:val="000000"/>
          <w:sz w:val="20"/>
          <w:lang w:val="en-US" w:eastAsia="en-US" w:bidi="ar-SA"/>
        </w:rPr>
        <w:t>Milroy</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Re Rose,</w:t>
      </w:r>
      <w:r>
        <w:rPr>
          <w:rFonts w:ascii="arial" w:eastAsia="arial" w:hAnsi="arial" w:cs="arial"/>
          <w:color w:val="000000"/>
          <w:sz w:val="20"/>
          <w:lang w:val="en-US" w:eastAsia="en-US" w:bidi="ar-SA"/>
        </w:rPr>
        <w:t xml:space="preserve">I conclude that Eida did everything necessary to create a valid trust by completing the Form A </w:t>
      </w:r>
      <w:r>
        <w:rPr>
          <w:rFonts w:ascii="arial" w:eastAsia="arial" w:hAnsi="arial" w:cs="arial"/>
          <w:i/>
          <w:color w:val="000000"/>
          <w:sz w:val="20"/>
          <w:lang w:val="en-US" w:eastAsia="en-US" w:bidi="ar-SA"/>
        </w:rPr>
        <w:t>and</w:t>
      </w:r>
      <w:r>
        <w:rPr>
          <w:rFonts w:ascii="arial" w:eastAsia="arial" w:hAnsi="arial" w:cs="arial"/>
          <w:color w:val="000000"/>
          <w:sz w:val="20"/>
          <w:lang w:val="en-US" w:eastAsia="en-US" w:bidi="ar-SA"/>
        </w:rPr>
        <w:t xml:space="preserve"> giving it to Mr. Wilson. Her intention to transfer legal title to Mr. Wilson is underscored by her execution of the Declaration of Trust in which she confirmed that although the executed Form A was not at that point registered, she held the legal title to the Warehouse only as trustee on behalf of the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282</w:t>
      </w:r>
      <w:r>
        <w:rPr>
          <w:rFonts w:ascii="arial" w:eastAsia="arial" w:hAnsi="arial" w:cs="arial"/>
          <w:color w:val="000000"/>
          <w:sz w:val="20"/>
          <w:lang w:val="en-US" w:eastAsia="en-US" w:bidi="ar-SA"/>
        </w:rPr>
        <w:t xml:space="preserve">  Unlike the transferor in </w:t>
      </w:r>
      <w:r>
        <w:rPr>
          <w:rFonts w:ascii="arial" w:eastAsia="arial" w:hAnsi="arial" w:cs="arial"/>
          <w:b/>
          <w:i/>
          <w:color w:val="000000"/>
          <w:sz w:val="20"/>
          <w:lang w:val="en-US" w:eastAsia="en-US" w:bidi="ar-SA"/>
        </w:rPr>
        <w:t>Kovacs</w:t>
      </w:r>
      <w:r>
        <w:rPr>
          <w:rFonts w:ascii="arial" w:eastAsia="arial" w:hAnsi="arial" w:cs="arial"/>
          <w:color w:val="000000"/>
          <w:sz w:val="20"/>
          <w:lang w:val="en-US" w:eastAsia="en-US" w:bidi="ar-SA"/>
        </w:rPr>
        <w:t>, Eida did not give instructions to delay registration of the land transfer form until she had considered the matter further. It was Mr. Wilson's decision as Trustee to wait until Eida's death to register the Form A. To that end, he drafted the Declaration of Trust for Eida's signature to ensure it would be clear that until registration, Eida held legal title to the property on trust for the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283</w:t>
      </w:r>
      <w:r>
        <w:rPr>
          <w:rFonts w:ascii="arial" w:eastAsia="arial" w:hAnsi="arial" w:cs="arial"/>
          <w:color w:val="000000"/>
          <w:sz w:val="20"/>
          <w:lang w:val="en-US" w:eastAsia="en-US" w:bidi="ar-SA"/>
        </w:rPr>
        <w:t xml:space="preserve">  Even in the absence of the Declaration of Trust, the principle in </w:t>
      </w:r>
      <w:r>
        <w:rPr>
          <w:rFonts w:ascii="arial" w:eastAsia="arial" w:hAnsi="arial" w:cs="arial"/>
          <w:b/>
          <w:i/>
          <w:color w:val="000000"/>
          <w:sz w:val="20"/>
          <w:lang w:val="en-US" w:eastAsia="en-US" w:bidi="ar-SA"/>
        </w:rPr>
        <w:t>Pennington</w:t>
      </w:r>
      <w:r>
        <w:rPr>
          <w:rFonts w:ascii="arial" w:eastAsia="arial" w:hAnsi="arial" w:cs="arial"/>
          <w:color w:val="000000"/>
          <w:sz w:val="20"/>
          <w:lang w:val="en-US" w:eastAsia="en-US" w:bidi="ar-SA"/>
        </w:rPr>
        <w:t xml:space="preserve"> would apply. Until Mr. Wilson registered the Form A, Eida as settlor held legal title to the Warehouse in trust for Mr. Wilson as Trustee of the Trust. The Declaration of Trust merely provides a further factual basis bringing the transaction within the rule in </w:t>
      </w:r>
      <w:r>
        <w:rPr>
          <w:rFonts w:ascii="arial" w:eastAsia="arial" w:hAnsi="arial" w:cs="arial"/>
          <w:b/>
          <w:i/>
          <w:color w:val="000000"/>
          <w:sz w:val="20"/>
          <w:lang w:val="en-US" w:eastAsia="en-US" w:bidi="ar-SA"/>
        </w:rPr>
        <w:t>Pennington</w:t>
      </w:r>
      <w:r>
        <w:rPr>
          <w:rFonts w:ascii="arial" w:eastAsia="arial" w:hAnsi="arial" w:cs="arial"/>
          <w:color w:val="000000"/>
          <w:sz w:val="20"/>
          <w:lang w:val="en-US" w:eastAsia="en-US" w:bidi="ar-SA"/>
        </w:rPr>
        <w:t>. I am satisfied there was a valid act of transfer to create the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284</w:t>
      </w:r>
      <w:r>
        <w:rPr>
          <w:rFonts w:ascii="arial" w:eastAsia="arial" w:hAnsi="arial" w:cs="arial"/>
          <w:color w:val="000000"/>
          <w:sz w:val="20"/>
          <w:lang w:val="en-US" w:eastAsia="en-US" w:bidi="ar-SA"/>
        </w:rPr>
        <w:t xml:space="preserve">  Alternatively, s. 20 of the </w:t>
      </w:r>
      <w:r>
        <w:rPr>
          <w:rFonts w:ascii="arial" w:eastAsia="arial" w:hAnsi="arial" w:cs="arial"/>
          <w:b/>
          <w:i/>
          <w:color w:val="000000"/>
          <w:sz w:val="20"/>
          <w:lang w:val="en-US" w:eastAsia="en-US" w:bidi="ar-SA"/>
        </w:rPr>
        <w:t>Land Title Act</w:t>
      </w:r>
      <w:r>
        <w:rPr>
          <w:rFonts w:ascii="arial" w:eastAsia="arial" w:hAnsi="arial" w:cs="arial"/>
          <w:color w:val="000000"/>
          <w:sz w:val="20"/>
          <w:lang w:val="en-US" w:eastAsia="en-US" w:bidi="ar-SA"/>
        </w:rPr>
        <w:t xml:space="preserve"> is engaged. In accordance with the conclusion of the court in </w:t>
      </w:r>
      <w:r>
        <w:rPr>
          <w:rFonts w:ascii="arial" w:eastAsia="arial" w:hAnsi="arial" w:cs="arial"/>
          <w:b/>
          <w:i/>
          <w:color w:val="000000"/>
          <w:sz w:val="20"/>
          <w:lang w:val="en-US" w:eastAsia="en-US" w:bidi="ar-SA"/>
        </w:rPr>
        <w:t>Chung</w:t>
      </w:r>
      <w:r>
        <w:rPr>
          <w:rFonts w:ascii="arial" w:eastAsia="arial" w:hAnsi="arial" w:cs="arial"/>
          <w:color w:val="000000"/>
          <w:sz w:val="20"/>
          <w:lang w:val="en-US" w:eastAsia="en-US" w:bidi="ar-SA"/>
        </w:rPr>
        <w:t>, the Form A executed by Eida was effective against her "as the person making it" even before it was registered. For that reason as well, legal title passed to Mr. Wilson as Trustee upon execution by Eida of the Form 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285</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Re Evans</w:t>
      </w:r>
      <w:r>
        <w:rPr>
          <w:rFonts w:ascii="arial" w:eastAsia="arial" w:hAnsi="arial" w:cs="arial"/>
          <w:color w:val="000000"/>
          <w:sz w:val="20"/>
          <w:lang w:val="en-US" w:eastAsia="en-US" w:bidi="ar-SA"/>
        </w:rPr>
        <w:t xml:space="preserve">, the court held that the settlor could reserve the right to revoke the trust. Eida did not reserve a right of revocation as settlor. By completing the Form A and handing it to Mr. Wilson, Eida surrendered control over the Trust Property. The facts in </w:t>
      </w:r>
      <w:r>
        <w:rPr>
          <w:rFonts w:ascii="arial" w:eastAsia="arial" w:hAnsi="arial" w:cs="arial"/>
          <w:b/>
          <w:i/>
          <w:color w:val="000000"/>
          <w:sz w:val="20"/>
          <w:lang w:val="en-US" w:eastAsia="en-US" w:bidi="ar-SA"/>
        </w:rPr>
        <w:t>Re Pfrimmer Estate</w:t>
      </w:r>
      <w:r>
        <w:rPr>
          <w:rFonts w:ascii="arial" w:eastAsia="arial" w:hAnsi="arial" w:cs="arial"/>
          <w:color w:val="000000"/>
          <w:sz w:val="20"/>
          <w:lang w:val="en-US" w:eastAsia="en-US" w:bidi="ar-SA"/>
        </w:rPr>
        <w:t xml:space="preserve"> were quite different. There, the settlor was capable of defeating the transfer and, as such, there was no valid transfer. In this case, Eida could not defeat the original transfer; she could only request that a </w:t>
      </w:r>
      <w:r>
        <w:rPr>
          <w:rFonts w:ascii="arial" w:eastAsia="arial" w:hAnsi="arial" w:cs="arial"/>
          <w:i/>
          <w:color w:val="000000"/>
          <w:sz w:val="20"/>
          <w:lang w:val="en-US" w:eastAsia="en-US" w:bidi="ar-SA"/>
        </w:rPr>
        <w:t>new</w:t>
      </w:r>
      <w:r>
        <w:rPr>
          <w:rFonts w:ascii="arial" w:eastAsia="arial" w:hAnsi="arial" w:cs="arial"/>
          <w:color w:val="000000"/>
          <w:sz w:val="20"/>
          <w:lang w:val="en-US" w:eastAsia="en-US" w:bidi="ar-SA"/>
        </w:rPr>
        <w:t xml:space="preserve"> transfer take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286</w:t>
      </w:r>
      <w:r>
        <w:rPr>
          <w:rFonts w:ascii="arial" w:eastAsia="arial" w:hAnsi="arial" w:cs="arial"/>
          <w:color w:val="000000"/>
          <w:sz w:val="20"/>
          <w:lang w:val="en-US" w:eastAsia="en-US" w:bidi="ar-SA"/>
        </w:rPr>
        <w:t>  Further, it must be borne in mind that Eida had separate roles as settlor and beneficiary under the Trust. As settlor, Eida had no right to revoke the trust. (paragraph 1.4 of the Trust Indenture). Eida's right to call for Trust Property was a right she held as beneficiary. Eida as settlor had no ability to defeat the original transfer to Mr. Wilson as Trustee. She had only the power as beneficiary to call for the Trust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287</w:t>
      </w:r>
      <w:r>
        <w:rPr>
          <w:rFonts w:ascii="arial" w:eastAsia="arial" w:hAnsi="arial" w:cs="arial"/>
          <w:color w:val="000000"/>
          <w:sz w:val="20"/>
          <w:lang w:val="en-US" w:eastAsia="en-US" w:bidi="ar-SA"/>
        </w:rPr>
        <w:t>  Moreover, paragraph 4.2 of the Trust Indenture provided that Eida's right to exercise that power of appointment would terminate upon Eida becoming incompetent. That potential limitation is further evidence of Eida's intention to relinquish control over the Trust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288</w:t>
      </w:r>
      <w:r>
        <w:rPr>
          <w:rFonts w:ascii="arial" w:eastAsia="arial" w:hAnsi="arial" w:cs="arial"/>
          <w:color w:val="000000"/>
          <w:sz w:val="20"/>
          <w:lang w:val="en-US" w:eastAsia="en-US" w:bidi="ar-SA"/>
        </w:rPr>
        <w:t>  It is clear from paragraphs 2.1.6 and 3.1 of the Trust Indenture, read with paras. 3 and 9 of Schedule B (incorporated by paragraph 5.1 of the Trust Indenture), that the Trustees had the power to modify and convert the Trust Property. Accordingly, Eida had the right to call for the Warehouse property only so long as it remained Trust Property. Under the terms of the Trust, she would lose all power to obtain the Warehouse in the event the Trustees exercised their power to convert the Warehouse into another form of trust investment. Put another way, Eida did not have the power to obtain the Warehouse property; she had the power to call for Trust Property in whatever form it existed at that point in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289</w:t>
      </w:r>
      <w:r>
        <w:rPr>
          <w:rFonts w:ascii="arial" w:eastAsia="arial" w:hAnsi="arial" w:cs="arial"/>
          <w:color w:val="000000"/>
          <w:sz w:val="20"/>
          <w:lang w:val="en-US" w:eastAsia="en-US" w:bidi="ar-SA"/>
        </w:rPr>
        <w:t xml:space="preserve">  Whether one applies the "everything necessary" test in </w:t>
      </w:r>
      <w:r>
        <w:rPr>
          <w:rFonts w:ascii="arial" w:eastAsia="arial" w:hAnsi="arial" w:cs="arial"/>
          <w:b/>
          <w:i/>
          <w:color w:val="000000"/>
          <w:sz w:val="20"/>
          <w:lang w:val="en-US" w:eastAsia="en-US" w:bidi="ar-SA"/>
        </w:rPr>
        <w:t>Re Rose</w:t>
      </w:r>
      <w:r>
        <w:rPr>
          <w:rFonts w:ascii="arial" w:eastAsia="arial" w:hAnsi="arial" w:cs="arial"/>
          <w:color w:val="000000"/>
          <w:sz w:val="20"/>
          <w:lang w:val="en-US" w:eastAsia="en-US" w:bidi="ar-SA"/>
        </w:rPr>
        <w:t xml:space="preserve">, the equitable principles of </w:t>
      </w:r>
      <w:r>
        <w:rPr>
          <w:rFonts w:ascii="arial" w:eastAsia="arial" w:hAnsi="arial" w:cs="arial"/>
          <w:b/>
          <w:i/>
          <w:color w:val="000000"/>
          <w:sz w:val="20"/>
          <w:lang w:val="en-US" w:eastAsia="en-US" w:bidi="ar-SA"/>
        </w:rPr>
        <w:t>Pennington</w:t>
      </w:r>
      <w:r>
        <w:rPr>
          <w:rFonts w:ascii="arial" w:eastAsia="arial" w:hAnsi="arial" w:cs="arial"/>
          <w:color w:val="000000"/>
          <w:sz w:val="20"/>
          <w:lang w:val="en-US" w:eastAsia="en-US" w:bidi="ar-SA"/>
        </w:rPr>
        <w:t xml:space="preserve">, or the effect of s. 20 of the </w:t>
      </w:r>
      <w:r>
        <w:rPr>
          <w:rFonts w:ascii="arial" w:eastAsia="arial" w:hAnsi="arial" w:cs="arial"/>
          <w:b/>
          <w:i/>
          <w:color w:val="000000"/>
          <w:sz w:val="20"/>
          <w:lang w:val="en-US" w:eastAsia="en-US" w:bidi="ar-SA"/>
        </w:rPr>
        <w:t>Land Title Act</w:t>
      </w:r>
      <w:r>
        <w:rPr>
          <w:rFonts w:ascii="arial" w:eastAsia="arial" w:hAnsi="arial" w:cs="arial"/>
          <w:color w:val="000000"/>
          <w:sz w:val="20"/>
          <w:lang w:val="en-US" w:eastAsia="en-US" w:bidi="ar-SA"/>
        </w:rPr>
        <w:t xml:space="preserve">, the result is the same: there was a valid act of transfer to create an </w:t>
      </w:r>
      <w:r>
        <w:rPr>
          <w:rFonts w:ascii="arial" w:eastAsia="arial" w:hAnsi="arial" w:cs="arial"/>
          <w:i/>
          <w:color w:val="000000"/>
          <w:sz w:val="20"/>
          <w:lang w:val="en-US" w:eastAsia="en-US" w:bidi="ar-SA"/>
        </w:rPr>
        <w:t>inter vivos</w:t>
      </w:r>
      <w:r>
        <w:rPr>
          <w:rFonts w:ascii="arial" w:eastAsia="arial" w:hAnsi="arial" w:cs="arial"/>
          <w:color w:val="000000"/>
          <w:sz w:val="20"/>
          <w:lang w:val="en-US" w:eastAsia="en-US" w:bidi="ar-SA"/>
        </w:rPr>
        <w:t xml:space="preserve">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Was the act of transfer vitiated by the circumstances of the transfer?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290</w:t>
      </w:r>
      <w:r>
        <w:rPr>
          <w:rFonts w:ascii="arial" w:eastAsia="arial" w:hAnsi="arial" w:cs="arial"/>
          <w:color w:val="000000"/>
          <w:sz w:val="20"/>
          <w:lang w:val="en-US" w:eastAsia="en-US" w:bidi="ar-SA"/>
        </w:rPr>
        <w:t>  Alex alleged undue influence on the part of Viviane with respect to the Trust. Because Alex also alleged undue influence with respect to the jointly held assets i.e. the condominium and the bank accounts, the issue of undue influence is considered later in these reasons. Suffice to say here that I have concluded there was no undue influence on the part of Viviane with respect to the creation of the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291</w:t>
      </w:r>
      <w:r>
        <w:rPr>
          <w:rFonts w:ascii="arial" w:eastAsia="arial" w:hAnsi="arial" w:cs="arial"/>
          <w:color w:val="000000"/>
          <w:sz w:val="20"/>
          <w:lang w:val="en-US" w:eastAsia="en-US" w:bidi="ar-SA"/>
        </w:rPr>
        <w:t>  It was not argued that fraud, lack of mental capacity or mistake vitiated the act of transfer in creating the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three certainties: certainty of intention and the issue of sham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292</w:t>
      </w:r>
      <w:r>
        <w:rPr>
          <w:rFonts w:ascii="arial" w:eastAsia="arial" w:hAnsi="arial" w:cs="arial"/>
          <w:color w:val="000000"/>
          <w:sz w:val="20"/>
          <w:lang w:val="en-US" w:eastAsia="en-US" w:bidi="ar-SA"/>
        </w:rPr>
        <w:t>  In order to be valid, trusts must comply with the three certainties at the time of settlement: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of course trite law that for a valid trust to come into existence, the three certainties - certainty of intention, objects and subject matter - must be met .... If the first requirement is not met -- i.e., a transfer of property is construed as not intended to have been subject to a trust obligation - the transferee takes the property beneficially ... If the first test is met but the intended trust fails due to uncertainty of subject matter or objects, then ... the property is held on a resulting trust in favour of the settlor ... (</w:t>
      </w:r>
      <w:r>
        <w:rPr>
          <w:rFonts w:ascii="arial" w:eastAsia="arial" w:hAnsi="arial" w:cs="arial"/>
          <w:b/>
          <w:i/>
          <w:color w:val="000000"/>
          <w:sz w:val="20"/>
          <w:lang w:val="en-US" w:eastAsia="en-US" w:bidi="ar-SA"/>
        </w:rPr>
        <w:t>Lewis v. Union of B.C. Performers</w:t>
      </w:r>
      <w:r>
        <w:rPr>
          <w:rFonts w:ascii="arial" w:eastAsia="arial" w:hAnsi="arial" w:cs="arial"/>
          <w:color w:val="000000"/>
          <w:sz w:val="20"/>
          <w:lang w:val="en-US" w:eastAsia="en-US" w:bidi="ar-SA"/>
        </w:rPr>
        <w:t xml:space="preserve">, </w:t>
      </w:r>
      <w:hyperlink r:id="rId46" w:history="1">
        <w:r>
          <w:rPr>
            <w:rFonts w:ascii="arial" w:eastAsia="arial" w:hAnsi="arial" w:cs="arial"/>
            <w:i/>
            <w:color w:val="0077CC"/>
            <w:sz w:val="20"/>
            <w:u w:val="single"/>
            <w:shd w:val="clear" w:color="auto" w:fill="FFFFFF"/>
            <w:lang w:val="en-US" w:eastAsia="en-US" w:bidi="ar-SA"/>
          </w:rPr>
          <w:t>(1996) 18 B.C.L.R. (3d) 382</w:t>
        </w:r>
      </w:hyperlink>
      <w:r>
        <w:rPr>
          <w:rFonts w:ascii="arial" w:eastAsia="arial" w:hAnsi="arial" w:cs="arial"/>
          <w:color w:val="000000"/>
          <w:sz w:val="20"/>
          <w:lang w:val="en-US" w:eastAsia="en-US" w:bidi="ar-SA"/>
        </w:rPr>
        <w:t xml:space="preserve"> at para. 21 (C.A.) [</w:t>
      </w:r>
      <w:r>
        <w:rPr>
          <w:rFonts w:ascii="arial" w:eastAsia="arial" w:hAnsi="arial" w:cs="arial"/>
          <w:b/>
          <w:i/>
          <w:color w:val="000000"/>
          <w:sz w:val="20"/>
          <w:lang w:val="en-US" w:eastAsia="en-US" w:bidi="ar-SA"/>
        </w:rPr>
        <w:t>Lewis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293</w:t>
      </w:r>
      <w:r>
        <w:rPr>
          <w:rFonts w:ascii="arial" w:eastAsia="arial" w:hAnsi="arial" w:cs="arial"/>
          <w:color w:val="000000"/>
          <w:sz w:val="20"/>
          <w:lang w:val="en-US" w:eastAsia="en-US" w:bidi="ar-SA"/>
        </w:rPr>
        <w:t xml:space="preserve">  To meet the first certainty, there must be an intention on the part of the settlor to impose enforceable trust obligations on the trustee. The language used by the settlor is critical and must show a clear intention that the recipient of the trust property holds that property on trust: </w:t>
      </w:r>
      <w:r>
        <w:rPr>
          <w:rFonts w:ascii="arial" w:eastAsia="arial" w:hAnsi="arial" w:cs="arial"/>
          <w:b/>
          <w:i/>
          <w:color w:val="000000"/>
          <w:sz w:val="20"/>
          <w:lang w:val="en-US" w:eastAsia="en-US" w:bidi="ar-SA"/>
        </w:rPr>
        <w:t>Lewis</w:t>
      </w:r>
      <w:r>
        <w:rPr>
          <w:rFonts w:ascii="arial" w:eastAsia="arial" w:hAnsi="arial" w:cs="arial"/>
          <w:color w:val="000000"/>
          <w:sz w:val="20"/>
          <w:lang w:val="en-US" w:eastAsia="en-US" w:bidi="ar-SA"/>
        </w:rPr>
        <w:t xml:space="preserve"> at para. 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294</w:t>
      </w:r>
      <w:r>
        <w:rPr>
          <w:rFonts w:ascii="arial" w:eastAsia="arial" w:hAnsi="arial" w:cs="arial"/>
          <w:color w:val="000000"/>
          <w:sz w:val="20"/>
          <w:lang w:val="en-US" w:eastAsia="en-US" w:bidi="ar-SA"/>
        </w:rPr>
        <w:t>  The Plaintiff argued that the Trust was a sham because of the degree of control Eida retained over the Trust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295</w:t>
      </w:r>
      <w:r>
        <w:rPr>
          <w:rFonts w:ascii="arial" w:eastAsia="arial" w:hAnsi="arial" w:cs="arial"/>
          <w:color w:val="000000"/>
          <w:sz w:val="20"/>
          <w:lang w:val="en-US" w:eastAsia="en-US" w:bidi="ar-SA"/>
        </w:rPr>
        <w:t xml:space="preserve">  The issue of sham trusts is treated in different ways by different authors. W.J. Mowbray </w:t>
      </w:r>
      <w:r>
        <w:rPr>
          <w:rFonts w:ascii="arial" w:eastAsia="arial" w:hAnsi="arial" w:cs="arial"/>
          <w:i/>
          <w:color w:val="000000"/>
          <w:sz w:val="20"/>
          <w:lang w:val="en-US" w:eastAsia="en-US" w:bidi="ar-SA"/>
        </w:rPr>
        <w:t>et al., Lewin on Trusts</w:t>
      </w:r>
      <w:r>
        <w:rPr>
          <w:rFonts w:ascii="arial" w:eastAsia="arial" w:hAnsi="arial" w:cs="arial"/>
          <w:color w:val="000000"/>
          <w:sz w:val="20"/>
          <w:lang w:val="en-US" w:eastAsia="en-US" w:bidi="ar-SA"/>
        </w:rPr>
        <w:t>, 17th ed. (London: Sweet &amp; Maxwell, 2000) at paras. 4 - 19 to 4 - 28 [</w:t>
      </w:r>
      <w:r>
        <w:rPr>
          <w:rFonts w:ascii="arial" w:eastAsia="arial" w:hAnsi="arial" w:cs="arial"/>
          <w:b/>
          <w:i/>
          <w:color w:val="000000"/>
          <w:sz w:val="20"/>
          <w:lang w:val="en-US" w:eastAsia="en-US" w:bidi="ar-SA"/>
        </w:rPr>
        <w:t>Lewin</w:t>
      </w:r>
      <w:r>
        <w:rPr>
          <w:rFonts w:ascii="arial" w:eastAsia="arial" w:hAnsi="arial" w:cs="arial"/>
          <w:color w:val="000000"/>
          <w:sz w:val="20"/>
          <w:lang w:val="en-US" w:eastAsia="en-US" w:bidi="ar-SA"/>
        </w:rPr>
        <w:t>] considers that whether a trust is invalid as a sham depends primarily on the intention of the settlor at the time the trust is created (citations omitted):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sham concept ... would appear to involve a finding of fact akin to, but nevertheless falling short of, actual fraud. In the trust context, a finding will be necessary that, whilst an apparent settlor did not in fact intend to part with the beneficial interest in the trust property, nevertheless he executed documentation with the apparent effect of so parting (</w:t>
      </w:r>
      <w:r>
        <w:rPr>
          <w:rFonts w:ascii="arial" w:eastAsia="arial" w:hAnsi="arial" w:cs="arial"/>
          <w:b/>
          <w:i/>
          <w:color w:val="000000"/>
          <w:sz w:val="20"/>
          <w:lang w:val="en-US" w:eastAsia="en-US" w:bidi="ar-SA"/>
        </w:rPr>
        <w:t>Lewin</w:t>
      </w:r>
      <w:r>
        <w:rPr>
          <w:rFonts w:ascii="arial" w:eastAsia="arial" w:hAnsi="arial" w:cs="arial"/>
          <w:color w:val="000000"/>
          <w:sz w:val="20"/>
          <w:lang w:val="en-US" w:eastAsia="en-US" w:bidi="ar-SA"/>
        </w:rPr>
        <w:t xml:space="preserve"> at paras. 4 - 21).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at the [time of execution] the settlor genuinely intends the documentation to take effect according to its terms, and those terms are such as to create a trust, then nothing the settlor or trustees do thereafter can render a valid trust a sham (</w:t>
      </w:r>
      <w:r>
        <w:rPr>
          <w:rFonts w:ascii="arial" w:eastAsia="arial" w:hAnsi="arial" w:cs="arial"/>
          <w:b/>
          <w:i/>
          <w:color w:val="000000"/>
          <w:sz w:val="20"/>
          <w:lang w:val="en-US" w:eastAsia="en-US" w:bidi="ar-SA"/>
        </w:rPr>
        <w:t>Lewin</w:t>
      </w:r>
      <w:r>
        <w:rPr>
          <w:rFonts w:ascii="arial" w:eastAsia="arial" w:hAnsi="arial" w:cs="arial"/>
          <w:color w:val="000000"/>
          <w:sz w:val="20"/>
          <w:lang w:val="en-US" w:eastAsia="en-US" w:bidi="ar-SA"/>
        </w:rPr>
        <w:t xml:space="preserve"> at paras. 4 - 22).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Mere examination of the deed itself will, of course, be incapable of revealing its sham nature (</w:t>
      </w:r>
      <w:r>
        <w:rPr>
          <w:rFonts w:ascii="arial" w:eastAsia="arial" w:hAnsi="arial" w:cs="arial"/>
          <w:b/>
          <w:i/>
          <w:color w:val="000000"/>
          <w:sz w:val="20"/>
          <w:lang w:val="en-US" w:eastAsia="en-US" w:bidi="ar-SA"/>
        </w:rPr>
        <w:t>Lewin</w:t>
      </w:r>
      <w:r>
        <w:rPr>
          <w:rFonts w:ascii="arial" w:eastAsia="arial" w:hAnsi="arial" w:cs="arial"/>
          <w:color w:val="000000"/>
          <w:sz w:val="20"/>
          <w:lang w:val="en-US" w:eastAsia="en-US" w:bidi="ar-SA"/>
        </w:rPr>
        <w:t xml:space="preserve"> at paras. 4 - 22).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[Courts have] distinguished between the class of case where parties entered into a written agreement which was "a sham intended to mask their true agreement", and the distinct class of case where, without any question of sham, there "has been held to be some objective criterion in law by which the courts can test whether the agreement the parties have made does or does not fall into the legal category in which the parties have sought to place their agreement (</w:t>
      </w:r>
      <w:r>
        <w:rPr>
          <w:rFonts w:ascii="arial" w:eastAsia="arial" w:hAnsi="arial" w:cs="arial"/>
          <w:b/>
          <w:i/>
          <w:color w:val="000000"/>
          <w:sz w:val="20"/>
          <w:lang w:val="en-US" w:eastAsia="en-US" w:bidi="ar-SA"/>
        </w:rPr>
        <w:t>Lewin</w:t>
      </w:r>
      <w:r>
        <w:rPr>
          <w:rFonts w:ascii="arial" w:eastAsia="arial" w:hAnsi="arial" w:cs="arial"/>
          <w:color w:val="000000"/>
          <w:sz w:val="20"/>
          <w:lang w:val="en-US" w:eastAsia="en-US" w:bidi="ar-SA"/>
        </w:rPr>
        <w:t xml:space="preserve"> at paras. 4 - 24).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difference [between a sham and merely an improperly constituted trust] is that between an apparent settlor who has no </w:t>
      </w:r>
      <w:r>
        <w:rPr>
          <w:rFonts w:ascii="arial" w:eastAsia="arial" w:hAnsi="arial" w:cs="arial"/>
          <w:i/>
          <w:color w:val="000000"/>
          <w:sz w:val="20"/>
          <w:lang w:val="en-US" w:eastAsia="en-US" w:bidi="ar-SA"/>
        </w:rPr>
        <w:t>relevant intention</w:t>
      </w:r>
      <w:r>
        <w:rPr>
          <w:rFonts w:ascii="arial" w:eastAsia="arial" w:hAnsi="arial" w:cs="arial"/>
          <w:color w:val="000000"/>
          <w:sz w:val="20"/>
          <w:lang w:val="en-US" w:eastAsia="en-US" w:bidi="ar-SA"/>
        </w:rPr>
        <w:t xml:space="preserve"> to create a trust, but executes documentation by which he pretends to have such an intention; and the quite distinct settlor who fully intends his documentation to take effect according to its terms, but, as a matter of proper legal analysis, fails to create a trust (</w:t>
      </w:r>
      <w:r>
        <w:rPr>
          <w:rFonts w:ascii="arial" w:eastAsia="arial" w:hAnsi="arial" w:cs="arial"/>
          <w:b/>
          <w:i/>
          <w:color w:val="000000"/>
          <w:sz w:val="20"/>
          <w:lang w:val="en-US" w:eastAsia="en-US" w:bidi="ar-SA"/>
        </w:rPr>
        <w:t>Lewin</w:t>
      </w:r>
      <w:r>
        <w:rPr>
          <w:rFonts w:ascii="arial" w:eastAsia="arial" w:hAnsi="arial" w:cs="arial"/>
          <w:color w:val="000000"/>
          <w:sz w:val="20"/>
          <w:lang w:val="en-US" w:eastAsia="en-US" w:bidi="ar-SA"/>
        </w:rPr>
        <w:t xml:space="preserve"> at paras. 4 - 25, emphasis in original).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finding of sham makes it unnecessary for the court to consider the requirement of certainty of intention at all, because it has evidence before it that the settlor's documentation has been crafted to mislead (</w:t>
      </w:r>
      <w:r>
        <w:rPr>
          <w:rFonts w:ascii="arial" w:eastAsia="arial" w:hAnsi="arial" w:cs="arial"/>
          <w:b/>
          <w:i/>
          <w:color w:val="000000"/>
          <w:sz w:val="20"/>
          <w:lang w:val="en-US" w:eastAsia="en-US" w:bidi="ar-SA"/>
        </w:rPr>
        <w:t>Lewin</w:t>
      </w:r>
      <w:r>
        <w:rPr>
          <w:rFonts w:ascii="arial" w:eastAsia="arial" w:hAnsi="arial" w:cs="arial"/>
          <w:color w:val="000000"/>
          <w:sz w:val="20"/>
          <w:lang w:val="en-US" w:eastAsia="en-US" w:bidi="ar-SA"/>
        </w:rPr>
        <w:t xml:space="preserve"> at paras. 4 - 27).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mere retention of wide beneficial powers and interests by the settlor does not of itself make the trust a sham, so long as the trustee genuinely has control over the assets and exercises his own independent discretions in respect of those matters where the terms of the trust require him to do so (</w:t>
      </w:r>
      <w:r>
        <w:rPr>
          <w:rFonts w:ascii="arial" w:eastAsia="arial" w:hAnsi="arial" w:cs="arial"/>
          <w:b/>
          <w:i/>
          <w:color w:val="000000"/>
          <w:sz w:val="20"/>
          <w:lang w:val="en-US" w:eastAsia="en-US" w:bidi="ar-SA"/>
        </w:rPr>
        <w:t>Lewin</w:t>
      </w:r>
      <w:r>
        <w:rPr>
          <w:rFonts w:ascii="arial" w:eastAsia="arial" w:hAnsi="arial" w:cs="arial"/>
          <w:color w:val="000000"/>
          <w:sz w:val="20"/>
          <w:lang w:val="en-US" w:eastAsia="en-US" w:bidi="ar-SA"/>
        </w:rPr>
        <w:t xml:space="preserve"> at paras. 4 - 28).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296</w:t>
      </w:r>
      <w:r>
        <w:rPr>
          <w:rFonts w:ascii="arial" w:eastAsia="arial" w:hAnsi="arial" w:cs="arial"/>
          <w:color w:val="000000"/>
          <w:sz w:val="20"/>
          <w:lang w:val="en-US" w:eastAsia="en-US" w:bidi="ar-SA"/>
        </w:rPr>
        <w:t xml:space="preserve">  Simply put, </w:t>
      </w:r>
      <w:r>
        <w:rPr>
          <w:rFonts w:ascii="arial" w:eastAsia="arial" w:hAnsi="arial" w:cs="arial"/>
          <w:b/>
          <w:i/>
          <w:color w:val="000000"/>
          <w:sz w:val="20"/>
          <w:lang w:val="en-US" w:eastAsia="en-US" w:bidi="ar-SA"/>
        </w:rPr>
        <w:t>Lewin</w:t>
      </w:r>
      <w:r>
        <w:rPr>
          <w:rFonts w:ascii="arial" w:eastAsia="arial" w:hAnsi="arial" w:cs="arial"/>
          <w:color w:val="000000"/>
          <w:sz w:val="20"/>
          <w:lang w:val="en-US" w:eastAsia="en-US" w:bidi="ar-SA"/>
        </w:rPr>
        <w:t xml:space="preserve"> distinguishes between a settlor with devious intent and a settlor who signs a document that does not have the legal effect he or she thought it would have. The discussion in Donovan Waters et al., </w:t>
      </w:r>
      <w:r>
        <w:rPr>
          <w:rFonts w:ascii="arial" w:eastAsia="arial" w:hAnsi="arial" w:cs="arial"/>
          <w:i/>
          <w:color w:val="000000"/>
          <w:sz w:val="20"/>
          <w:lang w:val="en-US" w:eastAsia="en-US" w:bidi="ar-SA"/>
        </w:rPr>
        <w:t>Waters' Law of Trusts in Canada</w:t>
      </w:r>
      <w:r>
        <w:rPr>
          <w:rFonts w:ascii="arial" w:eastAsia="arial" w:hAnsi="arial" w:cs="arial"/>
          <w:color w:val="000000"/>
          <w:sz w:val="20"/>
          <w:lang w:val="en-US" w:eastAsia="en-US" w:bidi="ar-SA"/>
        </w:rPr>
        <w:t>, 3rd ed. (Toronto: Thomson Carswell, 2005) at 145 - 149 [</w:t>
      </w:r>
      <w:r>
        <w:rPr>
          <w:rFonts w:ascii="arial" w:eastAsia="arial" w:hAnsi="arial" w:cs="arial"/>
          <w:b/>
          <w:i/>
          <w:color w:val="000000"/>
          <w:sz w:val="20"/>
          <w:lang w:val="en-US" w:eastAsia="en-US" w:bidi="ar-SA"/>
        </w:rPr>
        <w:t>Waters</w:t>
      </w:r>
      <w:r>
        <w:rPr>
          <w:rFonts w:ascii="arial" w:eastAsia="arial" w:hAnsi="arial" w:cs="arial"/>
          <w:color w:val="000000"/>
          <w:sz w:val="20"/>
          <w:lang w:val="en-US" w:eastAsia="en-US" w:bidi="ar-SA"/>
        </w:rPr>
        <w:t xml:space="preserve">] is consistent with the </w:t>
      </w:r>
      <w:r>
        <w:rPr>
          <w:rFonts w:ascii="arial" w:eastAsia="arial" w:hAnsi="arial" w:cs="arial"/>
          <w:b/>
          <w:i/>
          <w:color w:val="000000"/>
          <w:sz w:val="20"/>
          <w:lang w:val="en-US" w:eastAsia="en-US" w:bidi="ar-SA"/>
        </w:rPr>
        <w:t>Lewin</w:t>
      </w:r>
      <w:r>
        <w:rPr>
          <w:rFonts w:ascii="arial" w:eastAsia="arial" w:hAnsi="arial" w:cs="arial"/>
          <w:color w:val="000000"/>
          <w:sz w:val="20"/>
          <w:lang w:val="en-US" w:eastAsia="en-US" w:bidi="ar-SA"/>
        </w:rPr>
        <w:t xml:space="preserve"> approach. Guided by </w:t>
      </w:r>
      <w:r>
        <w:rPr>
          <w:rFonts w:ascii="arial" w:eastAsia="arial" w:hAnsi="arial" w:cs="arial"/>
          <w:b/>
          <w:i/>
          <w:color w:val="000000"/>
          <w:sz w:val="20"/>
          <w:lang w:val="en-US" w:eastAsia="en-US" w:bidi="ar-SA"/>
        </w:rPr>
        <w:t>Lewin</w:t>
      </w:r>
      <w:r>
        <w:rPr>
          <w:rFonts w:ascii="arial" w:eastAsia="arial" w:hAnsi="arial" w:cs="arial"/>
          <w:color w:val="000000"/>
          <w:sz w:val="20"/>
          <w:lang w:val="en-US" w:eastAsia="en-US" w:bidi="ar-SA"/>
        </w:rPr>
        <w:t>, I will deal with the argument that the Trust was a sham as a precursor to the question of whether there was certainty of intention.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297</w:t>
      </w:r>
      <w:r>
        <w:rPr>
          <w:rFonts w:ascii="arial" w:eastAsia="arial" w:hAnsi="arial" w:cs="arial"/>
          <w:color w:val="000000"/>
          <w:sz w:val="20"/>
          <w:lang w:val="en-US" w:eastAsia="en-US" w:bidi="ar-SA"/>
        </w:rPr>
        <w:t>  On the issue of whether the trust was a sham, the question is this: Did Eida intend to create a valid trust, or were the documents executed to mask an intention to retain full control over the Trust Property? To answer the question, one must look behind the documents which are said to conceal the sham, and weigh the other evidence of intention at the time the documents were executed.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298</w:t>
      </w:r>
      <w:r>
        <w:rPr>
          <w:rFonts w:ascii="arial" w:eastAsia="arial" w:hAnsi="arial" w:cs="arial"/>
          <w:color w:val="000000"/>
          <w:sz w:val="20"/>
          <w:lang w:val="en-US" w:eastAsia="en-US" w:bidi="ar-SA"/>
        </w:rPr>
        <w:t xml:space="preserve">  The Plaintiff argued that Eida's sole purpose in creating the Trust was to defeat Alex's </w:t>
      </w:r>
      <w:r>
        <w:rPr>
          <w:rFonts w:ascii="arial" w:eastAsia="arial" w:hAnsi="arial" w:cs="arial"/>
          <w:b/>
          <w:i/>
          <w:color w:val="000000"/>
          <w:sz w:val="20"/>
          <w:lang w:val="en-US" w:eastAsia="en-US" w:bidi="ar-SA"/>
        </w:rPr>
        <w:t>WVA</w:t>
      </w:r>
      <w:r>
        <w:rPr>
          <w:rFonts w:ascii="arial" w:eastAsia="arial" w:hAnsi="arial" w:cs="arial"/>
          <w:color w:val="000000"/>
          <w:sz w:val="20"/>
          <w:lang w:val="en-US" w:eastAsia="en-US" w:bidi="ar-SA"/>
        </w:rPr>
        <w:t xml:space="preserve"> claim. However, motive is distinct from intent: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transaction is no sham merely because it is carried out with a particular purpose or object. If what is done is genuinely done, it does not remain undone merely because there was an ulterior purpose in doing it (</w:t>
      </w:r>
      <w:r>
        <w:rPr>
          <w:rFonts w:ascii="arial" w:eastAsia="arial" w:hAnsi="arial" w:cs="arial"/>
          <w:b/>
          <w:i/>
          <w:color w:val="000000"/>
          <w:sz w:val="20"/>
          <w:lang w:val="en-US" w:eastAsia="en-US" w:bidi="ar-SA"/>
        </w:rPr>
        <w:t>Lewin</w:t>
      </w:r>
      <w:r>
        <w:rPr>
          <w:rFonts w:ascii="arial" w:eastAsia="arial" w:hAnsi="arial" w:cs="arial"/>
          <w:color w:val="000000"/>
          <w:sz w:val="20"/>
          <w:lang w:val="en-US" w:eastAsia="en-US" w:bidi="ar-SA"/>
        </w:rPr>
        <w:t xml:space="preserve"> at paras. 4 - 26 citing </w:t>
      </w:r>
      <w:r>
        <w:rPr>
          <w:rFonts w:ascii="arial" w:eastAsia="arial" w:hAnsi="arial" w:cs="arial"/>
          <w:b/>
          <w:i/>
          <w:color w:val="000000"/>
          <w:sz w:val="20"/>
          <w:lang w:val="en-US" w:eastAsia="en-US" w:bidi="ar-SA"/>
        </w:rPr>
        <w:t>Miles v. Bull</w:t>
      </w:r>
      <w:r>
        <w:rPr>
          <w:rFonts w:ascii="arial" w:eastAsia="arial" w:hAnsi="arial" w:cs="arial"/>
          <w:color w:val="000000"/>
          <w:sz w:val="20"/>
          <w:lang w:val="en-US" w:eastAsia="en-US" w:bidi="ar-SA"/>
        </w:rPr>
        <w:t>, [1969] 1 Q.B. 258 at 264 [</w:t>
      </w:r>
      <w:r>
        <w:rPr>
          <w:rFonts w:ascii="arial" w:eastAsia="arial" w:hAnsi="arial" w:cs="arial"/>
          <w:b/>
          <w:i/>
          <w:color w:val="000000"/>
          <w:sz w:val="20"/>
          <w:lang w:val="en-US" w:eastAsia="en-US" w:bidi="ar-SA"/>
        </w:rPr>
        <w:t>Miles v. Bull</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Regardless of her motive, if Eida genuinely intended to create a trust, the Trust was not a sham.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299</w:t>
      </w:r>
      <w:r>
        <w:rPr>
          <w:rFonts w:ascii="arial" w:eastAsia="arial" w:hAnsi="arial" w:cs="arial"/>
          <w:color w:val="000000"/>
          <w:sz w:val="20"/>
          <w:lang w:val="en-US" w:eastAsia="en-US" w:bidi="ar-SA"/>
        </w:rPr>
        <w:t>  Intention is a question of fact. I am satisfied that Eida genuinely intended to create a trust. Mr. Wilson explained to Eida the effect of the Trust and the fact that the Trust would hold the property during Eida's lifetime. Further, at the time Eida executed the Form A on September 5, 2000, Mr. Wilson explained that she was transferring legal title to him as Trustee. He explained that Eida was relinquishing control of the Warehouse and was making a present gift to Viviane.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300</w:t>
      </w:r>
      <w:r>
        <w:rPr>
          <w:rFonts w:ascii="arial" w:eastAsia="arial" w:hAnsi="arial" w:cs="arial"/>
          <w:color w:val="000000"/>
          <w:sz w:val="20"/>
          <w:lang w:val="en-US" w:eastAsia="en-US" w:bidi="ar-SA"/>
        </w:rPr>
        <w:t xml:space="preserve">  Eida was advanced in years. Her stated objective was to put the Warehouse property beyond the reach of a </w:t>
      </w:r>
      <w:r>
        <w:rPr>
          <w:rFonts w:ascii="arial" w:eastAsia="arial" w:hAnsi="arial" w:cs="arial"/>
          <w:b/>
          <w:i/>
          <w:color w:val="000000"/>
          <w:sz w:val="20"/>
          <w:lang w:val="en-US" w:eastAsia="en-US" w:bidi="ar-SA"/>
        </w:rPr>
        <w:t>WVA</w:t>
      </w:r>
      <w:r>
        <w:rPr>
          <w:rFonts w:ascii="arial" w:eastAsia="arial" w:hAnsi="arial" w:cs="arial"/>
          <w:color w:val="000000"/>
          <w:sz w:val="20"/>
          <w:lang w:val="en-US" w:eastAsia="en-US" w:bidi="ar-SA"/>
        </w:rPr>
        <w:t xml:space="preserve"> claim. She intended to create a trust on the understanding that she would receive the benefit of the property for life, but that it would then pass to Viviane such that Alex could not reach it. As a woman of advanced years, she also understood she may not remain competent to handle her affairs until her death. For that reason, she included a provision in the Trust Indenture that should she become incompetent, the Trustees would deal with the income and Trust property in a manner that would provide for her care until she died. The inclusion of a clause addressing the possibility of her incompetence is indicative, in my view, of a bona fide intention to create a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301</w:t>
      </w:r>
      <w:r>
        <w:rPr>
          <w:rFonts w:ascii="arial" w:eastAsia="arial" w:hAnsi="arial" w:cs="arial"/>
          <w:color w:val="000000"/>
          <w:sz w:val="20"/>
          <w:lang w:val="en-US" w:eastAsia="en-US" w:bidi="ar-SA"/>
        </w:rPr>
        <w:t>  Eida acted on Mr. Wilson's advice that a trust could be set up to achieve those goals and also be tax-efficient. I conclude that Eida believed she was creating a valid trust when executing the documents and genuinely intended to create a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302</w:t>
      </w:r>
      <w:r>
        <w:rPr>
          <w:rFonts w:ascii="arial" w:eastAsia="arial" w:hAnsi="arial" w:cs="arial"/>
          <w:color w:val="000000"/>
          <w:sz w:val="20"/>
          <w:lang w:val="en-US" w:eastAsia="en-US" w:bidi="ar-SA"/>
        </w:rPr>
        <w:t>  Alex argued that the manner in which the Trust was managed proves that it was a sham. In particular, he argued that Mr. Wilson did not establish a trust account and did not personally receive the income from the Trust Property. Vivian continued to collect the rents and remit them to her mother.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303</w:t>
      </w:r>
      <w:r>
        <w:rPr>
          <w:rFonts w:ascii="arial" w:eastAsia="arial" w:hAnsi="arial" w:cs="arial"/>
          <w:color w:val="000000"/>
          <w:sz w:val="20"/>
          <w:lang w:val="en-US" w:eastAsia="en-US" w:bidi="ar-SA"/>
        </w:rPr>
        <w:t xml:space="preserve">  In my view, that argument must fail. I accept Mr. Wilson's evidence that Viviane continued to manage the Warehouse as the Trustee's agent. In any event, even assuming Mr. Wilson did not fulfill his duties under the Trust (and there was no evidence upon which to make such a finding), the trust is not a sham. That is clear from the passage earlier reproduced from </w:t>
      </w:r>
      <w:r>
        <w:rPr>
          <w:rFonts w:ascii="arial" w:eastAsia="arial" w:hAnsi="arial" w:cs="arial"/>
          <w:b/>
          <w:i/>
          <w:color w:val="000000"/>
          <w:sz w:val="20"/>
          <w:lang w:val="en-US" w:eastAsia="en-US" w:bidi="ar-SA"/>
        </w:rPr>
        <w:t>Lewin</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at the [time of execution] the settlor genuinely intends the documentation to take effect according to its terms, and those terms are such as to create a trust, then nothing the settlor or trustees do thereafter can render a valid trust a sham (</w:t>
      </w:r>
      <w:r>
        <w:rPr>
          <w:rFonts w:ascii="arial" w:eastAsia="arial" w:hAnsi="arial" w:cs="arial"/>
          <w:b/>
          <w:i/>
          <w:color w:val="000000"/>
          <w:sz w:val="20"/>
          <w:lang w:val="en-US" w:eastAsia="en-US" w:bidi="ar-SA"/>
        </w:rPr>
        <w:t>Lewin</w:t>
      </w:r>
      <w:r>
        <w:rPr>
          <w:rFonts w:ascii="arial" w:eastAsia="arial" w:hAnsi="arial" w:cs="arial"/>
          <w:color w:val="000000"/>
          <w:sz w:val="20"/>
          <w:lang w:val="en-US" w:eastAsia="en-US" w:bidi="ar-SA"/>
        </w:rPr>
        <w:t xml:space="preserve"> at paras. 4 - 22).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304</w:t>
      </w:r>
      <w:r>
        <w:rPr>
          <w:rFonts w:ascii="arial" w:eastAsia="arial" w:hAnsi="arial" w:cs="arial"/>
          <w:color w:val="000000"/>
          <w:sz w:val="20"/>
          <w:lang w:val="en-US" w:eastAsia="en-US" w:bidi="ar-SA"/>
        </w:rPr>
        <w:t>  It is clear from the language of the Trust Indenture that Eida intended to impose enforceable trust obligations on the Trustee. The language of the Trust Indenture and the Form A shows a clear intention that Mr. Wilson would hold the Trust Property on trust. Accordingly, I find that the Trust was certain for intention.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305</w:t>
      </w:r>
      <w:r>
        <w:rPr>
          <w:rFonts w:ascii="arial" w:eastAsia="arial" w:hAnsi="arial" w:cs="arial"/>
          <w:color w:val="000000"/>
          <w:sz w:val="20"/>
          <w:lang w:val="en-US" w:eastAsia="en-US" w:bidi="ar-SA"/>
        </w:rPr>
        <w:t xml:space="preserve">  Although the Trust was certain for intention, the question remains whether, on a true construction of the Trust Indenture, a valid </w:t>
      </w:r>
      <w:r>
        <w:rPr>
          <w:rFonts w:ascii="arial" w:eastAsia="arial" w:hAnsi="arial" w:cs="arial"/>
          <w:i/>
          <w:color w:val="000000"/>
          <w:sz w:val="20"/>
          <w:lang w:val="en-US" w:eastAsia="en-US" w:bidi="ar-SA"/>
        </w:rPr>
        <w:t>inter vivos</w:t>
      </w:r>
      <w:r>
        <w:rPr>
          <w:rFonts w:ascii="arial" w:eastAsia="arial" w:hAnsi="arial" w:cs="arial"/>
          <w:color w:val="000000"/>
          <w:sz w:val="20"/>
          <w:lang w:val="en-US" w:eastAsia="en-US" w:bidi="ar-SA"/>
        </w:rPr>
        <w:t xml:space="preserve"> trust was created.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three certainties: certainty of objects.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306</w:t>
      </w:r>
      <w:r>
        <w:rPr>
          <w:rFonts w:ascii="arial" w:eastAsia="arial" w:hAnsi="arial" w:cs="arial"/>
          <w:color w:val="000000"/>
          <w:sz w:val="20"/>
          <w:lang w:val="en-US" w:eastAsia="en-US" w:bidi="ar-SA"/>
        </w:rPr>
        <w:t>  The Trust was a trust for persons, not purposes. For a trust for persons, certainty of objects requires that the group of persons intended to benefit from the trust (that is, the objects) are clearly identifiable.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307</w:t>
      </w:r>
      <w:r>
        <w:rPr>
          <w:rFonts w:ascii="arial" w:eastAsia="arial" w:hAnsi="arial" w:cs="arial"/>
          <w:color w:val="000000"/>
          <w:sz w:val="20"/>
          <w:lang w:val="en-US" w:eastAsia="en-US" w:bidi="ar-SA"/>
        </w:rPr>
        <w:t>  This is not a case of an ill-defined group of beneficiaries. In this case, it is clear from the Trust Indenture that Eida, Viviane, and possibly Viviane's issue, were the intended beneficiaries. This is evident from:</w:t>
      </w:r>
      <w:r>
        <w:rPr>
          <w:rFonts w:ascii="arial" w:eastAsia="arial" w:hAnsi="arial" w:cs="arial"/>
          <w:sz w:val="20"/>
          <w:lang w:val="en-US" w:eastAsia="en-US" w:bidi="ar-SA"/>
        </w:rPr>
        <w:cr/>
      </w:r>
    </w:p>
    <w:p>
      <w:pPr>
        <w:numPr>
          <w:numId w:val="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paragraph 2.1.1, which states "'Beneficiaries' means Eida Mordo and her daughter Viviane Nitting and Beneficiary' means any one of them";</w:t>
      </w:r>
    </w:p>
    <w:p>
      <w:pPr>
        <w:numPr>
          <w:numId w:val="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paragraph 4.2, which describes Eida's beneficial interest; and</w:t>
      </w:r>
    </w:p>
    <w:p>
      <w:pPr>
        <w:numPr>
          <w:numId w:val="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paragraph 4.3.2, which defines Viviane's, or her issue's, beneficial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308</w:t>
      </w:r>
      <w:r>
        <w:rPr>
          <w:rFonts w:ascii="arial" w:eastAsia="arial" w:hAnsi="arial" w:cs="arial"/>
          <w:color w:val="000000"/>
          <w:sz w:val="20"/>
          <w:lang w:val="en-US" w:eastAsia="en-US" w:bidi="ar-SA"/>
        </w:rPr>
        <w:t>  For the objects of the Trust to be certain, it must be certain to whom the term "issue" refers. Although the word "issue" is sometimes open to interpretation (</w:t>
      </w:r>
      <w:r>
        <w:rPr>
          <w:rFonts w:ascii="arial" w:eastAsia="arial" w:hAnsi="arial" w:cs="arial"/>
          <w:b/>
          <w:i/>
          <w:color w:val="000000"/>
          <w:sz w:val="20"/>
          <w:lang w:val="en-US" w:eastAsia="en-US" w:bidi="ar-SA"/>
        </w:rPr>
        <w:t>Re Linklater</w:t>
      </w:r>
      <w:r>
        <w:rPr>
          <w:rFonts w:ascii="arial" w:eastAsia="arial" w:hAnsi="arial" w:cs="arial"/>
          <w:color w:val="000000"/>
          <w:sz w:val="20"/>
          <w:lang w:val="en-US" w:eastAsia="en-US" w:bidi="ar-SA"/>
        </w:rPr>
        <w:t xml:space="preserve"> </w:t>
      </w:r>
      <w:hyperlink r:id="rId47" w:history="1">
        <w:r>
          <w:rPr>
            <w:rFonts w:ascii="arial" w:eastAsia="arial" w:hAnsi="arial" w:cs="arial"/>
            <w:i/>
            <w:color w:val="0077CC"/>
            <w:sz w:val="20"/>
            <w:u w:val="single"/>
            <w:shd w:val="clear" w:color="auto" w:fill="FFFFFF"/>
            <w:lang w:val="en-US" w:eastAsia="en-US" w:bidi="ar-SA"/>
          </w:rPr>
          <w:t>(1967), 66 D.L.R. (2d) 30</w:t>
        </w:r>
      </w:hyperlink>
      <w:r>
        <w:rPr>
          <w:rFonts w:ascii="arial" w:eastAsia="arial" w:hAnsi="arial" w:cs="arial"/>
          <w:color w:val="000000"/>
          <w:sz w:val="20"/>
          <w:lang w:val="en-US" w:eastAsia="en-US" w:bidi="ar-SA"/>
        </w:rPr>
        <w:t xml:space="preserve"> (B.C.C.A.)), in this case paragraph 2.1.4 of the Trust Indenture defines the word issue to mean all lineal descendants. Accordingly, the objects of the Trust were certain.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three certainties: certainty of subject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309</w:t>
      </w:r>
      <w:r>
        <w:rPr>
          <w:rFonts w:ascii="arial" w:eastAsia="arial" w:hAnsi="arial" w:cs="arial"/>
          <w:color w:val="000000"/>
          <w:sz w:val="20"/>
          <w:lang w:val="en-US" w:eastAsia="en-US" w:bidi="ar-SA"/>
        </w:rPr>
        <w:t>  There are two elements to certainty of subject matter: First, the property which is subject to the trust must be clear. Second, the nature of the interest due to each beneficiary must be clear.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310</w:t>
      </w:r>
      <w:r>
        <w:rPr>
          <w:rFonts w:ascii="arial" w:eastAsia="arial" w:hAnsi="arial" w:cs="arial"/>
          <w:color w:val="000000"/>
          <w:sz w:val="20"/>
          <w:lang w:val="en-US" w:eastAsia="en-US" w:bidi="ar-SA"/>
        </w:rPr>
        <w:t xml:space="preserve">  To satisfy the first of the two elements, the subject matter must be described with "sufficient exactness to permit that such matter be ascertained at the time the trust was created": </w:t>
      </w:r>
      <w:r>
        <w:rPr>
          <w:rFonts w:ascii="arial" w:eastAsia="arial" w:hAnsi="arial" w:cs="arial"/>
          <w:b/>
          <w:i/>
          <w:color w:val="000000"/>
          <w:sz w:val="20"/>
          <w:lang w:val="en-US" w:eastAsia="en-US" w:bidi="ar-SA"/>
        </w:rPr>
        <w:t>Re Beardmore Trusts</w:t>
      </w:r>
      <w:r>
        <w:rPr>
          <w:rFonts w:ascii="arial" w:eastAsia="arial" w:hAnsi="arial" w:cs="arial"/>
          <w:color w:val="000000"/>
          <w:sz w:val="20"/>
          <w:lang w:val="en-US" w:eastAsia="en-US" w:bidi="ar-SA"/>
        </w:rPr>
        <w:t xml:space="preserve">, </w:t>
      </w:r>
      <w:hyperlink r:id="rId48" w:history="1">
        <w:r>
          <w:rPr>
            <w:rFonts w:ascii="arial" w:eastAsia="arial" w:hAnsi="arial" w:cs="arial"/>
            <w:i/>
            <w:color w:val="0077CC"/>
            <w:sz w:val="20"/>
            <w:u w:val="single"/>
            <w:shd w:val="clear" w:color="auto" w:fill="FFFFFF"/>
            <w:lang w:val="en-US" w:eastAsia="en-US" w:bidi="ar-SA"/>
          </w:rPr>
          <w:t>[1952] 1 D.L.R. 41</w:t>
        </w:r>
      </w:hyperlink>
      <w:r>
        <w:rPr>
          <w:rFonts w:ascii="arial" w:eastAsia="arial" w:hAnsi="arial" w:cs="arial"/>
          <w:color w:val="000000"/>
          <w:sz w:val="20"/>
          <w:lang w:val="en-US" w:eastAsia="en-US" w:bidi="ar-SA"/>
        </w:rPr>
        <w:t xml:space="preserve"> at 46 (Ont. H.C.) [</w:t>
      </w:r>
      <w:r>
        <w:rPr>
          <w:rFonts w:ascii="arial" w:eastAsia="arial" w:hAnsi="arial" w:cs="arial"/>
          <w:b/>
          <w:i/>
          <w:color w:val="000000"/>
          <w:sz w:val="20"/>
          <w:lang w:val="en-US" w:eastAsia="en-US" w:bidi="ar-SA"/>
        </w:rPr>
        <w:t>Beardmore</w:t>
      </w:r>
      <w:r>
        <w:rPr>
          <w:rFonts w:ascii="arial" w:eastAsia="arial" w:hAnsi="arial" w:cs="arial"/>
          <w:color w:val="000000"/>
          <w:sz w:val="20"/>
          <w:lang w:val="en-US" w:eastAsia="en-US" w:bidi="ar-SA"/>
        </w:rPr>
        <w:t xml:space="preserve">]. Clearly, the subject matter must also be certain on future dates when the trustees are required to deal with the trust property. However, the trust property need not be fixed in quantity or nature; property can be added later, and the nature of existing property may be changed by the trustees exercising their power of investment. If the initial trust property is certain, and the property which may be added is certain, then the subject matter is certain because at any point the current trust property can be determined by tracing the original property to its current form: </w:t>
      </w:r>
      <w:r>
        <w:rPr>
          <w:rFonts w:ascii="arial" w:eastAsia="arial" w:hAnsi="arial" w:cs="arial"/>
          <w:b/>
          <w:i/>
          <w:color w:val="000000"/>
          <w:sz w:val="20"/>
          <w:lang w:val="en-US" w:eastAsia="en-US" w:bidi="ar-SA"/>
        </w:rPr>
        <w:t>Waters</w:t>
      </w:r>
      <w:r>
        <w:rPr>
          <w:rFonts w:ascii="arial" w:eastAsia="arial" w:hAnsi="arial" w:cs="arial"/>
          <w:color w:val="000000"/>
          <w:sz w:val="20"/>
          <w:lang w:val="en-US" w:eastAsia="en-US" w:bidi="ar-SA"/>
        </w:rPr>
        <w:t xml:space="preserve"> at 155 - 156.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311</w:t>
      </w:r>
      <w:r>
        <w:rPr>
          <w:rFonts w:ascii="arial" w:eastAsia="arial" w:hAnsi="arial" w:cs="arial"/>
          <w:color w:val="000000"/>
          <w:sz w:val="20"/>
          <w:lang w:val="en-US" w:eastAsia="en-US" w:bidi="ar-SA"/>
        </w:rPr>
        <w:t>  According to paragraph 2.1.6 of the Trust Indenture, the Trust Property consisted of:</w:t>
      </w:r>
      <w:r>
        <w:rPr>
          <w:rFonts w:ascii="arial" w:eastAsia="arial" w:hAnsi="arial" w:cs="arial"/>
          <w:sz w:val="20"/>
          <w:lang w:val="en-US" w:eastAsia="en-US" w:bidi="ar-SA"/>
        </w:rPr>
        <w:cr/>
      </w:r>
    </w:p>
    <w:p>
      <w:pPr>
        <w:numPr>
          <w:numId w:val="7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property described in Schedule A to the Trust Indenture i.e. the Warehouse;</w:t>
      </w:r>
    </w:p>
    <w:p>
      <w:pPr>
        <w:numPr>
          <w:numId w:val="7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other property added, with the consent of the Trustees, to the Trust; and</w:t>
      </w:r>
    </w:p>
    <w:p>
      <w:pPr>
        <w:numPr>
          <w:numId w:val="7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 income accumulated from the Trust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312</w:t>
      </w:r>
      <w:r>
        <w:rPr>
          <w:rFonts w:ascii="arial" w:eastAsia="arial" w:hAnsi="arial" w:cs="arial"/>
          <w:color w:val="000000"/>
          <w:sz w:val="20"/>
          <w:lang w:val="en-US" w:eastAsia="en-US" w:bidi="ar-SA"/>
        </w:rPr>
        <w:t>  In this case, the subject matter of the Trust was clear.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313</w:t>
      </w:r>
      <w:r>
        <w:rPr>
          <w:rFonts w:ascii="arial" w:eastAsia="arial" w:hAnsi="arial" w:cs="arial"/>
          <w:color w:val="000000"/>
          <w:sz w:val="20"/>
          <w:lang w:val="en-US" w:eastAsia="en-US" w:bidi="ar-SA"/>
        </w:rPr>
        <w:t xml:space="preserve">  The second element of certainty of subject matter requires that it be clear what beneficial share each beneficiary will receive in the trust property: </w:t>
      </w:r>
      <w:r>
        <w:rPr>
          <w:rFonts w:ascii="arial" w:eastAsia="arial" w:hAnsi="arial" w:cs="arial"/>
          <w:b/>
          <w:i/>
          <w:color w:val="000000"/>
          <w:sz w:val="20"/>
          <w:lang w:val="en-US" w:eastAsia="en-US" w:bidi="ar-SA"/>
        </w:rPr>
        <w:t>Boyce v. Boyce</w:t>
      </w:r>
      <w:r>
        <w:rPr>
          <w:rFonts w:ascii="arial" w:eastAsia="arial" w:hAnsi="arial" w:cs="arial"/>
          <w:color w:val="000000"/>
          <w:sz w:val="20"/>
          <w:lang w:val="en-US" w:eastAsia="en-US" w:bidi="ar-SA"/>
        </w:rPr>
        <w:t xml:space="preserve"> (1949), 60 E.R. 959 (C.A.). In this case it is evident from paragraphs 4.2 and 4.3.2 of the Trust Indenture that Eida, as beneficiary, had the right to possession of all the Net Income from the Trust Property during her lifetime, and that upon Eida's death all of the Trust Property was to be distributed to Viviane or, if Viviane pre-deceased Eida, to Viviane's issue in equal shares per stirpes. The meaning of "per stirpes" is defined in paragraph 2.1.4 of the Trust Indenture. Accordingly, the beneficial shares going to each beneficiary were clear, or could be clearly determined.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314</w:t>
      </w:r>
      <w:r>
        <w:rPr>
          <w:rFonts w:ascii="arial" w:eastAsia="arial" w:hAnsi="arial" w:cs="arial"/>
          <w:color w:val="000000"/>
          <w:sz w:val="20"/>
          <w:lang w:val="en-US" w:eastAsia="en-US" w:bidi="ar-SA"/>
        </w:rPr>
        <w:t>  I conclude both elements for certainty of subject matter are satisfied.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Was there compliance with the formalities required for the creation of an </w:t>
      </w:r>
      <w:r>
        <w:rPr>
          <w:rFonts w:ascii="arial" w:eastAsia="arial" w:hAnsi="arial" w:cs="arial"/>
          <w:b/>
          <w:i/>
          <w:color w:val="000000"/>
          <w:sz w:val="20"/>
          <w:lang w:val="en-US" w:eastAsia="en-US" w:bidi="ar-SA"/>
        </w:rPr>
        <w:t>inter vivos</w:t>
      </w:r>
      <w:r>
        <w:rPr>
          <w:rFonts w:ascii="arial" w:eastAsia="arial" w:hAnsi="arial" w:cs="arial"/>
          <w:b/>
          <w:color w:val="000000"/>
          <w:sz w:val="20"/>
          <w:lang w:val="en-US" w:eastAsia="en-US" w:bidi="ar-SA"/>
        </w:rPr>
        <w:t xml:space="preserve">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315</w:t>
      </w:r>
      <w:r>
        <w:rPr>
          <w:rFonts w:ascii="arial" w:eastAsia="arial" w:hAnsi="arial" w:cs="arial"/>
          <w:color w:val="000000"/>
          <w:sz w:val="20"/>
          <w:lang w:val="en-US" w:eastAsia="en-US" w:bidi="ar-SA"/>
        </w:rPr>
        <w:t xml:space="preserve">  In order to create a valid trust, the settlor must comply with all form requirements the law imposes. There are no specific form requirements for </w:t>
      </w:r>
      <w:r>
        <w:rPr>
          <w:rFonts w:ascii="arial" w:eastAsia="arial" w:hAnsi="arial" w:cs="arial"/>
          <w:i/>
          <w:color w:val="000000"/>
          <w:sz w:val="20"/>
          <w:lang w:val="en-US" w:eastAsia="en-US" w:bidi="ar-SA"/>
        </w:rPr>
        <w:t>inter vivos</w:t>
      </w:r>
      <w:r>
        <w:rPr>
          <w:rFonts w:ascii="arial" w:eastAsia="arial" w:hAnsi="arial" w:cs="arial"/>
          <w:color w:val="000000"/>
          <w:sz w:val="20"/>
          <w:lang w:val="en-US" w:eastAsia="en-US" w:bidi="ar-SA"/>
        </w:rPr>
        <w:t xml:space="preserve"> trusts: </w:t>
      </w:r>
      <w:r>
        <w:rPr>
          <w:rFonts w:ascii="arial" w:eastAsia="arial" w:hAnsi="arial" w:cs="arial"/>
          <w:b/>
          <w:i/>
          <w:color w:val="000000"/>
          <w:sz w:val="20"/>
          <w:lang w:val="en-US" w:eastAsia="en-US" w:bidi="ar-SA"/>
        </w:rPr>
        <w:t>Re Evans</w:t>
      </w:r>
      <w:r>
        <w:rPr>
          <w:rFonts w:ascii="arial" w:eastAsia="arial" w:hAnsi="arial" w:cs="arial"/>
          <w:color w:val="000000"/>
          <w:sz w:val="20"/>
          <w:lang w:val="en-US" w:eastAsia="en-US" w:bidi="ar-SA"/>
        </w:rPr>
        <w:t>, at 452. However, in all cases, the settlor of a trust must comply with the form requirements for the particular property being transferred.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316</w:t>
      </w:r>
      <w:r>
        <w:rPr>
          <w:rFonts w:ascii="arial" w:eastAsia="arial" w:hAnsi="arial" w:cs="arial"/>
          <w:color w:val="000000"/>
          <w:sz w:val="20"/>
          <w:lang w:val="en-US" w:eastAsia="en-US" w:bidi="ar-SA"/>
        </w:rPr>
        <w:t xml:space="preserve">  Section 59 of the </w:t>
      </w:r>
      <w:r>
        <w:rPr>
          <w:rFonts w:ascii="arial" w:eastAsia="arial" w:hAnsi="arial" w:cs="arial"/>
          <w:b/>
          <w:i/>
          <w:color w:val="000000"/>
          <w:sz w:val="20"/>
          <w:lang w:val="en-US" w:eastAsia="en-US" w:bidi="ar-SA"/>
        </w:rPr>
        <w:t>Law and Equity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253</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Law and Equity Act</w:t>
      </w:r>
      <w:r>
        <w:rPr>
          <w:rFonts w:ascii="arial" w:eastAsia="arial" w:hAnsi="arial" w:cs="arial"/>
          <w:color w:val="000000"/>
          <w:sz w:val="20"/>
          <w:lang w:val="en-US" w:eastAsia="en-US" w:bidi="ar-SA"/>
        </w:rPr>
        <w:t>] states that writing is required for transfers of land. Section 59(1)(a) makes an exception for trusts; writing is not required. In this case the transfer of the Warehouse was in writing (the Trust Indenture).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317</w:t>
      </w:r>
      <w:r>
        <w:rPr>
          <w:rFonts w:ascii="arial" w:eastAsia="arial" w:hAnsi="arial" w:cs="arial"/>
          <w:color w:val="000000"/>
          <w:sz w:val="20"/>
          <w:lang w:val="en-US" w:eastAsia="en-US" w:bidi="ar-SA"/>
        </w:rPr>
        <w:t xml:space="preserve">  The Trust complied with the formal requirements for </w:t>
      </w:r>
      <w:r>
        <w:rPr>
          <w:rFonts w:ascii="arial" w:eastAsia="arial" w:hAnsi="arial" w:cs="arial"/>
          <w:i/>
          <w:color w:val="000000"/>
          <w:sz w:val="20"/>
          <w:lang w:val="en-US" w:eastAsia="en-US" w:bidi="ar-SA"/>
        </w:rPr>
        <w:t>inter vivos</w:t>
      </w:r>
      <w:r>
        <w:rPr>
          <w:rFonts w:ascii="arial" w:eastAsia="arial" w:hAnsi="arial" w:cs="arial"/>
          <w:color w:val="000000"/>
          <w:sz w:val="20"/>
          <w:lang w:val="en-US" w:eastAsia="en-US" w:bidi="ar-SA"/>
        </w:rPr>
        <w:t xml:space="preserve"> trusts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Was there a resulting trust for lack of consideration?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318</w:t>
      </w:r>
      <w:r>
        <w:rPr>
          <w:rFonts w:ascii="arial" w:eastAsia="arial" w:hAnsi="arial" w:cs="arial"/>
          <w:color w:val="000000"/>
          <w:sz w:val="20"/>
          <w:lang w:val="en-US" w:eastAsia="en-US" w:bidi="ar-SA"/>
        </w:rPr>
        <w:t>  As discussed earlier, a resulting trust may occur, depending on the transferor's intention, when property is transferred for no consideration.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319</w:t>
      </w:r>
      <w:r>
        <w:rPr>
          <w:rFonts w:ascii="arial" w:eastAsia="arial" w:hAnsi="arial" w:cs="arial"/>
          <w:color w:val="000000"/>
          <w:sz w:val="20"/>
          <w:lang w:val="en-US" w:eastAsia="en-US" w:bidi="ar-SA"/>
        </w:rPr>
        <w:t>  In this case the Trust Indenture was under seal. Eida also executed a Form A transferring the Warehouse to Mr. Wilson. These facts, combined with the other evidence regarding Eida's intention when creating the Trust, establish that Eida intended to transfer the Warehouse to Mr. Wilson for no consideration. Thus, no resulting trust occurred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Was the Trust a testamentary disposition?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320</w:t>
      </w:r>
      <w:r>
        <w:rPr>
          <w:rFonts w:ascii="arial" w:eastAsia="arial" w:hAnsi="arial" w:cs="arial"/>
          <w:color w:val="000000"/>
          <w:sz w:val="20"/>
          <w:lang w:val="en-US" w:eastAsia="en-US" w:bidi="ar-SA"/>
        </w:rPr>
        <w:t xml:space="preserve">  Alex argued that the Trust ought to be set aside on the basis that it was, in substance if not in form, a testamentary instrument. If that is the case, the Trust must fail because it does not meet the requirements of the </w:t>
      </w:r>
      <w:r>
        <w:rPr>
          <w:rFonts w:ascii="arial" w:eastAsia="arial" w:hAnsi="arial" w:cs="arial"/>
          <w:b/>
          <w:i/>
          <w:color w:val="000000"/>
          <w:sz w:val="20"/>
          <w:lang w:val="en-US" w:eastAsia="en-US" w:bidi="ar-SA"/>
        </w:rPr>
        <w:t>Wills Act</w:t>
      </w:r>
      <w:r>
        <w:rPr>
          <w:rFonts w:ascii="arial" w:eastAsia="arial" w:hAnsi="arial" w:cs="arial"/>
          <w:color w:val="000000"/>
          <w:sz w:val="20"/>
          <w:lang w:val="en-US" w:eastAsia="en-US" w:bidi="ar-SA"/>
        </w:rPr>
        <w:t xml:space="preserve">, </w:t>
      </w:r>
      <w:hyperlink r:id="rId25" w:history="1">
        <w:r>
          <w:rPr>
            <w:rFonts w:ascii="arial" w:eastAsia="arial" w:hAnsi="arial" w:cs="arial"/>
            <w:i/>
            <w:color w:val="0077CC"/>
            <w:sz w:val="20"/>
            <w:u w:val="single"/>
            <w:shd w:val="clear" w:color="auto" w:fill="FFFFFF"/>
            <w:lang w:val="en-US" w:eastAsia="en-US" w:bidi="ar-SA"/>
          </w:rPr>
          <w:t>R.S.B.C. 1996, c. 489</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Wills Act</w:t>
      </w:r>
      <w:r>
        <w:rPr>
          <w:rFonts w:ascii="arial" w:eastAsia="arial" w:hAnsi="arial" w:cs="arial"/>
          <w:color w:val="000000"/>
          <w:sz w:val="20"/>
          <w:lang w:val="en-US" w:eastAsia="en-US" w:bidi="ar-SA"/>
        </w:rPr>
        <w:t>], and the Warehouse would instead form part of Eida's estate.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321</w:t>
      </w:r>
      <w:r>
        <w:rPr>
          <w:rFonts w:ascii="arial" w:eastAsia="arial" w:hAnsi="arial" w:cs="arial"/>
          <w:color w:val="000000"/>
          <w:sz w:val="20"/>
          <w:lang w:val="en-US" w:eastAsia="en-US" w:bidi="ar-SA"/>
        </w:rPr>
        <w:t xml:space="preserve">  Whether a trust is </w:t>
      </w:r>
      <w:r>
        <w:rPr>
          <w:rFonts w:ascii="arial" w:eastAsia="arial" w:hAnsi="arial" w:cs="arial"/>
          <w:i/>
          <w:color w:val="000000"/>
          <w:sz w:val="20"/>
          <w:lang w:val="en-US" w:eastAsia="en-US" w:bidi="ar-SA"/>
        </w:rPr>
        <w:t>inter vivos</w:t>
      </w:r>
      <w:r>
        <w:rPr>
          <w:rFonts w:ascii="arial" w:eastAsia="arial" w:hAnsi="arial" w:cs="arial"/>
          <w:color w:val="000000"/>
          <w:sz w:val="20"/>
          <w:lang w:val="en-US" w:eastAsia="en-US" w:bidi="ar-SA"/>
        </w:rPr>
        <w:t xml:space="preserve"> or testamentary depends on the intention of the settlor: </w:t>
      </w:r>
      <w:r>
        <w:rPr>
          <w:rFonts w:ascii="arial" w:eastAsia="arial" w:hAnsi="arial" w:cs="arial"/>
          <w:b/>
          <w:i/>
          <w:color w:val="000000"/>
          <w:sz w:val="20"/>
          <w:lang w:val="en-US" w:eastAsia="en-US" w:bidi="ar-SA"/>
        </w:rPr>
        <w:t>Anderson (Administratrix of Costello Estate) v. Patton</w:t>
      </w:r>
      <w:r>
        <w:rPr>
          <w:rFonts w:ascii="arial" w:eastAsia="arial" w:hAnsi="arial" w:cs="arial"/>
          <w:color w:val="000000"/>
          <w:sz w:val="20"/>
          <w:lang w:val="en-US" w:eastAsia="en-US" w:bidi="ar-SA"/>
        </w:rPr>
        <w:t xml:space="preserve">, </w:t>
      </w:r>
      <w:hyperlink r:id="rId49" w:history="1">
        <w:r>
          <w:rPr>
            <w:rFonts w:ascii="arial" w:eastAsia="arial" w:hAnsi="arial" w:cs="arial"/>
            <w:i/>
            <w:color w:val="0077CC"/>
            <w:sz w:val="20"/>
            <w:u w:val="single"/>
            <w:shd w:val="clear" w:color="auto" w:fill="FFFFFF"/>
            <w:lang w:val="en-US" w:eastAsia="en-US" w:bidi="ar-SA"/>
          </w:rPr>
          <w:t>[1948] 1 W.W.R. 461</w:t>
        </w:r>
      </w:hyperlink>
      <w:r>
        <w:rPr>
          <w:rFonts w:ascii="arial" w:eastAsia="arial" w:hAnsi="arial" w:cs="arial"/>
          <w:color w:val="000000"/>
          <w:sz w:val="20"/>
          <w:lang w:val="en-US" w:eastAsia="en-US" w:bidi="ar-SA"/>
        </w:rPr>
        <w:t xml:space="preserve"> at 463 per Ford J.A. (Alta. C.A.) [</w:t>
      </w:r>
      <w:r>
        <w:rPr>
          <w:rFonts w:ascii="arial" w:eastAsia="arial" w:hAnsi="arial" w:cs="arial"/>
          <w:b/>
          <w:i/>
          <w:color w:val="000000"/>
          <w:sz w:val="20"/>
          <w:lang w:val="en-US" w:eastAsia="en-US" w:bidi="ar-SA"/>
        </w:rPr>
        <w:t>Anderson (Costello Estate)</w:t>
      </w:r>
      <w:r>
        <w:rPr>
          <w:rFonts w:ascii="arial" w:eastAsia="arial" w:hAnsi="arial" w:cs="arial"/>
          <w:color w:val="000000"/>
          <w:sz w:val="20"/>
          <w:lang w:val="en-US" w:eastAsia="en-US" w:bidi="ar-SA"/>
        </w:rPr>
        <w:t xml:space="preserve">]. If the settlor of a trust "intends that it shall not take effect until after his death and it is dependent upon his death for its vigour and effect, it is testamentary": </w:t>
      </w:r>
      <w:r>
        <w:rPr>
          <w:rFonts w:ascii="arial" w:eastAsia="arial" w:hAnsi="arial" w:cs="arial"/>
          <w:b/>
          <w:i/>
          <w:color w:val="000000"/>
          <w:sz w:val="20"/>
          <w:lang w:val="en-US" w:eastAsia="en-US" w:bidi="ar-SA"/>
        </w:rPr>
        <w:t>Cock v. Cooke</w:t>
      </w:r>
      <w:r>
        <w:rPr>
          <w:rFonts w:ascii="arial" w:eastAsia="arial" w:hAnsi="arial" w:cs="arial"/>
          <w:color w:val="000000"/>
          <w:sz w:val="20"/>
          <w:lang w:val="en-US" w:eastAsia="en-US" w:bidi="ar-SA"/>
        </w:rPr>
        <w:t xml:space="preserve">(1866), L.R. 1 PROB &amp; DIV 241 at 243 (Eng. Prob. Ct.), </w:t>
      </w:r>
      <w:r>
        <w:rPr>
          <w:rFonts w:ascii="arial" w:eastAsia="arial" w:hAnsi="arial" w:cs="arial"/>
          <w:b/>
          <w:i/>
          <w:color w:val="000000"/>
          <w:sz w:val="20"/>
          <w:lang w:val="en-US" w:eastAsia="en-US" w:bidi="ar-SA"/>
        </w:rPr>
        <w:t>Anderson (Costello Estate)</w:t>
      </w:r>
      <w:r>
        <w:rPr>
          <w:rFonts w:ascii="arial" w:eastAsia="arial" w:hAnsi="arial" w:cs="arial"/>
          <w:color w:val="000000"/>
          <w:sz w:val="20"/>
          <w:lang w:val="en-US" w:eastAsia="en-US" w:bidi="ar-SA"/>
        </w:rPr>
        <w:t xml:space="preserve"> at 463.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322</w:t>
      </w:r>
      <w:r>
        <w:rPr>
          <w:rFonts w:ascii="arial" w:eastAsia="arial" w:hAnsi="arial" w:cs="arial"/>
          <w:color w:val="000000"/>
          <w:sz w:val="20"/>
          <w:lang w:val="en-US" w:eastAsia="en-US" w:bidi="ar-SA"/>
        </w:rPr>
        <w:t xml:space="preserve">  The interpretation of this rule is well-settled. If the document creates a trust which takes immediate effect, even though it is to be performed after the death of the settlor, it is not dependent upon the settlor's death for its vigour and effect: </w:t>
      </w:r>
      <w:r>
        <w:rPr>
          <w:rFonts w:ascii="arial" w:eastAsia="arial" w:hAnsi="arial" w:cs="arial"/>
          <w:b/>
          <w:i/>
          <w:color w:val="000000"/>
          <w:sz w:val="20"/>
          <w:lang w:val="en-US" w:eastAsia="en-US" w:bidi="ar-SA"/>
        </w:rPr>
        <w:t>Anderson (Costello Estate)</w:t>
      </w:r>
      <w:r>
        <w:rPr>
          <w:rFonts w:ascii="arial" w:eastAsia="arial" w:hAnsi="arial" w:cs="arial"/>
          <w:color w:val="000000"/>
          <w:sz w:val="20"/>
          <w:lang w:val="en-US" w:eastAsia="en-US" w:bidi="ar-SA"/>
        </w:rPr>
        <w:t xml:space="preserve"> at 463, </w:t>
      </w:r>
      <w:r>
        <w:rPr>
          <w:rFonts w:ascii="arial" w:eastAsia="arial" w:hAnsi="arial" w:cs="arial"/>
          <w:b/>
          <w:i/>
          <w:color w:val="000000"/>
          <w:sz w:val="20"/>
          <w:lang w:val="en-US" w:eastAsia="en-US" w:bidi="ar-SA"/>
        </w:rPr>
        <w:t>Wonnacott v. Loewen</w:t>
      </w:r>
      <w:r>
        <w:rPr>
          <w:rFonts w:ascii="arial" w:eastAsia="arial" w:hAnsi="arial" w:cs="arial"/>
          <w:color w:val="000000"/>
          <w:sz w:val="20"/>
          <w:lang w:val="en-US" w:eastAsia="en-US" w:bidi="ar-SA"/>
        </w:rPr>
        <w:t xml:space="preserve"> </w:t>
      </w:r>
      <w:hyperlink r:id="rId50" w:history="1">
        <w:r>
          <w:rPr>
            <w:rFonts w:ascii="arial" w:eastAsia="arial" w:hAnsi="arial" w:cs="arial"/>
            <w:i/>
            <w:color w:val="0077CC"/>
            <w:sz w:val="20"/>
            <w:u w:val="single"/>
            <w:shd w:val="clear" w:color="auto" w:fill="FFFFFF"/>
            <w:lang w:val="en-US" w:eastAsia="en-US" w:bidi="ar-SA"/>
          </w:rPr>
          <w:t>(1990), 44 B.C.L.R. (2d) 23</w:t>
        </w:r>
      </w:hyperlink>
      <w:r>
        <w:rPr>
          <w:rFonts w:ascii="arial" w:eastAsia="arial" w:hAnsi="arial" w:cs="arial"/>
          <w:color w:val="000000"/>
          <w:sz w:val="20"/>
          <w:lang w:val="en-US" w:eastAsia="en-US" w:bidi="ar-SA"/>
        </w:rPr>
        <w:t xml:space="preserve"> at 26 - 27 (C.A.) [</w:t>
      </w:r>
      <w:r>
        <w:rPr>
          <w:rFonts w:ascii="arial" w:eastAsia="arial" w:hAnsi="arial" w:cs="arial"/>
          <w:b/>
          <w:i/>
          <w:color w:val="000000"/>
          <w:sz w:val="20"/>
          <w:lang w:val="en-US" w:eastAsia="en-US" w:bidi="ar-SA"/>
        </w:rPr>
        <w:t>Wonnacott</w:t>
      </w:r>
      <w:r>
        <w:rPr>
          <w:rFonts w:ascii="arial" w:eastAsia="arial" w:hAnsi="arial" w:cs="arial"/>
          <w:color w:val="000000"/>
          <w:sz w:val="20"/>
          <w:lang w:val="en-US" w:eastAsia="en-US" w:bidi="ar-SA"/>
        </w:rPr>
        <w:t xml:space="preserve">] citing </w:t>
      </w:r>
      <w:r>
        <w:rPr>
          <w:rFonts w:ascii="arial" w:eastAsia="arial" w:hAnsi="arial" w:cs="arial"/>
          <w:b/>
          <w:i/>
          <w:color w:val="000000"/>
          <w:sz w:val="20"/>
          <w:lang w:val="en-US" w:eastAsia="en-US" w:bidi="ar-SA"/>
        </w:rPr>
        <w:t>Corlet v. Isle of Man Bank Ltd.</w:t>
      </w:r>
      <w:r>
        <w:rPr>
          <w:rFonts w:ascii="arial" w:eastAsia="arial" w:hAnsi="arial" w:cs="arial"/>
          <w:color w:val="000000"/>
          <w:sz w:val="20"/>
          <w:lang w:val="en-US" w:eastAsia="en-US" w:bidi="ar-SA"/>
        </w:rPr>
        <w:t xml:space="preserve">, </w:t>
      </w:r>
      <w:hyperlink r:id="rId51" w:history="1">
        <w:r>
          <w:rPr>
            <w:rFonts w:ascii="arial" w:eastAsia="arial" w:hAnsi="arial" w:cs="arial"/>
            <w:i/>
            <w:color w:val="0077CC"/>
            <w:sz w:val="20"/>
            <w:u w:val="single"/>
            <w:shd w:val="clear" w:color="auto" w:fill="FFFFFF"/>
            <w:lang w:val="en-US" w:eastAsia="en-US" w:bidi="ar-SA"/>
          </w:rPr>
          <w:t>[1937] 2 W.W.R. 209</w:t>
        </w:r>
      </w:hyperlink>
      <w:r>
        <w:rPr>
          <w:rFonts w:ascii="arial" w:eastAsia="arial" w:hAnsi="arial" w:cs="arial"/>
          <w:color w:val="000000"/>
          <w:sz w:val="20"/>
          <w:lang w:val="en-US" w:eastAsia="en-US" w:bidi="ar-SA"/>
        </w:rPr>
        <w:t xml:space="preserve"> at 211 (per Ford J.A.) (Alta. C.A.), </w:t>
      </w:r>
      <w:r>
        <w:rPr>
          <w:rFonts w:ascii="arial" w:eastAsia="arial" w:hAnsi="arial" w:cs="arial"/>
          <w:b/>
          <w:i/>
          <w:color w:val="000000"/>
          <w:sz w:val="20"/>
          <w:lang w:val="en-US" w:eastAsia="en-US" w:bidi="ar-SA"/>
        </w:rPr>
        <w:t>Goodman Estate v. Geffen</w:t>
      </w:r>
      <w:r>
        <w:rPr>
          <w:rFonts w:ascii="arial" w:eastAsia="arial" w:hAnsi="arial" w:cs="arial"/>
          <w:color w:val="000000"/>
          <w:sz w:val="20"/>
          <w:lang w:val="en-US" w:eastAsia="en-US" w:bidi="ar-SA"/>
        </w:rPr>
        <w:t xml:space="preserve"> </w:t>
      </w:r>
      <w:hyperlink r:id="rId52" w:history="1">
        <w:r>
          <w:rPr>
            <w:rFonts w:ascii="arial" w:eastAsia="arial" w:hAnsi="arial" w:cs="arial"/>
            <w:i/>
            <w:color w:val="0077CC"/>
            <w:sz w:val="20"/>
            <w:u w:val="single"/>
            <w:shd w:val="clear" w:color="auto" w:fill="FFFFFF"/>
            <w:lang w:val="en-US" w:eastAsia="en-US" w:bidi="ar-SA"/>
          </w:rPr>
          <w:t>(1987), 80 A.R. 47</w:t>
        </w:r>
      </w:hyperlink>
      <w:r>
        <w:rPr>
          <w:rFonts w:ascii="arial" w:eastAsia="arial" w:hAnsi="arial" w:cs="arial"/>
          <w:color w:val="000000"/>
          <w:sz w:val="20"/>
          <w:lang w:val="en-US" w:eastAsia="en-US" w:bidi="ar-SA"/>
        </w:rPr>
        <w:t xml:space="preserve"> (Q.B.) (</w:t>
      </w:r>
      <w:r>
        <w:rPr>
          <w:rFonts w:ascii="arial" w:eastAsia="arial" w:hAnsi="arial" w:cs="arial"/>
          <w:b/>
          <w:i/>
          <w:color w:val="000000"/>
          <w:sz w:val="20"/>
          <w:lang w:val="en-US" w:eastAsia="en-US" w:bidi="ar-SA"/>
        </w:rPr>
        <w:t>Goodman</w:t>
      </w:r>
      <w:r>
        <w:rPr>
          <w:rFonts w:ascii="arial" w:eastAsia="arial" w:hAnsi="arial" w:cs="arial"/>
          <w:b/>
          <w:color w:val="000000"/>
          <w:sz w:val="20"/>
          <w:lang w:val="en-US" w:eastAsia="en-US" w:bidi="ar-SA"/>
        </w:rPr>
        <w:t xml:space="preserve"> Q.B.</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323</w:t>
      </w:r>
      <w:r>
        <w:rPr>
          <w:rFonts w:ascii="arial" w:eastAsia="arial" w:hAnsi="arial" w:cs="arial"/>
          <w:color w:val="000000"/>
          <w:sz w:val="20"/>
          <w:lang w:val="en-US" w:eastAsia="en-US" w:bidi="ar-SA"/>
        </w:rPr>
        <w:t>  Alex referred to various cases in which trusts were found to be testamentary. However, the intention of the settlor is a question of fact. Those cases are helpful only to the extent they establish rules or principles of general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324</w:t>
      </w:r>
      <w:r>
        <w:rPr>
          <w:rFonts w:ascii="arial" w:eastAsia="arial" w:hAnsi="arial" w:cs="arial"/>
          <w:color w:val="000000"/>
          <w:sz w:val="20"/>
          <w:lang w:val="en-US" w:eastAsia="en-US" w:bidi="ar-SA"/>
        </w:rPr>
        <w:t>  At least three paragraphs of the Trust Indenture clearly indicate that Eida intended the Trust to have immediate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325</w:t>
      </w:r>
      <w:r>
        <w:rPr>
          <w:rFonts w:ascii="arial" w:eastAsia="arial" w:hAnsi="arial" w:cs="arial"/>
          <w:color w:val="000000"/>
          <w:sz w:val="20"/>
          <w:lang w:val="en-US" w:eastAsia="en-US" w:bidi="ar-SA"/>
        </w:rPr>
        <w:t>  Paragraph 1.2 provides as follows: "The Settlor hereby settles upon the Original Trustee and the Original Trustee acknowledges the receipt of the property described in Schedule A hereto". Cast in the present tense, the provision indicates that Eida intended the trust to take effect immediately. Paragraph 1.4 provides: "The Trust shall be irrevocable by the Settlor". This provision would be redundant if Eida intended the Trust to come into existence only upon her death.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326</w:t>
      </w:r>
      <w:r>
        <w:rPr>
          <w:rFonts w:ascii="arial" w:eastAsia="arial" w:hAnsi="arial" w:cs="arial"/>
          <w:color w:val="000000"/>
          <w:sz w:val="20"/>
          <w:lang w:val="en-US" w:eastAsia="en-US" w:bidi="ar-SA"/>
        </w:rPr>
        <w:t>  Paragraph 2.1.1 defines Eida as a Beneficiary; paragraph 4.2 entitles her to the Net Income from the Trust Property until her death. Her present entitlement to the income would only be possible if the Trust came into effect immediately. Indeed, payments were made under the Trust to Eida as beneficiary during her lifetime.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327</w:t>
      </w:r>
      <w:r>
        <w:rPr>
          <w:rFonts w:ascii="arial" w:eastAsia="arial" w:hAnsi="arial" w:cs="arial"/>
          <w:color w:val="000000"/>
          <w:sz w:val="20"/>
          <w:lang w:val="en-US" w:eastAsia="en-US" w:bidi="ar-SA"/>
        </w:rPr>
        <w:t>  Other evidence confirms Eida's intention to create a Trust taking immediate effect. Mr. Wilson's explained that the effect of the Trust was to hold the property during Eida's lifetime. Further, Mr. Wilson explained to Eida that she was transferring legal title to him as Trustee when she executed the Form 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328</w:t>
      </w:r>
      <w:r>
        <w:rPr>
          <w:rFonts w:ascii="arial" w:eastAsia="arial" w:hAnsi="arial" w:cs="arial"/>
          <w:color w:val="000000"/>
          <w:sz w:val="20"/>
          <w:lang w:val="en-US" w:eastAsia="en-US" w:bidi="ar-SA"/>
        </w:rPr>
        <w:t>  I am satisfied that Eida understood the implications of her acts on September 5, 2000, and intended to, and actually did, create a trust which took immediate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329</w:t>
      </w:r>
      <w:r>
        <w:rPr>
          <w:rFonts w:ascii="arial" w:eastAsia="arial" w:hAnsi="arial" w:cs="arial"/>
          <w:color w:val="000000"/>
          <w:sz w:val="20"/>
          <w:lang w:val="en-US" w:eastAsia="en-US" w:bidi="ar-SA"/>
        </w:rPr>
        <w:t>  Alex argued that because Eida reserved the right to call for the Trust Property pursuant to paragraph 4.2 of the Trust Indenture, the Trust was, in effect, testamentary.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330</w:t>
      </w:r>
      <w:r>
        <w:rPr>
          <w:rFonts w:ascii="arial" w:eastAsia="arial" w:hAnsi="arial" w:cs="arial"/>
          <w:color w:val="000000"/>
          <w:sz w:val="20"/>
          <w:lang w:val="en-US" w:eastAsia="en-US" w:bidi="ar-SA"/>
        </w:rPr>
        <w:t>  For ease of reference, I will reproduce here the relevant provisions of Paragraph 4.2: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Until Eida Mordo's death, Eida Mordo shall be entitled to receive all of the Net Income and the Trust Property and the Trustees shall pay, transfer or apply such amount or amounts thereof to or for the benefit of Eida Mordo at such time or times and in such manner as Eida Mordo shall request, or, if Eida Mordo should become incompetent, as the Trustees in their discretion shall determine to be required for Eida Mordo's maintenance, care and comfort .... No person except Eida Mordo may, before Eida Mordo's death, receive or otherwise obtain the use of any of the Net Income or the Trust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331</w:t>
      </w:r>
      <w:r>
        <w:rPr>
          <w:rFonts w:ascii="arial" w:eastAsia="arial" w:hAnsi="arial" w:cs="arial"/>
          <w:color w:val="000000"/>
          <w:sz w:val="20"/>
          <w:lang w:val="en-US" w:eastAsia="en-US" w:bidi="ar-SA"/>
        </w:rPr>
        <w:t xml:space="preserve">  I do not accept that the Trust is testamentary in nature for two reasons: First, reservation of the power to call for the transfer of legal title does not necessarily make a trust testamentary. In </w:t>
      </w:r>
      <w:r>
        <w:rPr>
          <w:rFonts w:ascii="arial" w:eastAsia="arial" w:hAnsi="arial" w:cs="arial"/>
          <w:b/>
          <w:i/>
          <w:color w:val="000000"/>
          <w:sz w:val="20"/>
          <w:lang w:val="en-US" w:eastAsia="en-US" w:bidi="ar-SA"/>
        </w:rPr>
        <w:t>Re Evans</w:t>
      </w:r>
      <w:r>
        <w:rPr>
          <w:rFonts w:ascii="arial" w:eastAsia="arial" w:hAnsi="arial" w:cs="arial"/>
          <w:color w:val="000000"/>
          <w:sz w:val="20"/>
          <w:lang w:val="en-US" w:eastAsia="en-US" w:bidi="ar-SA"/>
        </w:rPr>
        <w:t xml:space="preserve"> at 451, Manson J., citing </w:t>
      </w:r>
      <w:r>
        <w:rPr>
          <w:rFonts w:ascii="arial" w:eastAsia="arial" w:hAnsi="arial" w:cs="arial"/>
          <w:b/>
          <w:i/>
          <w:color w:val="000000"/>
          <w:sz w:val="20"/>
          <w:lang w:val="en-US" w:eastAsia="en-US" w:bidi="ar-SA"/>
        </w:rPr>
        <w:t>Scott</w:t>
      </w:r>
      <w:r>
        <w:rPr>
          <w:rFonts w:ascii="arial" w:eastAsia="arial" w:hAnsi="arial" w:cs="arial"/>
          <w:color w:val="000000"/>
          <w:sz w:val="20"/>
          <w:lang w:val="en-US" w:eastAsia="en-US" w:bidi="ar-SA"/>
        </w:rPr>
        <w:t xml:space="preserve"> at 337, said the following: "The reservation of a power of revocation does not prevent the creation of a trust in the lifetime of the settlor". Similarly, in </w:t>
      </w:r>
      <w:r>
        <w:rPr>
          <w:rFonts w:ascii="arial" w:eastAsia="arial" w:hAnsi="arial" w:cs="arial"/>
          <w:b/>
          <w:i/>
          <w:color w:val="000000"/>
          <w:sz w:val="20"/>
          <w:lang w:val="en-US" w:eastAsia="en-US" w:bidi="ar-SA"/>
        </w:rPr>
        <w:t>Wonnacott</w:t>
      </w:r>
      <w:r>
        <w:rPr>
          <w:rFonts w:ascii="arial" w:eastAsia="arial" w:hAnsi="arial" w:cs="arial"/>
          <w:color w:val="000000"/>
          <w:sz w:val="20"/>
          <w:lang w:val="en-US" w:eastAsia="en-US" w:bidi="ar-SA"/>
        </w:rPr>
        <w:t xml:space="preserve"> at 27 the British Columbia Court of Appeal, citing Ford J.A. in </w:t>
      </w:r>
      <w:r>
        <w:rPr>
          <w:rFonts w:ascii="arial" w:eastAsia="arial" w:hAnsi="arial" w:cs="arial"/>
          <w:b/>
          <w:i/>
          <w:color w:val="000000"/>
          <w:sz w:val="20"/>
          <w:lang w:val="en-US" w:eastAsia="en-US" w:bidi="ar-SA"/>
        </w:rPr>
        <w:t>Anderson (Costello Estate)</w:t>
      </w:r>
      <w:r>
        <w:rPr>
          <w:rFonts w:ascii="arial" w:eastAsia="arial" w:hAnsi="arial" w:cs="arial"/>
          <w:color w:val="000000"/>
          <w:sz w:val="20"/>
          <w:lang w:val="en-US" w:eastAsia="en-US" w:bidi="ar-SA"/>
        </w:rPr>
        <w:t>at 463, said: "The reservation of a power of revocation is not inconsistent with the creation of a valid trust and does not have the effect of making the document creating it testamentary."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332</w:t>
      </w:r>
      <w:r>
        <w:rPr>
          <w:rFonts w:ascii="arial" w:eastAsia="arial" w:hAnsi="arial" w:cs="arial"/>
          <w:color w:val="000000"/>
          <w:sz w:val="20"/>
          <w:lang w:val="en-US" w:eastAsia="en-US" w:bidi="ar-SA"/>
        </w:rPr>
        <w:t xml:space="preserve">  These cases accord with the view of the Supreme Court of Canada in </w:t>
      </w:r>
      <w:r>
        <w:rPr>
          <w:rFonts w:ascii="arial" w:eastAsia="arial" w:hAnsi="arial" w:cs="arial"/>
          <w:b/>
          <w:i/>
          <w:color w:val="000000"/>
          <w:sz w:val="20"/>
          <w:lang w:val="en-US" w:eastAsia="en-US" w:bidi="ar-SA"/>
        </w:rPr>
        <w:t>Schmidt v. Air Products of Canada Ltd.</w:t>
      </w:r>
      <w:r>
        <w:rPr>
          <w:rFonts w:ascii="arial" w:eastAsia="arial" w:hAnsi="arial" w:cs="arial"/>
          <w:color w:val="000000"/>
          <w:sz w:val="20"/>
          <w:lang w:val="en-US" w:eastAsia="en-US" w:bidi="ar-SA"/>
        </w:rPr>
        <w:t xml:space="preserve"> </w:t>
      </w:r>
      <w:hyperlink r:id="rId53" w:history="1">
        <w:r>
          <w:rPr>
            <w:rFonts w:ascii="arial" w:eastAsia="arial" w:hAnsi="arial" w:cs="arial"/>
            <w:i/>
            <w:color w:val="0077CC"/>
            <w:sz w:val="20"/>
            <w:u w:val="single"/>
            <w:shd w:val="clear" w:color="auto" w:fill="FFFFFF"/>
            <w:lang w:val="en-US" w:eastAsia="en-US" w:bidi="ar-SA"/>
          </w:rPr>
          <w:t>(1994), 115 D.L.R. (4th) 631</w:t>
        </w:r>
      </w:hyperlink>
      <w:r>
        <w:rPr>
          <w:rFonts w:ascii="arial" w:eastAsia="arial" w:hAnsi="arial" w:cs="arial"/>
          <w:color w:val="000000"/>
          <w:sz w:val="20"/>
          <w:lang w:val="en-US" w:eastAsia="en-US" w:bidi="ar-SA"/>
        </w:rPr>
        <w:t xml:space="preserve"> at 657 (S.C.C.) per Cory J. [</w:t>
      </w:r>
      <w:r>
        <w:rPr>
          <w:rFonts w:ascii="arial" w:eastAsia="arial" w:hAnsi="arial" w:cs="arial"/>
          <w:b/>
          <w:i/>
          <w:color w:val="000000"/>
          <w:sz w:val="20"/>
          <w:lang w:val="en-US" w:eastAsia="en-US" w:bidi="ar-SA"/>
        </w:rPr>
        <w:t>Schmidt</w:t>
      </w:r>
      <w:r>
        <w:rPr>
          <w:rFonts w:ascii="arial" w:eastAsia="arial" w:hAnsi="arial" w:cs="arial"/>
          <w:color w:val="000000"/>
          <w:sz w:val="20"/>
          <w:lang w:val="en-US" w:eastAsia="en-US" w:bidi="ar-SA"/>
        </w:rPr>
        <w:t>] regarding the powers a settlor may retain: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settlor of a trust can reserve any power to itself that it wishes provided the reservation is made at the time the trust is created. A settlor may choose to maintain the right to appoint trustees, to change the beneficiaries of the trust, or to withdraw the trust property. Generally, however, the transfer of the trust property to the trustees is absolute. Any power of control of that property will be lost unless the transfer is expressly made subject to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333</w:t>
      </w:r>
      <w:r>
        <w:rPr>
          <w:rFonts w:ascii="arial" w:eastAsia="arial" w:hAnsi="arial" w:cs="arial"/>
          <w:color w:val="000000"/>
          <w:sz w:val="20"/>
          <w:lang w:val="en-US" w:eastAsia="en-US" w:bidi="ar-SA"/>
        </w:rPr>
        <w:t xml:space="preserve">  Similarly, </w:t>
      </w:r>
      <w:r>
        <w:rPr>
          <w:rFonts w:ascii="arial" w:eastAsia="arial" w:hAnsi="arial" w:cs="arial"/>
          <w:b/>
          <w:i/>
          <w:color w:val="000000"/>
          <w:sz w:val="20"/>
          <w:lang w:val="en-US" w:eastAsia="en-US" w:bidi="ar-SA"/>
        </w:rPr>
        <w:t>Waters</w:t>
      </w:r>
      <w:r>
        <w:rPr>
          <w:rFonts w:ascii="arial" w:eastAsia="arial" w:hAnsi="arial" w:cs="arial"/>
          <w:color w:val="000000"/>
          <w:sz w:val="20"/>
          <w:lang w:val="en-US" w:eastAsia="en-US" w:bidi="ar-SA"/>
        </w:rPr>
        <w:t xml:space="preserve">, at 207 notes that "the power to bring the trust to a close does not constitute such a degree of control over the trust property that the </w:t>
      </w:r>
      <w:r>
        <w:rPr>
          <w:rFonts w:ascii="arial" w:eastAsia="arial" w:hAnsi="arial" w:cs="arial"/>
          <w:i/>
          <w:color w:val="000000"/>
          <w:sz w:val="20"/>
          <w:lang w:val="en-US" w:eastAsia="en-US" w:bidi="ar-SA"/>
        </w:rPr>
        <w:t>inter vivos</w:t>
      </w:r>
      <w:r>
        <w:rPr>
          <w:rFonts w:ascii="arial" w:eastAsia="arial" w:hAnsi="arial" w:cs="arial"/>
          <w:color w:val="000000"/>
          <w:sz w:val="20"/>
          <w:lang w:val="en-US" w:eastAsia="en-US" w:bidi="ar-SA"/>
        </w:rPr>
        <w:t xml:space="preserve"> trust becomes in fact testamentary".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334</w:t>
      </w:r>
      <w:r>
        <w:rPr>
          <w:rFonts w:ascii="arial" w:eastAsia="arial" w:hAnsi="arial" w:cs="arial"/>
          <w:color w:val="000000"/>
          <w:sz w:val="20"/>
          <w:lang w:val="en-US" w:eastAsia="en-US" w:bidi="ar-SA"/>
        </w:rPr>
        <w:t>  I conclude that the retention by a settlor of the power to revoke a trust does not, by itself, render a trust testamentary.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335</w:t>
      </w:r>
      <w:r>
        <w:rPr>
          <w:rFonts w:ascii="arial" w:eastAsia="arial" w:hAnsi="arial" w:cs="arial"/>
          <w:color w:val="000000"/>
          <w:sz w:val="20"/>
          <w:lang w:val="en-US" w:eastAsia="en-US" w:bidi="ar-SA"/>
        </w:rPr>
        <w:t xml:space="preserve">  Second, as discussed earlier, the central issue is the settlor's intention. If the settlor's intention is clear, it is determinative. It is only where the settlor's intention is not clear that the court will look to the effect of the document to determine whether it is testamentary in effect. For example, where the settlor's intention is unclear, the court may conclude that because the settlor retained significant control over the trust property, he or she must have intended the trust to be testamentary. In that context, the degree of control a settlor retains over the property during his or her lifetime is relevant to his or her intention to create an </w:t>
      </w:r>
      <w:r>
        <w:rPr>
          <w:rFonts w:ascii="arial" w:eastAsia="arial" w:hAnsi="arial" w:cs="arial"/>
          <w:i/>
          <w:color w:val="000000"/>
          <w:sz w:val="20"/>
          <w:lang w:val="en-US" w:eastAsia="en-US" w:bidi="ar-SA"/>
        </w:rPr>
        <w:t>inter vivos</w:t>
      </w:r>
      <w:r>
        <w:rPr>
          <w:rFonts w:ascii="arial" w:eastAsia="arial" w:hAnsi="arial" w:cs="arial"/>
          <w:color w:val="000000"/>
          <w:sz w:val="20"/>
          <w:lang w:val="en-US" w:eastAsia="en-US" w:bidi="ar-SA"/>
        </w:rPr>
        <w:t xml:space="preserve"> or testamentary trust. However, no such analysis is necessary when the settlor's intention to create an </w:t>
      </w:r>
      <w:r>
        <w:rPr>
          <w:rFonts w:ascii="arial" w:eastAsia="arial" w:hAnsi="arial" w:cs="arial"/>
          <w:i/>
          <w:color w:val="000000"/>
          <w:sz w:val="20"/>
          <w:lang w:val="en-US" w:eastAsia="en-US" w:bidi="ar-SA"/>
        </w:rPr>
        <w:t>inter vivos</w:t>
      </w:r>
      <w:r>
        <w:rPr>
          <w:rFonts w:ascii="arial" w:eastAsia="arial" w:hAnsi="arial" w:cs="arial"/>
          <w:color w:val="000000"/>
          <w:sz w:val="20"/>
          <w:lang w:val="en-US" w:eastAsia="en-US" w:bidi="ar-SA"/>
        </w:rPr>
        <w:t xml:space="preserve"> trust is explicit from the trust document itself.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336</w:t>
      </w:r>
      <w:r>
        <w:rPr>
          <w:rFonts w:ascii="arial" w:eastAsia="arial" w:hAnsi="arial" w:cs="arial"/>
          <w:color w:val="000000"/>
          <w:sz w:val="20"/>
          <w:lang w:val="en-US" w:eastAsia="en-US" w:bidi="ar-SA"/>
        </w:rPr>
        <w:t xml:space="preserve">  In support of his argument that the Trust was testamentary, Alex relied on an article by Professor David Hayton entitled "When is a Trust not a Trust?" (1992), 1 J.T.C.P. 3 [the </w:t>
      </w:r>
      <w:r>
        <w:rPr>
          <w:rFonts w:ascii="arial" w:eastAsia="arial" w:hAnsi="arial" w:cs="arial"/>
          <w:b/>
          <w:i/>
          <w:color w:val="000000"/>
          <w:sz w:val="20"/>
          <w:lang w:val="en-US" w:eastAsia="en-US" w:bidi="ar-SA"/>
        </w:rPr>
        <w:t>Hayton Article</w:t>
      </w:r>
      <w:r>
        <w:rPr>
          <w:rFonts w:ascii="arial" w:eastAsia="arial" w:hAnsi="arial" w:cs="arial"/>
          <w:color w:val="000000"/>
          <w:sz w:val="20"/>
          <w:lang w:val="en-US" w:eastAsia="en-US" w:bidi="ar-SA"/>
        </w:rPr>
        <w:t>]. Professor Hayton observed that if the settlor intended to benefit the beneficiary to some uncertain extent, but not until after the settlor's death, that evinced an intention to make a testamentary disposition. This may be true where the intention of the settlor is not clear from the trust document or from the events surrounding its execution. In the present case, Eida clearly intended to create a trust with immediate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Is the trust void for repugnancy?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337</w:t>
      </w:r>
      <w:r>
        <w:rPr>
          <w:rFonts w:ascii="arial" w:eastAsia="arial" w:hAnsi="arial" w:cs="arial"/>
          <w:color w:val="000000"/>
          <w:sz w:val="20"/>
          <w:lang w:val="en-US" w:eastAsia="en-US" w:bidi="ar-SA"/>
        </w:rPr>
        <w:t>  The issues of repugnancy and certainty of subject matter are distinct. A trust will be void for repugnancy when the settlor purports to give a beneficiary a certain interest, and then retracts from that interest by attempting to take part of it back, or by giving it to another person. As discussed above, a trust will be uncertain for subject matter when it is not clear what property, or what interest in that property, each beneficiary will receive. These separate issues are sometimes confused or confounded because they both relate to whether it is clear what property or interest each beneficiary will receive.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338</w:t>
      </w:r>
      <w:r>
        <w:rPr>
          <w:rFonts w:ascii="arial" w:eastAsia="arial" w:hAnsi="arial" w:cs="arial"/>
          <w:color w:val="000000"/>
          <w:sz w:val="20"/>
          <w:lang w:val="en-US" w:eastAsia="en-US" w:bidi="ar-SA"/>
        </w:rPr>
        <w:t>  As noted, the subject matter of the Trust was certain.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339</w:t>
      </w:r>
      <w:r>
        <w:rPr>
          <w:rFonts w:ascii="arial" w:eastAsia="arial" w:hAnsi="arial" w:cs="arial"/>
          <w:color w:val="000000"/>
          <w:sz w:val="20"/>
          <w:lang w:val="en-US" w:eastAsia="en-US" w:bidi="ar-SA"/>
        </w:rPr>
        <w:t>  The Trust would be void for repugnancy if it gave an interest to Viviane and then took back part of that interest, or provided Eida with the power to encroach on the interest that had been given to Viviane.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340</w:t>
      </w:r>
      <w:r>
        <w:rPr>
          <w:rFonts w:ascii="arial" w:eastAsia="arial" w:hAnsi="arial" w:cs="arial"/>
          <w:color w:val="000000"/>
          <w:sz w:val="20"/>
          <w:lang w:val="en-US" w:eastAsia="en-US" w:bidi="ar-SA"/>
        </w:rPr>
        <w:t>  The type of interest actually conferred on Viviane depends on the construction of the whole of the Trust Indenture, but particularly on the construction of paragraph 4.3.2: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4.3.2. Upon Eida Mordo's death, the Trustees shall distribute the Trust Property to Viviane Nitting. If Viviane Nitting should die before Eida Mordo leaving issue living at the death of Eida Mordo, the remaining Trust Property shall be distributed to the issue of Viviane Nitting and, if more than one, in equal shares per stirpes.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341</w:t>
      </w:r>
      <w:r>
        <w:rPr>
          <w:rFonts w:ascii="arial" w:eastAsia="arial" w:hAnsi="arial" w:cs="arial"/>
          <w:color w:val="000000"/>
          <w:sz w:val="20"/>
          <w:lang w:val="en-US" w:eastAsia="en-US" w:bidi="ar-SA"/>
        </w:rPr>
        <w:t>  One must first establish when Viviane's interest vested. That is, did Viviane receive her interest at the time of settlement of the Trust, or only upon Eida's death?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342</w:t>
      </w:r>
      <w:r>
        <w:rPr>
          <w:rFonts w:ascii="arial" w:eastAsia="arial" w:hAnsi="arial" w:cs="arial"/>
          <w:color w:val="000000"/>
          <w:sz w:val="20"/>
          <w:lang w:val="en-US" w:eastAsia="en-US" w:bidi="ar-SA"/>
        </w:rPr>
        <w:t xml:space="preserve">  The rule that early vesting is preferred was confirmed by the Privy Council in </w:t>
      </w:r>
      <w:r>
        <w:rPr>
          <w:rFonts w:ascii="arial" w:eastAsia="arial" w:hAnsi="arial" w:cs="arial"/>
          <w:b/>
          <w:i/>
          <w:color w:val="000000"/>
          <w:sz w:val="20"/>
          <w:lang w:val="en-US" w:eastAsia="en-US" w:bidi="ar-SA"/>
        </w:rPr>
        <w:t>Browne v. Moody</w:t>
      </w:r>
      <w:r>
        <w:rPr>
          <w:rFonts w:ascii="arial" w:eastAsia="arial" w:hAnsi="arial" w:cs="arial"/>
          <w:color w:val="000000"/>
          <w:sz w:val="20"/>
          <w:lang w:val="en-US" w:eastAsia="en-US" w:bidi="ar-SA"/>
        </w:rPr>
        <w:t xml:space="preserve">, [1936] 2 All E.R. 1695, </w:t>
      </w:r>
      <w:hyperlink r:id="rId54" w:history="1">
        <w:r>
          <w:rPr>
            <w:rFonts w:ascii="arial" w:eastAsia="arial" w:hAnsi="arial" w:cs="arial"/>
            <w:i/>
            <w:color w:val="0077CC"/>
            <w:sz w:val="20"/>
            <w:u w:val="single"/>
            <w:shd w:val="clear" w:color="auto" w:fill="FFFFFF"/>
            <w:lang w:val="en-US" w:eastAsia="en-US" w:bidi="ar-SA"/>
          </w:rPr>
          <w:t>[1936] O.R. 422</w:t>
        </w:r>
      </w:hyperlink>
      <w:r>
        <w:rPr>
          <w:rFonts w:ascii="arial" w:eastAsia="arial" w:hAnsi="arial" w:cs="arial"/>
          <w:color w:val="000000"/>
          <w:sz w:val="20"/>
          <w:lang w:val="en-US" w:eastAsia="en-US" w:bidi="ar-SA"/>
        </w:rPr>
        <w:t xml:space="preserve"> (P.C.) [</w:t>
      </w:r>
      <w:r>
        <w:rPr>
          <w:rFonts w:ascii="arial" w:eastAsia="arial" w:hAnsi="arial" w:cs="arial"/>
          <w:b/>
          <w:i/>
          <w:color w:val="000000"/>
          <w:sz w:val="20"/>
          <w:lang w:val="en-US" w:eastAsia="en-US" w:bidi="ar-SA"/>
        </w:rPr>
        <w:t>Browne</w:t>
      </w:r>
      <w:r>
        <w:rPr>
          <w:rFonts w:ascii="arial" w:eastAsia="arial" w:hAnsi="arial" w:cs="arial"/>
          <w:color w:val="000000"/>
          <w:sz w:val="20"/>
          <w:lang w:val="en-US" w:eastAsia="en-US" w:bidi="ar-SA"/>
        </w:rPr>
        <w:t xml:space="preserve">] rev'g </w:t>
      </w:r>
      <w:hyperlink r:id="rId55" w:history="1">
        <w:r>
          <w:rPr>
            <w:rFonts w:ascii="arial" w:eastAsia="arial" w:hAnsi="arial" w:cs="arial"/>
            <w:i/>
            <w:color w:val="0077CC"/>
            <w:sz w:val="20"/>
            <w:u w:val="single"/>
            <w:shd w:val="clear" w:color="auto" w:fill="FFFFFF"/>
            <w:lang w:val="en-US" w:eastAsia="en-US" w:bidi="ar-SA"/>
          </w:rPr>
          <w:t>[1934] S.C.R. 324</w:t>
        </w:r>
      </w:hyperlink>
      <w:r>
        <w:rPr>
          <w:rFonts w:ascii="arial" w:eastAsia="arial" w:hAnsi="arial" w:cs="arial"/>
          <w:color w:val="000000"/>
          <w:sz w:val="20"/>
          <w:lang w:val="en-US" w:eastAsia="en-US" w:bidi="ar-SA"/>
        </w:rPr>
        <w:t xml:space="preserve">. The testatrix in </w:t>
      </w:r>
      <w:r>
        <w:rPr>
          <w:rFonts w:ascii="arial" w:eastAsia="arial" w:hAnsi="arial" w:cs="arial"/>
          <w:b/>
          <w:i/>
          <w:color w:val="000000"/>
          <w:sz w:val="20"/>
          <w:lang w:val="en-US" w:eastAsia="en-US" w:bidi="ar-SA"/>
        </w:rPr>
        <w:t>Browne</w:t>
      </w:r>
      <w:r>
        <w:rPr>
          <w:rFonts w:ascii="arial" w:eastAsia="arial" w:hAnsi="arial" w:cs="arial"/>
          <w:color w:val="000000"/>
          <w:sz w:val="20"/>
          <w:lang w:val="en-US" w:eastAsia="en-US" w:bidi="ar-SA"/>
        </w:rPr>
        <w:t xml:space="preserve"> had a son and three daughters. The key clauses of the testatrix's will were as follows:</w:t>
      </w:r>
      <w:r>
        <w:rPr>
          <w:rFonts w:ascii="arial" w:eastAsia="arial" w:hAnsi="arial" w:cs="arial"/>
          <w:sz w:val="20"/>
          <w:lang w:val="en-US" w:eastAsia="en-US" w:bidi="ar-SA"/>
        </w:rPr>
        <w:cr/>
      </w:r>
    </w:p>
    <w:p>
      <w:pPr>
        <w:numPr>
          <w:numId w:val="7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Whereas I have now the sum of $100,000.00 invested in the name of E.H. Watt ... I hereby direct that the said fund is to be continued to be invested ... by the said E.H. Watt during the lifetime of my said son William ... and the income arising therefrom is to be paid to my said son during his lifetime. In the event of the death of the said E.H. Watt during the lifetime of my said son I direct that the fund ... be invested by my executors ... as trustee investments and the income therefrom is to be paid to my said son during his lifetime. On the death of my said son ... the said fund of $100,000.00 is to be divided as follows: One half ... to my granddaughter, Enid Browne, daughter of my son William ... and the remainder of the said fund to be divided equally between my daughters Florence, ... Constance ... and Helen ..., share and share alike (</w:t>
      </w:r>
      <w:r>
        <w:rPr>
          <w:rFonts w:ascii="arial" w:eastAsia="arial" w:hAnsi="arial" w:cs="arial"/>
          <w:b/>
          <w:i/>
          <w:color w:val="000000"/>
          <w:sz w:val="20"/>
          <w:lang w:val="en-US" w:eastAsia="en-US" w:bidi="ar-SA"/>
        </w:rPr>
        <w:t>Browne</w:t>
      </w:r>
      <w:r>
        <w:rPr>
          <w:rFonts w:ascii="arial" w:eastAsia="arial" w:hAnsi="arial" w:cs="arial"/>
          <w:color w:val="000000"/>
          <w:sz w:val="20"/>
          <w:lang w:val="en-US" w:eastAsia="en-US" w:bidi="ar-SA"/>
        </w:rPr>
        <w:t xml:space="preserve"> at 1696).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7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event of my granddaughter Enid Browne or any of my said daughters predeceasing me or predeceasing my said son leaving issue I direct that the child or children of the person so dying shall take the interest to which their mother would have been entitled had she survived (</w:t>
      </w:r>
      <w:r>
        <w:rPr>
          <w:rFonts w:ascii="arial" w:eastAsia="arial" w:hAnsi="arial" w:cs="arial"/>
          <w:b/>
          <w:i/>
          <w:color w:val="000000"/>
          <w:sz w:val="20"/>
          <w:lang w:val="en-US" w:eastAsia="en-US" w:bidi="ar-SA"/>
        </w:rPr>
        <w:t>Browne</w:t>
      </w:r>
      <w:r>
        <w:rPr>
          <w:rFonts w:ascii="arial" w:eastAsia="arial" w:hAnsi="arial" w:cs="arial"/>
          <w:color w:val="000000"/>
          <w:sz w:val="20"/>
          <w:lang w:val="en-US" w:eastAsia="en-US" w:bidi="ar-SA"/>
        </w:rPr>
        <w:t xml:space="preserve"> at 1697).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343</w:t>
      </w:r>
      <w:r>
        <w:rPr>
          <w:rFonts w:ascii="arial" w:eastAsia="arial" w:hAnsi="arial" w:cs="arial"/>
          <w:color w:val="000000"/>
          <w:sz w:val="20"/>
          <w:lang w:val="en-US" w:eastAsia="en-US" w:bidi="ar-SA"/>
        </w:rPr>
        <w:t xml:space="preserve">  Although the trust in </w:t>
      </w:r>
      <w:r>
        <w:rPr>
          <w:rFonts w:ascii="arial" w:eastAsia="arial" w:hAnsi="arial" w:cs="arial"/>
          <w:b/>
          <w:i/>
          <w:color w:val="000000"/>
          <w:sz w:val="20"/>
          <w:lang w:val="en-US" w:eastAsia="en-US" w:bidi="ar-SA"/>
        </w:rPr>
        <w:t>Browne</w:t>
      </w:r>
      <w:r>
        <w:rPr>
          <w:rFonts w:ascii="arial" w:eastAsia="arial" w:hAnsi="arial" w:cs="arial"/>
          <w:color w:val="000000"/>
          <w:sz w:val="20"/>
          <w:lang w:val="en-US" w:eastAsia="en-US" w:bidi="ar-SA"/>
        </w:rPr>
        <w:t xml:space="preserve"> was set up by will, it is analogous to the Trust: Like the daughters in </w:t>
      </w:r>
      <w:r>
        <w:rPr>
          <w:rFonts w:ascii="arial" w:eastAsia="arial" w:hAnsi="arial" w:cs="arial"/>
          <w:b/>
          <w:i/>
          <w:color w:val="000000"/>
          <w:sz w:val="20"/>
          <w:lang w:val="en-US" w:eastAsia="en-US" w:bidi="ar-SA"/>
        </w:rPr>
        <w:t>Browne</w:t>
      </w:r>
      <w:r>
        <w:rPr>
          <w:rFonts w:ascii="arial" w:eastAsia="arial" w:hAnsi="arial" w:cs="arial"/>
          <w:color w:val="000000"/>
          <w:sz w:val="20"/>
          <w:lang w:val="en-US" w:eastAsia="en-US" w:bidi="ar-SA"/>
        </w:rPr>
        <w:t>, Viviane was to receive certain property if she was alive at the death of the person previously receiving the income for life (that is, Eida), and, if not, the property was to go to Viviane's descendants.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344</w:t>
      </w:r>
      <w:r>
        <w:rPr>
          <w:rFonts w:ascii="arial" w:eastAsia="arial" w:hAnsi="arial" w:cs="arial"/>
          <w:color w:val="000000"/>
          <w:sz w:val="20"/>
          <w:lang w:val="en-US" w:eastAsia="en-US" w:bidi="ar-SA"/>
        </w:rPr>
        <w:t>  </w:t>
      </w:r>
      <w:r>
        <w:rPr>
          <w:rFonts w:ascii="arial" w:eastAsia="arial" w:hAnsi="arial" w:cs="arial"/>
          <w:b/>
          <w:i/>
          <w:color w:val="000000"/>
          <w:sz w:val="20"/>
          <w:lang w:val="en-US" w:eastAsia="en-US" w:bidi="ar-SA"/>
        </w:rPr>
        <w:t>Browne</w:t>
      </w:r>
      <w:r>
        <w:rPr>
          <w:rFonts w:ascii="arial" w:eastAsia="arial" w:hAnsi="arial" w:cs="arial"/>
          <w:color w:val="000000"/>
          <w:sz w:val="20"/>
          <w:lang w:val="en-US" w:eastAsia="en-US" w:bidi="ar-SA"/>
        </w:rPr>
        <w:t xml:space="preserve"> at 1700, citing Henry S. Theobald, </w:t>
      </w:r>
      <w:r>
        <w:rPr>
          <w:rFonts w:ascii="arial" w:eastAsia="arial" w:hAnsi="arial" w:cs="arial"/>
          <w:i/>
          <w:color w:val="000000"/>
          <w:sz w:val="20"/>
          <w:lang w:val="en-US" w:eastAsia="en-US" w:bidi="ar-SA"/>
        </w:rPr>
        <w:t>Theobald on Wills</w:t>
      </w:r>
      <w:r>
        <w:rPr>
          <w:rFonts w:ascii="arial" w:eastAsia="arial" w:hAnsi="arial" w:cs="arial"/>
          <w:color w:val="000000"/>
          <w:sz w:val="20"/>
          <w:lang w:val="en-US" w:eastAsia="en-US" w:bidi="ar-SA"/>
        </w:rPr>
        <w:t>, 8th ed. (London: Stevens and Sons, 1927) at 656, confirmed the rule of early vesting unless there is a contrary intention expressed by the donor: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the only gift is to be found in the direction to pay or divide (a) if the postponement of division or payment is merely on account of the position of the property, if, for instance, there is a prior gift for life . . . and a direction to pay upon the decease of the legatee for life . . . the gift in remainder vests at once . . . (b) but where the payment is deferred for reasons personal to the legatee, the gift will not vest till the appointed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345</w:t>
      </w:r>
      <w:r>
        <w:rPr>
          <w:rFonts w:ascii="arial" w:eastAsia="arial" w:hAnsi="arial" w:cs="arial"/>
          <w:color w:val="000000"/>
          <w:sz w:val="20"/>
          <w:lang w:val="en-US" w:eastAsia="en-US" w:bidi="ar-SA"/>
        </w:rPr>
        <w:t xml:space="preserve">  The rule, referred to as the rule in </w:t>
      </w:r>
      <w:r>
        <w:rPr>
          <w:rFonts w:ascii="arial" w:eastAsia="arial" w:hAnsi="arial" w:cs="arial"/>
          <w:b/>
          <w:i/>
          <w:color w:val="000000"/>
          <w:sz w:val="20"/>
          <w:lang w:val="en-US" w:eastAsia="en-US" w:bidi="ar-SA"/>
        </w:rPr>
        <w:t>Browne v. Moody</w:t>
      </w:r>
      <w:r>
        <w:rPr>
          <w:rFonts w:ascii="arial" w:eastAsia="arial" w:hAnsi="arial" w:cs="arial"/>
          <w:color w:val="000000"/>
          <w:sz w:val="20"/>
          <w:lang w:val="en-US" w:eastAsia="en-US" w:bidi="ar-SA"/>
        </w:rPr>
        <w:t xml:space="preserve">, was recently restated by Kelleher J. in </w:t>
      </w:r>
      <w:r>
        <w:rPr>
          <w:rFonts w:ascii="arial" w:eastAsia="arial" w:hAnsi="arial" w:cs="arial"/>
          <w:b/>
          <w:i/>
          <w:color w:val="000000"/>
          <w:sz w:val="20"/>
          <w:lang w:val="en-US" w:eastAsia="en-US" w:bidi="ar-SA"/>
        </w:rPr>
        <w:t>Re Campbell Estate</w:t>
      </w:r>
      <w:r>
        <w:rPr>
          <w:rFonts w:ascii="arial" w:eastAsia="arial" w:hAnsi="arial" w:cs="arial"/>
          <w:color w:val="000000"/>
          <w:sz w:val="20"/>
          <w:lang w:val="en-US" w:eastAsia="en-US" w:bidi="ar-SA"/>
        </w:rPr>
        <w:t xml:space="preserve"> </w:t>
      </w:r>
      <w:hyperlink r:id="rId56" w:history="1">
        <w:r>
          <w:rPr>
            <w:rFonts w:ascii="arial" w:eastAsia="arial" w:hAnsi="arial" w:cs="arial"/>
            <w:i/>
            <w:color w:val="0077CC"/>
            <w:sz w:val="20"/>
            <w:u w:val="single"/>
            <w:shd w:val="clear" w:color="auto" w:fill="FFFFFF"/>
            <w:lang w:val="en-US" w:eastAsia="en-US" w:bidi="ar-SA"/>
          </w:rPr>
          <w:t>(2005), 49 B.C.L.R. (4th) 148</w:t>
        </w:r>
      </w:hyperlink>
      <w:r>
        <w:rPr>
          <w:rFonts w:ascii="arial" w:eastAsia="arial" w:hAnsi="arial" w:cs="arial"/>
          <w:color w:val="000000"/>
          <w:sz w:val="20"/>
          <w:lang w:val="en-US" w:eastAsia="en-US" w:bidi="ar-SA"/>
        </w:rPr>
        <w:t xml:space="preserve"> at para. 26, </w:t>
      </w:r>
      <w:hyperlink r:id="rId56" w:history="1">
        <w:r>
          <w:rPr>
            <w:rFonts w:ascii="arial" w:eastAsia="arial" w:hAnsi="arial" w:cs="arial"/>
            <w:i/>
            <w:color w:val="0077CC"/>
            <w:sz w:val="20"/>
            <w:u w:val="single"/>
            <w:shd w:val="clear" w:color="auto" w:fill="FFFFFF"/>
            <w:lang w:val="en-US" w:eastAsia="en-US" w:bidi="ar-SA"/>
          </w:rPr>
          <w:t>2005 BCSC 1561</w:t>
        </w:r>
      </w:hyperlink>
      <w:r>
        <w:rPr>
          <w:rFonts w:ascii="arial" w:eastAsia="arial" w:hAnsi="arial" w:cs="arial"/>
          <w:color w:val="000000"/>
          <w:sz w:val="20"/>
          <w:lang w:val="en-US" w:eastAsia="en-US" w:bidi="ar-SA"/>
        </w:rPr>
        <w:t xml:space="preserv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gift of the remainder will be treated as vested if (a) it is postponed in the will solely for the convenience of the testator's estate or (b) it is postponed by the creation of some prior interest, such as a life estate.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346</w:t>
      </w:r>
      <w:r>
        <w:rPr>
          <w:rFonts w:ascii="arial" w:eastAsia="arial" w:hAnsi="arial" w:cs="arial"/>
          <w:color w:val="000000"/>
          <w:sz w:val="20"/>
          <w:lang w:val="en-US" w:eastAsia="en-US" w:bidi="ar-SA"/>
        </w:rPr>
        <w:t xml:space="preserve">  When a trust is set up to pay income to B1 for life and then, on the death of B1, to distribute to B2 if B2 be alive or else to the issue of B2, it makes little difference when considering the issues of vesting and repugnancy whether the trust was testamentary or </w:t>
      </w:r>
      <w:r>
        <w:rPr>
          <w:rFonts w:ascii="arial" w:eastAsia="arial" w:hAnsi="arial" w:cs="arial"/>
          <w:i/>
          <w:color w:val="000000"/>
          <w:sz w:val="20"/>
          <w:lang w:val="en-US" w:eastAsia="en-US" w:bidi="ar-SA"/>
        </w:rPr>
        <w:t>inter vivos</w:t>
      </w:r>
      <w:r>
        <w:rPr>
          <w:rFonts w:ascii="arial" w:eastAsia="arial" w:hAnsi="arial" w:cs="arial"/>
          <w:color w:val="000000"/>
          <w:sz w:val="20"/>
          <w:lang w:val="en-US" w:eastAsia="en-US" w:bidi="ar-SA"/>
        </w:rPr>
        <w:t xml:space="preserve">. Accordingly, the rule in </w:t>
      </w:r>
      <w:r>
        <w:rPr>
          <w:rFonts w:ascii="arial" w:eastAsia="arial" w:hAnsi="arial" w:cs="arial"/>
          <w:b/>
          <w:i/>
          <w:color w:val="000000"/>
          <w:sz w:val="20"/>
          <w:lang w:val="en-US" w:eastAsia="en-US" w:bidi="ar-SA"/>
        </w:rPr>
        <w:t>Browne v. Moody</w:t>
      </w:r>
      <w:r>
        <w:rPr>
          <w:rFonts w:ascii="arial" w:eastAsia="arial" w:hAnsi="arial" w:cs="arial"/>
          <w:color w:val="000000"/>
          <w:sz w:val="20"/>
          <w:lang w:val="en-US" w:eastAsia="en-US" w:bidi="ar-SA"/>
        </w:rPr>
        <w:t xml:space="preserve"> is applicable to this case. As there is nothing in the Trust Indenture to suggest that Eida intended to delay the vesting of Viviane's interest until Eida's death, the rule in </w:t>
      </w:r>
      <w:r>
        <w:rPr>
          <w:rFonts w:ascii="arial" w:eastAsia="arial" w:hAnsi="arial" w:cs="arial"/>
          <w:b/>
          <w:i/>
          <w:color w:val="000000"/>
          <w:sz w:val="20"/>
          <w:lang w:val="en-US" w:eastAsia="en-US" w:bidi="ar-SA"/>
        </w:rPr>
        <w:t>Browne v. Moody</w:t>
      </w:r>
      <w:r>
        <w:rPr>
          <w:rFonts w:ascii="arial" w:eastAsia="arial" w:hAnsi="arial" w:cs="arial"/>
          <w:color w:val="000000"/>
          <w:sz w:val="20"/>
          <w:lang w:val="en-US" w:eastAsia="en-US" w:bidi="ar-SA"/>
        </w:rPr>
        <w:t xml:space="preserve"> applies. Accordingly, Viviane received a vested interest when the Trust was settled on September 5,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347</w:t>
      </w:r>
      <w:r>
        <w:rPr>
          <w:rFonts w:ascii="arial" w:eastAsia="arial" w:hAnsi="arial" w:cs="arial"/>
          <w:color w:val="000000"/>
          <w:sz w:val="20"/>
          <w:lang w:val="en-US" w:eastAsia="en-US" w:bidi="ar-SA"/>
        </w:rPr>
        <w:t>  Because Viviane's interest vested at the time of settlement, there would be a repugnancy problem only if her interest was then limited or encroached upon by other terms of the Trust. Conversely, there would be no repugnancy problem if Viviane's gift was limited from the outset; that is, if she was given a vested interest subject to divesting. According to paragraph 4.3.2 of the Trust Indenture, read in the context of the entire document and particularly paragraph 4.2, Viviane's vested interest was subject to variation in two ways:</w:t>
      </w:r>
      <w:r>
        <w:rPr>
          <w:rFonts w:ascii="arial" w:eastAsia="arial" w:hAnsi="arial" w:cs="arial"/>
          <w:sz w:val="20"/>
          <w:lang w:val="en-US" w:eastAsia="en-US" w:bidi="ar-SA"/>
        </w:rPr>
        <w:cr/>
      </w:r>
    </w:p>
    <w:p>
      <w:pPr>
        <w:numPr>
          <w:numId w:val="7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Viviane's interest would decrease to the extent Eida as beneficiary called for Trust Property to be transferred to her, and increase to the extent Trust Property was added to the Trust; and</w:t>
      </w:r>
    </w:p>
    <w:p>
      <w:pPr>
        <w:numPr>
          <w:numId w:val="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Viviane's interest would disappear if she predeceased Eida.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348</w:t>
      </w:r>
      <w:r>
        <w:rPr>
          <w:rFonts w:ascii="arial" w:eastAsia="arial" w:hAnsi="arial" w:cs="arial"/>
          <w:color w:val="000000"/>
          <w:sz w:val="20"/>
          <w:lang w:val="en-US" w:eastAsia="en-US" w:bidi="ar-SA"/>
        </w:rPr>
        <w:t>  The question is whether either of these means by which Viviane's interest might vary renders the gift to Viviane void for repugnancy. Particularly with regard to the means by which Viviane's interest may be reduced, the question is whether these are valid divesting mechanisms of a vested interest subject to divesting.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349</w:t>
      </w:r>
      <w:r>
        <w:rPr>
          <w:rFonts w:ascii="arial" w:eastAsia="arial" w:hAnsi="arial" w:cs="arial"/>
          <w:color w:val="000000"/>
          <w:sz w:val="20"/>
          <w:lang w:val="en-US" w:eastAsia="en-US" w:bidi="ar-SA"/>
        </w:rPr>
        <w:t>  I will deal first with the reduction of the Trust Property by Eida, as beneficiary, calling for some or all of the Trust Property. By definition, the property in which Viviane received an interest was variable. The first line of paragraph 4.3.2 of the Trust Indenture gave Viviane an interest in "the Trust Property" on the date of Eida's death. The Trust Property was, by definition, variable: it could increase or decrease. Viviane never received an absolute interest in any permanently defined property. On any day before Eida's death, the extent of the Trust Property was certain, and Viviane had a vested interest in that property subject to divestment or enhancement depending on whether Eida as beneficiary called for Trust Property, or Eida as settlor added to the Trust Property. While the physical property to which Viviane was entitled may have changed, the property to which she had a right was constant; she was not deprived of something she was previously given. Accordingly, I find that the variable nature of the Trust Property does not make the gift to Viviane void for repugnancy.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350</w:t>
      </w:r>
      <w:r>
        <w:rPr>
          <w:rFonts w:ascii="arial" w:eastAsia="arial" w:hAnsi="arial" w:cs="arial"/>
          <w:color w:val="000000"/>
          <w:sz w:val="20"/>
          <w:lang w:val="en-US" w:eastAsia="en-US" w:bidi="ar-SA"/>
        </w:rPr>
        <w:t xml:space="preserve">  Viviane's interest would also be reduced if she predeceased Eida. In </w:t>
      </w:r>
      <w:r>
        <w:rPr>
          <w:rFonts w:ascii="arial" w:eastAsia="arial" w:hAnsi="arial" w:cs="arial"/>
          <w:b/>
          <w:i/>
          <w:color w:val="000000"/>
          <w:sz w:val="20"/>
          <w:lang w:val="en-US" w:eastAsia="en-US" w:bidi="ar-SA"/>
        </w:rPr>
        <w:t>Browne,</w:t>
      </w:r>
      <w:r>
        <w:rPr>
          <w:rFonts w:ascii="arial" w:eastAsia="arial" w:hAnsi="arial" w:cs="arial"/>
          <w:color w:val="000000"/>
          <w:sz w:val="20"/>
          <w:lang w:val="en-US" w:eastAsia="en-US" w:bidi="ar-SA"/>
        </w:rPr>
        <w:t xml:space="preserve"> the Privy Council said the following at 1702: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legatee predeceasing the son without leaving issue would not be affected by the clause and the interest of such a legatee would pass on her death to her representatives. But the contingency of death "leaving issue", with the gift-over in that event to such issue, is, in their Lordships' opinion effectual to render the legacies subject to defeasance or divestiture in that event. The contingency of predecease "leaving issue", in other words, is a resolutive, though not a suspensive condition; it does not prevent vesting </w:t>
      </w:r>
      <w:r>
        <w:rPr>
          <w:rFonts w:ascii="arial" w:eastAsia="arial" w:hAnsi="arial" w:cs="arial"/>
          <w:i/>
          <w:color w:val="000000"/>
          <w:sz w:val="20"/>
          <w:lang w:val="en-US" w:eastAsia="en-US" w:bidi="ar-SA"/>
        </w:rPr>
        <w:t>a morte</w:t>
      </w:r>
      <w:r>
        <w:rPr>
          <w:rFonts w:ascii="arial" w:eastAsia="arial" w:hAnsi="arial" w:cs="arial"/>
          <w:color w:val="000000"/>
          <w:sz w:val="20"/>
          <w:lang w:val="en-US" w:eastAsia="en-US" w:bidi="ar-SA"/>
        </w:rPr>
        <w:t xml:space="preserve"> but it prevents that vesting from being absolute and renders it subject to divestiture in the event of this specified contingency happening. This is in accordance with well-settled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351</w:t>
      </w:r>
      <w:r>
        <w:rPr>
          <w:rFonts w:ascii="arial" w:eastAsia="arial" w:hAnsi="arial" w:cs="arial"/>
          <w:color w:val="000000"/>
          <w:sz w:val="20"/>
          <w:lang w:val="en-US" w:eastAsia="en-US" w:bidi="ar-SA"/>
        </w:rPr>
        <w:t xml:space="preserve">  As noted above, the daughters' interests in </w:t>
      </w:r>
      <w:r>
        <w:rPr>
          <w:rFonts w:ascii="arial" w:eastAsia="arial" w:hAnsi="arial" w:cs="arial"/>
          <w:b/>
          <w:i/>
          <w:color w:val="000000"/>
          <w:sz w:val="20"/>
          <w:lang w:val="en-US" w:eastAsia="en-US" w:bidi="ar-SA"/>
        </w:rPr>
        <w:t>Browne</w:t>
      </w:r>
      <w:r>
        <w:rPr>
          <w:rFonts w:ascii="arial" w:eastAsia="arial" w:hAnsi="arial" w:cs="arial"/>
          <w:color w:val="000000"/>
          <w:sz w:val="20"/>
          <w:lang w:val="en-US" w:eastAsia="en-US" w:bidi="ar-SA"/>
        </w:rPr>
        <w:t xml:space="preserve"> were analogous to Viviane's interest: they would be lost if the person due to receive the remainder predeceased the person holding the prior life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352</w:t>
      </w:r>
      <w:r>
        <w:rPr>
          <w:rFonts w:ascii="arial" w:eastAsia="arial" w:hAnsi="arial" w:cs="arial"/>
          <w:color w:val="000000"/>
          <w:sz w:val="20"/>
          <w:lang w:val="en-US" w:eastAsia="en-US" w:bidi="ar-SA"/>
        </w:rPr>
        <w:t xml:space="preserve">  Applying the rule from </w:t>
      </w:r>
      <w:r>
        <w:rPr>
          <w:rFonts w:ascii="arial" w:eastAsia="arial" w:hAnsi="arial" w:cs="arial"/>
          <w:b/>
          <w:i/>
          <w:color w:val="000000"/>
          <w:sz w:val="20"/>
          <w:lang w:val="en-US" w:eastAsia="en-US" w:bidi="ar-SA"/>
        </w:rPr>
        <w:t>Browne,</w:t>
      </w:r>
      <w:r>
        <w:rPr>
          <w:rFonts w:ascii="arial" w:eastAsia="arial" w:hAnsi="arial" w:cs="arial"/>
          <w:color w:val="000000"/>
          <w:sz w:val="20"/>
          <w:lang w:val="en-US" w:eastAsia="en-US" w:bidi="ar-SA"/>
        </w:rPr>
        <w:t xml:space="preserve"> Viviane had a vested interest subject to divesting if she predeceased Eida. If Viviane had predeceased Eida (not leaving issue surviving at the time of Eida's death), the Trust Property would have gone to Viviane's estate.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353</w:t>
      </w:r>
      <w:r>
        <w:rPr>
          <w:rFonts w:ascii="arial" w:eastAsia="arial" w:hAnsi="arial" w:cs="arial"/>
          <w:color w:val="000000"/>
          <w:sz w:val="20"/>
          <w:lang w:val="en-US" w:eastAsia="en-US" w:bidi="ar-SA"/>
        </w:rPr>
        <w:t xml:space="preserve">  Alex argued that the gift to Viviane was repugnant because Eida had the right to call for all of the Trust Property to be transferred to her during her lifetime; having so retained the right to call for the income and capital, there would be nothing left that she could give Viviane. I was not given any authority to support that proposition. A gift of a vested interest is not repugnant merely because it is subject to total divestment: </w:t>
      </w:r>
      <w:r>
        <w:rPr>
          <w:rFonts w:ascii="arial" w:eastAsia="arial" w:hAnsi="arial" w:cs="arial"/>
          <w:b/>
          <w:i/>
          <w:color w:val="000000"/>
          <w:sz w:val="20"/>
          <w:lang w:val="en-US" w:eastAsia="en-US" w:bidi="ar-SA"/>
        </w:rPr>
        <w:t>Browne</w:t>
      </w:r>
      <w:r>
        <w:rPr>
          <w:rFonts w:ascii="arial" w:eastAsia="arial" w:hAnsi="arial" w:cs="arial"/>
          <w:color w:val="000000"/>
          <w:sz w:val="20"/>
          <w:lang w:val="en-US" w:eastAsia="en-US" w:bidi="ar-SA"/>
        </w:rPr>
        <w:t xml:space="preserve">, James MacKenzie, </w:t>
      </w:r>
      <w:r>
        <w:rPr>
          <w:rFonts w:ascii="arial" w:eastAsia="arial" w:hAnsi="arial" w:cs="arial"/>
          <w:i/>
          <w:color w:val="000000"/>
          <w:sz w:val="20"/>
          <w:lang w:val="en-US" w:eastAsia="en-US" w:bidi="ar-SA"/>
        </w:rPr>
        <w:t>Feeney's Canadian Law of Wills</w:t>
      </w:r>
      <w:r>
        <w:rPr>
          <w:rFonts w:ascii="arial" w:eastAsia="arial" w:hAnsi="arial" w:cs="arial"/>
          <w:color w:val="000000"/>
          <w:sz w:val="20"/>
          <w:lang w:val="en-US" w:eastAsia="en-US" w:bidi="ar-SA"/>
        </w:rPr>
        <w:t xml:space="preserve">, 4th ed, looseleaf (Markham, Ontario: Butterworths, 2000-) at para. 17.2. In my view, it makes no difference whether the total divesture occurs because of the early death of the donee (as in </w:t>
      </w:r>
      <w:r>
        <w:rPr>
          <w:rFonts w:ascii="arial" w:eastAsia="arial" w:hAnsi="arial" w:cs="arial"/>
          <w:b/>
          <w:i/>
          <w:color w:val="000000"/>
          <w:sz w:val="20"/>
          <w:lang w:val="en-US" w:eastAsia="en-US" w:bidi="ar-SA"/>
        </w:rPr>
        <w:t>Browne</w:t>
      </w:r>
      <w:r>
        <w:rPr>
          <w:rFonts w:ascii="arial" w:eastAsia="arial" w:hAnsi="arial" w:cs="arial"/>
          <w:color w:val="000000"/>
          <w:sz w:val="20"/>
          <w:lang w:val="en-US" w:eastAsia="en-US" w:bidi="ar-SA"/>
        </w:rPr>
        <w:t>) or because a power of appointment is exercised.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354</w:t>
      </w:r>
      <w:r>
        <w:rPr>
          <w:rFonts w:ascii="arial" w:eastAsia="arial" w:hAnsi="arial" w:cs="arial"/>
          <w:color w:val="000000"/>
          <w:sz w:val="20"/>
          <w:lang w:val="en-US" w:eastAsia="en-US" w:bidi="ar-SA"/>
        </w:rPr>
        <w:t>  Accordingly, I conclude that Viviane received a vested interest in the Trust Property, subject to divesting, with possession postponed until Eida's death. Viviane's interest was not void for repugnancy.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Was the Trust improperly constituted because it gave Eida absolute control over the Trust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355</w:t>
      </w:r>
      <w:r>
        <w:rPr>
          <w:rFonts w:ascii="arial" w:eastAsia="arial" w:hAnsi="arial" w:cs="arial"/>
          <w:color w:val="000000"/>
          <w:sz w:val="20"/>
          <w:lang w:val="en-US" w:eastAsia="en-US" w:bidi="ar-SA"/>
        </w:rPr>
        <w:t xml:space="preserve">  Alex argued the Trust was not a property constituted </w:t>
      </w:r>
      <w:r>
        <w:rPr>
          <w:rFonts w:ascii="arial" w:eastAsia="arial" w:hAnsi="arial" w:cs="arial"/>
          <w:i/>
          <w:color w:val="000000"/>
          <w:sz w:val="20"/>
          <w:lang w:val="en-US" w:eastAsia="en-US" w:bidi="ar-SA"/>
        </w:rPr>
        <w:t>inter vivos</w:t>
      </w:r>
      <w:r>
        <w:rPr>
          <w:rFonts w:ascii="arial" w:eastAsia="arial" w:hAnsi="arial" w:cs="arial"/>
          <w:color w:val="000000"/>
          <w:sz w:val="20"/>
          <w:lang w:val="en-US" w:eastAsia="en-US" w:bidi="ar-SA"/>
        </w:rPr>
        <w:t xml:space="preserve"> trust because it gave Eida "absolute control" of the Trust Property. He rested his argument on paragraph 4.2 of the Trust Indenture, which gave Eida the right to "receive all of the Net Income and the Trust Property" and obliged the trustees to "pay, transfer or apply" any amount of the Trust Property as Eida might request. According to Alex, those provisions amounted to retention of the entire beneficial interest and thereby rendered the Trust invalid as an </w:t>
      </w:r>
      <w:r>
        <w:rPr>
          <w:rFonts w:ascii="arial" w:eastAsia="arial" w:hAnsi="arial" w:cs="arial"/>
          <w:i/>
          <w:color w:val="000000"/>
          <w:sz w:val="20"/>
          <w:lang w:val="en-US" w:eastAsia="en-US" w:bidi="ar-SA"/>
        </w:rPr>
        <w:t>inter vivos</w:t>
      </w:r>
      <w:r>
        <w:rPr>
          <w:rFonts w:ascii="arial" w:eastAsia="arial" w:hAnsi="arial" w:cs="arial"/>
          <w:color w:val="000000"/>
          <w:sz w:val="20"/>
          <w:lang w:val="en-US" w:eastAsia="en-US" w:bidi="ar-SA"/>
        </w:rPr>
        <w:t xml:space="preserve">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356</w:t>
      </w:r>
      <w:r>
        <w:rPr>
          <w:rFonts w:ascii="arial" w:eastAsia="arial" w:hAnsi="arial" w:cs="arial"/>
          <w:color w:val="000000"/>
          <w:sz w:val="20"/>
          <w:lang w:val="en-US" w:eastAsia="en-US" w:bidi="ar-SA"/>
        </w:rPr>
        <w:t>  I will once again reproduce paragraph 4.2 of the Trust, this time in its entirety: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4.2 Until Eida Mordo's death, Eida Mordo shall be entitled to receive all of the Net Income and the Trust Property and the Trustees shall pay, transfer or apply such amount or amounts thereof to or for the benefit of Eida Mordo at such time or times and in such manner as Eida Mordo shall request or, if Eida Mordo should become incompetent, as the Trustees in their discretion shall determine to be required for Eida Mordo's maintenance, care and comfort. Any Net Income not paid to or for the benefit of Eida Mordo in any fiscal period shall be accumulated. No person except Eida Mordo may, before Eida Mordo's death, receive or otherwise obtain the use of any of the Net Income or the Trust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357</w:t>
      </w:r>
      <w:r>
        <w:rPr>
          <w:rFonts w:ascii="arial" w:eastAsia="arial" w:hAnsi="arial" w:cs="arial"/>
          <w:color w:val="000000"/>
          <w:sz w:val="20"/>
          <w:lang w:val="en-US" w:eastAsia="en-US" w:bidi="ar-SA"/>
        </w:rPr>
        <w:t xml:space="preserve">  As discussed above, motive is not relevant to the issue of sham: </w:t>
      </w:r>
      <w:r>
        <w:rPr>
          <w:rFonts w:ascii="arial" w:eastAsia="arial" w:hAnsi="arial" w:cs="arial"/>
          <w:b/>
          <w:i/>
          <w:color w:val="000000"/>
          <w:sz w:val="20"/>
          <w:lang w:val="en-US" w:eastAsia="en-US" w:bidi="ar-SA"/>
        </w:rPr>
        <w:t>Lewin</w:t>
      </w:r>
      <w:r>
        <w:rPr>
          <w:rFonts w:ascii="arial" w:eastAsia="arial" w:hAnsi="arial" w:cs="arial"/>
          <w:color w:val="000000"/>
          <w:sz w:val="20"/>
          <w:lang w:val="en-US" w:eastAsia="en-US" w:bidi="ar-SA"/>
        </w:rPr>
        <w:t xml:space="preserve"> at paras. 4 - 26 citing </w:t>
      </w:r>
      <w:r>
        <w:rPr>
          <w:rFonts w:ascii="arial" w:eastAsia="arial" w:hAnsi="arial" w:cs="arial"/>
          <w:b/>
          <w:i/>
          <w:color w:val="000000"/>
          <w:sz w:val="20"/>
          <w:lang w:val="en-US" w:eastAsia="en-US" w:bidi="ar-SA"/>
        </w:rPr>
        <w:t>Miles v. Bull</w:t>
      </w:r>
      <w:r>
        <w:rPr>
          <w:rFonts w:ascii="arial" w:eastAsia="arial" w:hAnsi="arial" w:cs="arial"/>
          <w:color w:val="000000"/>
          <w:sz w:val="20"/>
          <w:lang w:val="en-US" w:eastAsia="en-US" w:bidi="ar-SA"/>
        </w:rPr>
        <w:t xml:space="preserve"> at 264. Similarly, motive is not relevant to whether the Trust was properly constituted. It is of no consequence that Eida, by creating the Trust, sought to defeat Alex's </w:t>
      </w:r>
      <w:r>
        <w:rPr>
          <w:rFonts w:ascii="arial" w:eastAsia="arial" w:hAnsi="arial" w:cs="arial"/>
          <w:b/>
          <w:i/>
          <w:color w:val="000000"/>
          <w:sz w:val="20"/>
          <w:lang w:val="en-US" w:eastAsia="en-US" w:bidi="ar-SA"/>
        </w:rPr>
        <w:t>WVA</w:t>
      </w:r>
      <w:r>
        <w:rPr>
          <w:rFonts w:ascii="arial" w:eastAsia="arial" w:hAnsi="arial" w:cs="arial"/>
          <w:color w:val="000000"/>
          <w:sz w:val="20"/>
          <w:lang w:val="en-US" w:eastAsia="en-US" w:bidi="ar-SA"/>
        </w:rPr>
        <w:t xml:space="preserv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358</w:t>
      </w:r>
      <w:r>
        <w:rPr>
          <w:rFonts w:ascii="arial" w:eastAsia="arial" w:hAnsi="arial" w:cs="arial"/>
          <w:color w:val="000000"/>
          <w:sz w:val="20"/>
          <w:lang w:val="en-US" w:eastAsia="en-US" w:bidi="ar-SA"/>
        </w:rPr>
        <w:t>  I have already concluded that legal title to the Trust Property was validly transferred to the Trustees when Eida executed the Form A and handed it to Mr. Wilson. After Eida surrendered the Form A, she could not deal with the Trust Property without involving the Trustee. However, the issue of whether a trust is validly constituted does not turn solely on whether there was a valid act of transfer. Whether a trust is validly constituted depends on the true legal construction of the trust document as a whole.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359</w:t>
      </w:r>
      <w:r>
        <w:rPr>
          <w:rFonts w:ascii="arial" w:eastAsia="arial" w:hAnsi="arial" w:cs="arial"/>
          <w:color w:val="000000"/>
          <w:sz w:val="20"/>
          <w:lang w:val="en-US" w:eastAsia="en-US" w:bidi="ar-SA"/>
        </w:rPr>
        <w:t xml:space="preserve">  Before turning to Alex's argument that Eida retained absolute control over the Trust Property, I make two preliminary observations: First, to the extent a trust document provides, a settlor can be a beneficiary of a trust: </w:t>
      </w:r>
      <w:r>
        <w:rPr>
          <w:rFonts w:ascii="arial" w:eastAsia="arial" w:hAnsi="arial" w:cs="arial"/>
          <w:b/>
          <w:i/>
          <w:color w:val="000000"/>
          <w:sz w:val="20"/>
          <w:lang w:val="en-US" w:eastAsia="en-US" w:bidi="ar-SA"/>
        </w:rPr>
        <w:t>Sadler v. Watson Wyatt</w:t>
      </w:r>
      <w:r>
        <w:rPr>
          <w:rFonts w:ascii="arial" w:eastAsia="arial" w:hAnsi="arial" w:cs="arial"/>
          <w:color w:val="000000"/>
          <w:sz w:val="20"/>
          <w:lang w:val="en-US" w:eastAsia="en-US" w:bidi="ar-SA"/>
        </w:rPr>
        <w:t xml:space="preserve"> </w:t>
      </w:r>
      <w:hyperlink r:id="rId57" w:history="1">
        <w:r>
          <w:rPr>
            <w:rFonts w:ascii="arial" w:eastAsia="arial" w:hAnsi="arial" w:cs="arial"/>
            <w:i/>
            <w:color w:val="0077CC"/>
            <w:sz w:val="20"/>
            <w:u w:val="single"/>
            <w:shd w:val="clear" w:color="auto" w:fill="FFFFFF"/>
            <w:lang w:val="en-US" w:eastAsia="en-US" w:bidi="ar-SA"/>
          </w:rPr>
          <w:t>(2001), 27 C.C.P.B. 291</w:t>
        </w:r>
      </w:hyperlink>
      <w:r>
        <w:rPr>
          <w:rFonts w:ascii="arial" w:eastAsia="arial" w:hAnsi="arial" w:cs="arial"/>
          <w:color w:val="000000"/>
          <w:sz w:val="20"/>
          <w:lang w:val="en-US" w:eastAsia="en-US" w:bidi="ar-SA"/>
        </w:rPr>
        <w:t xml:space="preserve">, </w:t>
      </w:r>
      <w:hyperlink r:id="rId57" w:history="1">
        <w:r>
          <w:rPr>
            <w:rFonts w:ascii="arial" w:eastAsia="arial" w:hAnsi="arial" w:cs="arial"/>
            <w:i/>
            <w:color w:val="0077CC"/>
            <w:sz w:val="20"/>
            <w:u w:val="single"/>
            <w:shd w:val="clear" w:color="auto" w:fill="FFFFFF"/>
            <w:lang w:val="en-US" w:eastAsia="en-US" w:bidi="ar-SA"/>
          </w:rPr>
          <w:t>2001 BCSC 246</w:t>
        </w:r>
      </w:hyperlink>
      <w:r>
        <w:rPr>
          <w:rFonts w:ascii="arial" w:eastAsia="arial" w:hAnsi="arial" w:cs="arial"/>
          <w:color w:val="000000"/>
          <w:sz w:val="20"/>
          <w:lang w:val="en-US" w:eastAsia="en-US" w:bidi="ar-SA"/>
        </w:rPr>
        <w:t xml:space="preserve">. Second, a trust that grants a beneficiary the right to call for trust property does not make the trust invalid. Such a trust will sometimes be a bare, or simple, trust. In </w:t>
      </w:r>
      <w:r>
        <w:rPr>
          <w:rFonts w:ascii="arial" w:eastAsia="arial" w:hAnsi="arial" w:cs="arial"/>
          <w:b/>
          <w:i/>
          <w:color w:val="000000"/>
          <w:sz w:val="20"/>
          <w:lang w:val="en-US" w:eastAsia="en-US" w:bidi="ar-SA"/>
        </w:rPr>
        <w:t>Christie v. Ovington</w:t>
      </w:r>
      <w:r>
        <w:rPr>
          <w:rFonts w:ascii="arial" w:eastAsia="arial" w:hAnsi="arial" w:cs="arial"/>
          <w:color w:val="000000"/>
          <w:sz w:val="20"/>
          <w:lang w:val="en-US" w:eastAsia="en-US" w:bidi="ar-SA"/>
        </w:rPr>
        <w:t xml:space="preserve"> (1875) 1 Ch.D. 279 at 281 [</w:t>
      </w:r>
      <w:r>
        <w:rPr>
          <w:rFonts w:ascii="arial" w:eastAsia="arial" w:hAnsi="arial" w:cs="arial"/>
          <w:b/>
          <w:i/>
          <w:color w:val="000000"/>
          <w:sz w:val="20"/>
          <w:lang w:val="en-US" w:eastAsia="en-US" w:bidi="ar-SA"/>
        </w:rPr>
        <w:t>Christie</w:t>
      </w:r>
      <w:r>
        <w:rPr>
          <w:rFonts w:ascii="arial" w:eastAsia="arial" w:hAnsi="arial" w:cs="arial"/>
          <w:color w:val="000000"/>
          <w:sz w:val="20"/>
          <w:lang w:val="en-US" w:eastAsia="en-US" w:bidi="ar-SA"/>
        </w:rPr>
        <w:t>] Hall V.C. described a bare trustee 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trustee to whose office no duties were originally attached, or who, although such duties were originally attached to his office, would, on the requisition of his </w:t>
      </w:r>
      <w:r>
        <w:rPr>
          <w:rFonts w:ascii="arial" w:eastAsia="arial" w:hAnsi="arial" w:cs="arial"/>
          <w:i/>
          <w:color w:val="000000"/>
          <w:sz w:val="20"/>
          <w:lang w:val="en-US" w:eastAsia="en-US" w:bidi="ar-SA"/>
        </w:rPr>
        <w:t>cestuis que</w:t>
      </w:r>
      <w:r>
        <w:rPr>
          <w:rFonts w:ascii="arial" w:eastAsia="arial" w:hAnsi="arial" w:cs="arial"/>
          <w:color w:val="000000"/>
          <w:sz w:val="20"/>
          <w:lang w:val="en-US" w:eastAsia="en-US" w:bidi="ar-SA"/>
        </w:rPr>
        <w:t xml:space="preserve"> trust, be compellable in equity to convey the estate to them, or by their direction, and has been requested by them so to convey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360</w:t>
      </w:r>
      <w:r>
        <w:rPr>
          <w:rFonts w:ascii="arial" w:eastAsia="arial" w:hAnsi="arial" w:cs="arial"/>
          <w:color w:val="000000"/>
          <w:sz w:val="20"/>
          <w:lang w:val="en-US" w:eastAsia="en-US" w:bidi="ar-SA"/>
        </w:rPr>
        <w:t xml:space="preserve">  This court has cited </w:t>
      </w:r>
      <w:r>
        <w:rPr>
          <w:rFonts w:ascii="arial" w:eastAsia="arial" w:hAnsi="arial" w:cs="arial"/>
          <w:b/>
          <w:i/>
          <w:color w:val="000000"/>
          <w:sz w:val="20"/>
          <w:lang w:val="en-US" w:eastAsia="en-US" w:bidi="ar-SA"/>
        </w:rPr>
        <w:t>Christie</w:t>
      </w:r>
      <w:r>
        <w:rPr>
          <w:rFonts w:ascii="arial" w:eastAsia="arial" w:hAnsi="arial" w:cs="arial"/>
          <w:color w:val="000000"/>
          <w:sz w:val="20"/>
          <w:lang w:val="en-US" w:eastAsia="en-US" w:bidi="ar-SA"/>
        </w:rPr>
        <w:t xml:space="preserve"> with approval on the point: </w:t>
      </w:r>
      <w:r>
        <w:rPr>
          <w:rFonts w:ascii="arial" w:eastAsia="arial" w:hAnsi="arial" w:cs="arial"/>
          <w:b/>
          <w:i/>
          <w:color w:val="000000"/>
          <w:sz w:val="20"/>
          <w:lang w:val="en-US" w:eastAsia="en-US" w:bidi="ar-SA"/>
        </w:rPr>
        <w:t>G &amp; F Logging Co. v. British Columbia</w:t>
      </w:r>
      <w:r>
        <w:rPr>
          <w:rFonts w:ascii="arial" w:eastAsia="arial" w:hAnsi="arial" w:cs="arial"/>
          <w:color w:val="000000"/>
          <w:sz w:val="20"/>
          <w:lang w:val="en-US" w:eastAsia="en-US" w:bidi="ar-SA"/>
        </w:rPr>
        <w:t xml:space="preserve">, </w:t>
      </w:r>
      <w:hyperlink r:id="rId58" w:history="1">
        <w:r>
          <w:rPr>
            <w:rFonts w:ascii="arial" w:eastAsia="arial" w:hAnsi="arial" w:cs="arial"/>
            <w:i/>
            <w:color w:val="0077CC"/>
            <w:sz w:val="20"/>
            <w:u w:val="single"/>
            <w:shd w:val="clear" w:color="auto" w:fill="FFFFFF"/>
            <w:lang w:val="en-US" w:eastAsia="en-US" w:bidi="ar-SA"/>
          </w:rPr>
          <w:t>[1975] 1 W.W.R. 111</w:t>
        </w:r>
      </w:hyperlink>
      <w:r>
        <w:rPr>
          <w:rFonts w:ascii="arial" w:eastAsia="arial" w:hAnsi="arial" w:cs="arial"/>
          <w:color w:val="000000"/>
          <w:sz w:val="20"/>
          <w:lang w:val="en-US" w:eastAsia="en-US" w:bidi="ar-SA"/>
        </w:rPr>
        <w:t xml:space="preserve"> at 113 - 114 (B.C.S.C.). </w:t>
      </w:r>
      <w:r>
        <w:rPr>
          <w:rFonts w:ascii="arial" w:eastAsia="arial" w:hAnsi="arial" w:cs="arial"/>
          <w:b/>
          <w:i/>
          <w:color w:val="000000"/>
          <w:sz w:val="20"/>
          <w:lang w:val="en-US" w:eastAsia="en-US" w:bidi="ar-SA"/>
        </w:rPr>
        <w:t>Christie</w:t>
      </w:r>
      <w:r>
        <w:rPr>
          <w:rFonts w:ascii="arial" w:eastAsia="arial" w:hAnsi="arial" w:cs="arial"/>
          <w:color w:val="000000"/>
          <w:sz w:val="20"/>
          <w:lang w:val="en-US" w:eastAsia="en-US" w:bidi="ar-SA"/>
        </w:rPr>
        <w:t xml:space="preserve"> is authority for the proposition that a trust may grant a beneficiary the right to call for trust property. In this case, the right to call for Trust Property was a right Eida held as beneficiary.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361</w:t>
      </w:r>
      <w:r>
        <w:rPr>
          <w:rFonts w:ascii="arial" w:eastAsia="arial" w:hAnsi="arial" w:cs="arial"/>
          <w:color w:val="000000"/>
          <w:sz w:val="20"/>
          <w:lang w:val="en-US" w:eastAsia="en-US" w:bidi="ar-SA"/>
        </w:rPr>
        <w:t>  According to Alex, Eida had "absolute control" because, although the legal estate was in the Trustee, Eida could insist on the return of all the Trust Property should she choose to do so. As such, argued Alex, she held the whole equitable interest and could demand the return of the legal estate at any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362</w:t>
      </w:r>
      <w:r>
        <w:rPr>
          <w:rFonts w:ascii="arial" w:eastAsia="arial" w:hAnsi="arial" w:cs="arial"/>
          <w:color w:val="000000"/>
          <w:sz w:val="20"/>
          <w:lang w:val="en-US" w:eastAsia="en-US" w:bidi="ar-SA"/>
        </w:rPr>
        <w:t xml:space="preserve">  In my respectful view, that argument confounds the distinct rights of a power of appointment and a right in property. The difference between the two was made clear by Fry L.J. in </w:t>
      </w:r>
      <w:r>
        <w:rPr>
          <w:rFonts w:ascii="arial" w:eastAsia="arial" w:hAnsi="arial" w:cs="arial"/>
          <w:b/>
          <w:i/>
          <w:color w:val="000000"/>
          <w:sz w:val="20"/>
          <w:lang w:val="en-US" w:eastAsia="en-US" w:bidi="ar-SA"/>
        </w:rPr>
        <w:t>Ex Parte Gilchrist, Re Armstrong</w:t>
      </w:r>
      <w:r>
        <w:rPr>
          <w:rFonts w:ascii="arial" w:eastAsia="arial" w:hAnsi="arial" w:cs="arial"/>
          <w:color w:val="000000"/>
          <w:sz w:val="20"/>
          <w:lang w:val="en-US" w:eastAsia="en-US" w:bidi="ar-SA"/>
        </w:rPr>
        <w:t xml:space="preserve"> (1886), 17 Q.B.D. 521 (C.A.) at 531: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 two ideas can well be more distinct the one from the other than those of "property" and "power"... A "power" is an individual personal capacity of the donee of the power to do something. That it may result in property becoming vested in him is immaterial; the general nature of the power does not make it property. The power of a person to appoint an estate to himself is, in my judgment, no more his "property" than the power to write a book or to sing a song. The exercise of any one of those three powers may result in property, but in no sense which the law recognises are they "property". In one sense no doubt they may be called the "property" of the person in whom they are vested, because every special capacity of a person may be said to be his property; but they are not "property" within the meaning of that word as used in law. Not only in law but in equity the distinction between "power" and "property" is perfectly familiar, and I am almost ashamed to deal with such an elementary proposition.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363</w:t>
      </w:r>
      <w:r>
        <w:rPr>
          <w:rFonts w:ascii="arial" w:eastAsia="arial" w:hAnsi="arial" w:cs="arial"/>
          <w:color w:val="000000"/>
          <w:sz w:val="20"/>
          <w:lang w:val="en-US" w:eastAsia="en-US" w:bidi="ar-SA"/>
        </w:rPr>
        <w:t xml:space="preserve">  Eida did not have an equitable right to any Trust Property until, in accordance with paragraph 4.2 of the Trust Indenture, she called for some or all of the Trust Property to be transferred to her: "Eida Mordo shall be entitled to receive [Trust Property] </w:t>
      </w:r>
      <w:r>
        <w:rPr>
          <w:rFonts w:ascii="arial" w:eastAsia="arial" w:hAnsi="arial" w:cs="arial"/>
          <w:i/>
          <w:color w:val="000000"/>
          <w:sz w:val="20"/>
          <w:lang w:val="en-US" w:eastAsia="en-US" w:bidi="ar-SA"/>
        </w:rPr>
        <w:t>... at such time or times and in such manner</w:t>
      </w:r>
      <w:r>
        <w:rPr>
          <w:rFonts w:ascii="arial" w:eastAsia="arial" w:hAnsi="arial" w:cs="arial"/>
          <w:color w:val="000000"/>
          <w:sz w:val="20"/>
          <w:lang w:val="en-US" w:eastAsia="en-US" w:bidi="ar-SA"/>
        </w:rPr>
        <w:t xml:space="preserve"> as Eida </w:t>
      </w:r>
      <w:r>
        <w:rPr>
          <w:rFonts w:ascii="arial" w:eastAsia="arial" w:hAnsi="arial" w:cs="arial"/>
          <w:i/>
          <w:color w:val="000000"/>
          <w:sz w:val="20"/>
          <w:lang w:val="en-US" w:eastAsia="en-US" w:bidi="ar-SA"/>
        </w:rPr>
        <w:t>shall request</w:t>
      </w:r>
      <w:r>
        <w:rPr>
          <w:rFonts w:ascii="arial" w:eastAsia="arial" w:hAnsi="arial" w:cs="arial"/>
          <w:color w:val="000000"/>
          <w:sz w:val="20"/>
          <w:lang w:val="en-US" w:eastAsia="en-US" w:bidi="ar-SA"/>
        </w:rPr>
        <w:t>" (emphasis added). Thus, it is not correct to say that Eida had the whole equitable interest in the Trust Property. In fact, she had no equitable interest at all until she exercised her power of appointment. Moreover, Eida's power to call for Trust Property would terminate upon her becoming incompetent. In my view, Eida had no absolute right to the Trust Property. She had only the power, while of sound mind, to create for herself an equitable right in the Trust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364</w:t>
      </w:r>
      <w:r>
        <w:rPr>
          <w:rFonts w:ascii="arial" w:eastAsia="arial" w:hAnsi="arial" w:cs="arial"/>
          <w:color w:val="000000"/>
          <w:sz w:val="20"/>
          <w:lang w:val="en-US" w:eastAsia="en-US" w:bidi="ar-SA"/>
        </w:rPr>
        <w:t xml:space="preserve">  Alex relied on the </w:t>
      </w:r>
      <w:r>
        <w:rPr>
          <w:rFonts w:ascii="arial" w:eastAsia="arial" w:hAnsi="arial" w:cs="arial"/>
          <w:b/>
          <w:i/>
          <w:color w:val="000000"/>
          <w:sz w:val="20"/>
          <w:lang w:val="en-US" w:eastAsia="en-US" w:bidi="ar-SA"/>
        </w:rPr>
        <w:t>Hayton Article</w:t>
      </w:r>
      <w:r>
        <w:rPr>
          <w:rFonts w:ascii="arial" w:eastAsia="arial" w:hAnsi="arial" w:cs="arial"/>
          <w:color w:val="000000"/>
          <w:sz w:val="20"/>
          <w:lang w:val="en-US" w:eastAsia="en-US" w:bidi="ar-SA"/>
        </w:rPr>
        <w:t xml:space="preserve"> to support his argument that the Trust was not a properly constituted </w:t>
      </w:r>
      <w:r>
        <w:rPr>
          <w:rFonts w:ascii="arial" w:eastAsia="arial" w:hAnsi="arial" w:cs="arial"/>
          <w:i/>
          <w:color w:val="000000"/>
          <w:sz w:val="20"/>
          <w:lang w:val="en-US" w:eastAsia="en-US" w:bidi="ar-SA"/>
        </w:rPr>
        <w:t>inter vivos</w:t>
      </w:r>
      <w:r>
        <w:rPr>
          <w:rFonts w:ascii="arial" w:eastAsia="arial" w:hAnsi="arial" w:cs="arial"/>
          <w:color w:val="000000"/>
          <w:sz w:val="20"/>
          <w:lang w:val="en-US" w:eastAsia="en-US" w:bidi="ar-SA"/>
        </w:rPr>
        <w:t xml:space="preserve"> trust, because Eida had absolute control of the Trust Property until the moment of her death. I referred to the </w:t>
      </w:r>
      <w:r>
        <w:rPr>
          <w:rFonts w:ascii="arial" w:eastAsia="arial" w:hAnsi="arial" w:cs="arial"/>
          <w:b/>
          <w:i/>
          <w:color w:val="000000"/>
          <w:sz w:val="20"/>
          <w:lang w:val="en-US" w:eastAsia="en-US" w:bidi="ar-SA"/>
        </w:rPr>
        <w:t>Hayton Article</w:t>
      </w:r>
      <w:r>
        <w:rPr>
          <w:rFonts w:ascii="arial" w:eastAsia="arial" w:hAnsi="arial" w:cs="arial"/>
          <w:color w:val="000000"/>
          <w:sz w:val="20"/>
          <w:lang w:val="en-US" w:eastAsia="en-US" w:bidi="ar-SA"/>
        </w:rPr>
        <w:t xml:space="preserve">earlier with respect to a different issue. I will now deal with the article as it relates to the issue of whether the Trust was properly constituted as an </w:t>
      </w:r>
      <w:r>
        <w:rPr>
          <w:rFonts w:ascii="arial" w:eastAsia="arial" w:hAnsi="arial" w:cs="arial"/>
          <w:i/>
          <w:color w:val="000000"/>
          <w:sz w:val="20"/>
          <w:lang w:val="en-US" w:eastAsia="en-US" w:bidi="ar-SA"/>
        </w:rPr>
        <w:t>inter vivos</w:t>
      </w:r>
      <w:r>
        <w:rPr>
          <w:rFonts w:ascii="arial" w:eastAsia="arial" w:hAnsi="arial" w:cs="arial"/>
          <w:color w:val="000000"/>
          <w:sz w:val="20"/>
          <w:lang w:val="en-US" w:eastAsia="en-US" w:bidi="ar-SA"/>
        </w:rPr>
        <w:t xml:space="preserve">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365</w:t>
      </w:r>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Hayton Article</w:t>
      </w:r>
      <w:r>
        <w:rPr>
          <w:rFonts w:ascii="arial" w:eastAsia="arial" w:hAnsi="arial" w:cs="arial"/>
          <w:color w:val="000000"/>
          <w:sz w:val="20"/>
          <w:lang w:val="en-US" w:eastAsia="en-US" w:bidi="ar-SA"/>
        </w:rPr>
        <w:t xml:space="preserve"> is a slightly expanded version of a section in a chapter of David J. Hayton, </w:t>
      </w:r>
      <w:r>
        <w:rPr>
          <w:rFonts w:ascii="arial" w:eastAsia="arial" w:hAnsi="arial" w:cs="arial"/>
          <w:i/>
          <w:color w:val="000000"/>
          <w:sz w:val="20"/>
          <w:lang w:val="en-US" w:eastAsia="en-US" w:bidi="ar-SA"/>
        </w:rPr>
        <w:t>Underhill and Hayton, Law Relating to Trusts and Trustees</w:t>
      </w:r>
      <w:r>
        <w:rPr>
          <w:rFonts w:ascii="arial" w:eastAsia="arial" w:hAnsi="arial" w:cs="arial"/>
          <w:color w:val="000000"/>
          <w:sz w:val="20"/>
          <w:lang w:val="en-US" w:eastAsia="en-US" w:bidi="ar-SA"/>
        </w:rPr>
        <w:t>, 16th ed. (London: Butterworths, 2003) at 59 - 61 [</w:t>
      </w:r>
      <w:r>
        <w:rPr>
          <w:rFonts w:ascii="arial" w:eastAsia="arial" w:hAnsi="arial" w:cs="arial"/>
          <w:b/>
          <w:i/>
          <w:color w:val="000000"/>
          <w:sz w:val="20"/>
          <w:lang w:val="en-US" w:eastAsia="en-US" w:bidi="ar-SA"/>
        </w:rPr>
        <w:t>Underhill and Hayton</w:t>
      </w:r>
      <w:r>
        <w:rPr>
          <w:rFonts w:ascii="arial" w:eastAsia="arial" w:hAnsi="arial" w:cs="arial"/>
          <w:color w:val="000000"/>
          <w:sz w:val="20"/>
          <w:lang w:val="en-US" w:eastAsia="en-US" w:bidi="ar-SA"/>
        </w:rPr>
        <w:t xml:space="preserve">] dealing with sham trusts. I will deal with the argument concerning the proper constitution of the Trust by referring to the more readily available, and very similar, </w:t>
      </w:r>
      <w:r>
        <w:rPr>
          <w:rFonts w:ascii="arial" w:eastAsia="arial" w:hAnsi="arial" w:cs="arial"/>
          <w:b/>
          <w:i/>
          <w:color w:val="000000"/>
          <w:sz w:val="20"/>
          <w:lang w:val="en-US" w:eastAsia="en-US" w:bidi="ar-SA"/>
        </w:rPr>
        <w:t>Underhill and Hayton</w:t>
      </w:r>
      <w:r>
        <w:rPr>
          <w:rFonts w:ascii="arial" w:eastAsia="arial" w:hAnsi="arial" w:cs="arial"/>
          <w:color w:val="000000"/>
          <w:sz w:val="20"/>
          <w:lang w:val="en-US" w:eastAsia="en-US" w:bidi="ar-SA"/>
        </w:rPr>
        <w:t xml:space="preserve"> text.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366</w:t>
      </w:r>
      <w:r>
        <w:rPr>
          <w:rFonts w:ascii="arial" w:eastAsia="arial" w:hAnsi="arial" w:cs="arial"/>
          <w:color w:val="000000"/>
          <w:sz w:val="20"/>
          <w:lang w:val="en-US" w:eastAsia="en-US" w:bidi="ar-SA"/>
        </w:rPr>
        <w:t>  </w:t>
      </w:r>
      <w:r>
        <w:rPr>
          <w:rFonts w:ascii="arial" w:eastAsia="arial" w:hAnsi="arial" w:cs="arial"/>
          <w:b/>
          <w:i/>
          <w:color w:val="000000"/>
          <w:sz w:val="20"/>
          <w:lang w:val="en-US" w:eastAsia="en-US" w:bidi="ar-SA"/>
        </w:rPr>
        <w:t>Underhill and Hayton</w:t>
      </w:r>
      <w:r>
        <w:rPr>
          <w:rFonts w:ascii="arial" w:eastAsia="arial" w:hAnsi="arial" w:cs="arial"/>
          <w:color w:val="000000"/>
          <w:sz w:val="20"/>
          <w:lang w:val="en-US" w:eastAsia="en-US" w:bidi="ar-SA"/>
        </w:rPr>
        <w:t xml:space="preserve"> notes the following (citations omitted):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trust which appears on its face to be an active trust with sundry beneficiaries may be held to be a sham, so that, despite the appearance of creating equitable rights in others, the equitable beneficial ownership is intended to remain with the settlor and the agreed real duty of the trustee is only to manage and distribute the property as the settlor directs (</w:t>
      </w:r>
      <w:r>
        <w:rPr>
          <w:rFonts w:ascii="arial" w:eastAsia="arial" w:hAnsi="arial" w:cs="arial"/>
          <w:b/>
          <w:i/>
          <w:color w:val="000000"/>
          <w:sz w:val="20"/>
          <w:lang w:val="en-US" w:eastAsia="en-US" w:bidi="ar-SA"/>
        </w:rPr>
        <w:t>Underhill and Hayton</w:t>
      </w:r>
      <w:r>
        <w:rPr>
          <w:rFonts w:ascii="arial" w:eastAsia="arial" w:hAnsi="arial" w:cs="arial"/>
          <w:color w:val="000000"/>
          <w:sz w:val="20"/>
          <w:lang w:val="en-US" w:eastAsia="en-US" w:bidi="ar-SA"/>
        </w:rPr>
        <w:t xml:space="preserve"> at 59).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substance of the matter is that the settlor has all the rights, even if it appears that it is the beneficiaries who have all the rights (</w:t>
      </w:r>
      <w:r>
        <w:rPr>
          <w:rFonts w:ascii="arial" w:eastAsia="arial" w:hAnsi="arial" w:cs="arial"/>
          <w:b/>
          <w:i/>
          <w:color w:val="000000"/>
          <w:sz w:val="20"/>
          <w:lang w:val="en-US" w:eastAsia="en-US" w:bidi="ar-SA"/>
        </w:rPr>
        <w:t>Underhill and Hayton</w:t>
      </w:r>
      <w:r>
        <w:rPr>
          <w:rFonts w:ascii="arial" w:eastAsia="arial" w:hAnsi="arial" w:cs="arial"/>
          <w:color w:val="000000"/>
          <w:sz w:val="20"/>
          <w:lang w:val="en-US" w:eastAsia="en-US" w:bidi="ar-SA"/>
        </w:rPr>
        <w:t xml:space="preserve"> at 59).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Close attention must be paid to the terms of the trust. Thus where S transfers property to trustees on trust in S's lifetime to pay the income or capital to him or at his direction and, after his death, to hold the capital equally for his children or for such persons in such shares as S may designate in signed writing, the trustees will be holding the property to S's order, the full equitable interest remaining in him [i.e. S], with the purported disposition after his death being testamentary and void if not complying with the Wills Act ... By way of contrast, S would have formally divested himself of his equitable ownership if he had settled his property on trusts for others but had reserved a general power of appointment or a power of revocation: the trustees would not hold such property to the order of S until he ordered it in the exercise of his reserved power (</w:t>
      </w:r>
      <w:r>
        <w:rPr>
          <w:rFonts w:ascii="arial" w:eastAsia="arial" w:hAnsi="arial" w:cs="arial"/>
          <w:b/>
          <w:i/>
          <w:color w:val="000000"/>
          <w:sz w:val="20"/>
          <w:lang w:val="en-US" w:eastAsia="en-US" w:bidi="ar-SA"/>
        </w:rPr>
        <w:t>Underhill and Hayton</w:t>
      </w:r>
      <w:r>
        <w:rPr>
          <w:rFonts w:ascii="arial" w:eastAsia="arial" w:hAnsi="arial" w:cs="arial"/>
          <w:color w:val="000000"/>
          <w:sz w:val="20"/>
          <w:lang w:val="en-US" w:eastAsia="en-US" w:bidi="ar-SA"/>
        </w:rPr>
        <w:t xml:space="preserve"> at 60).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critical distinction between a trustee holding to the order of the settlor and a trustee holding to the order of the settlor only if the settlor orders is a fine one, which a trustee can easily overlook by treating itself as bound to do what the settlor directs, even though he [i.e. the settlor] has not exercised his power of appointment or revocation to recover full equitable ownership of the settled property (</w:t>
      </w:r>
      <w:r>
        <w:rPr>
          <w:rFonts w:ascii="arial" w:eastAsia="arial" w:hAnsi="arial" w:cs="arial"/>
          <w:b/>
          <w:i/>
          <w:color w:val="000000"/>
          <w:sz w:val="20"/>
          <w:lang w:val="en-US" w:eastAsia="en-US" w:bidi="ar-SA"/>
        </w:rPr>
        <w:t>Underhill and Hayton</w:t>
      </w:r>
      <w:r>
        <w:rPr>
          <w:rFonts w:ascii="arial" w:eastAsia="arial" w:hAnsi="arial" w:cs="arial"/>
          <w:color w:val="000000"/>
          <w:sz w:val="20"/>
          <w:lang w:val="en-US" w:eastAsia="en-US" w:bidi="ar-SA"/>
        </w:rPr>
        <w:t xml:space="preserve"> at 60).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367</w:t>
      </w:r>
      <w:r>
        <w:rPr>
          <w:rFonts w:ascii="arial" w:eastAsia="arial" w:hAnsi="arial" w:cs="arial"/>
          <w:color w:val="000000"/>
          <w:sz w:val="20"/>
          <w:lang w:val="en-US" w:eastAsia="en-US" w:bidi="ar-SA"/>
        </w:rPr>
        <w:t xml:space="preserve">  In the above excerpts, </w:t>
      </w:r>
      <w:r>
        <w:rPr>
          <w:rFonts w:ascii="arial" w:eastAsia="arial" w:hAnsi="arial" w:cs="arial"/>
          <w:b/>
          <w:i/>
          <w:color w:val="000000"/>
          <w:sz w:val="20"/>
          <w:lang w:val="en-US" w:eastAsia="en-US" w:bidi="ar-SA"/>
        </w:rPr>
        <w:t>Underhill and Hayton</w:t>
      </w:r>
      <w:r>
        <w:rPr>
          <w:rFonts w:ascii="arial" w:eastAsia="arial" w:hAnsi="arial" w:cs="arial"/>
          <w:color w:val="000000"/>
          <w:sz w:val="20"/>
          <w:lang w:val="en-US" w:eastAsia="en-US" w:bidi="ar-SA"/>
        </w:rPr>
        <w:t xml:space="preserve"> draws a distinction between a settlor who has the right to deal with the trust property without calling for the property from the trustee, and a settlor who has the power to call for trust property from the trustee. The former is an invalid </w:t>
      </w:r>
      <w:r>
        <w:rPr>
          <w:rFonts w:ascii="arial" w:eastAsia="arial" w:hAnsi="arial" w:cs="arial"/>
          <w:i/>
          <w:color w:val="000000"/>
          <w:sz w:val="20"/>
          <w:lang w:val="en-US" w:eastAsia="en-US" w:bidi="ar-SA"/>
        </w:rPr>
        <w:t>inter vivos</w:t>
      </w:r>
      <w:r>
        <w:rPr>
          <w:rFonts w:ascii="arial" w:eastAsia="arial" w:hAnsi="arial" w:cs="arial"/>
          <w:color w:val="000000"/>
          <w:sz w:val="20"/>
          <w:lang w:val="en-US" w:eastAsia="en-US" w:bidi="ar-SA"/>
        </w:rPr>
        <w:t xml:space="preserve"> trust; the latter is a properly constituted </w:t>
      </w:r>
      <w:r>
        <w:rPr>
          <w:rFonts w:ascii="arial" w:eastAsia="arial" w:hAnsi="arial" w:cs="arial"/>
          <w:i/>
          <w:color w:val="000000"/>
          <w:sz w:val="20"/>
          <w:lang w:val="en-US" w:eastAsia="en-US" w:bidi="ar-SA"/>
        </w:rPr>
        <w:t>inter vivos</w:t>
      </w:r>
      <w:r>
        <w:rPr>
          <w:rFonts w:ascii="arial" w:eastAsia="arial" w:hAnsi="arial" w:cs="arial"/>
          <w:color w:val="000000"/>
          <w:sz w:val="20"/>
          <w:lang w:val="en-US" w:eastAsia="en-US" w:bidi="ar-SA"/>
        </w:rPr>
        <w:t xml:space="preserve"> trust. The </w:t>
      </w:r>
      <w:r>
        <w:rPr>
          <w:rFonts w:ascii="arial" w:eastAsia="arial" w:hAnsi="arial" w:cs="arial"/>
          <w:b/>
          <w:i/>
          <w:color w:val="000000"/>
          <w:sz w:val="20"/>
          <w:lang w:val="en-US" w:eastAsia="en-US" w:bidi="ar-SA"/>
        </w:rPr>
        <w:t>Hayton Article</w:t>
      </w:r>
      <w:r>
        <w:rPr>
          <w:rFonts w:ascii="arial" w:eastAsia="arial" w:hAnsi="arial" w:cs="arial"/>
          <w:color w:val="000000"/>
          <w:sz w:val="20"/>
          <w:lang w:val="en-US" w:eastAsia="en-US" w:bidi="ar-SA"/>
        </w:rPr>
        <w:t xml:space="preserve"> makes the same point, noting at p. 4 that the trust described in the example is invalid because: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equitable interest in capital belongs to S in his lifetime, so that </w:t>
      </w:r>
      <w:r>
        <w:rPr>
          <w:rFonts w:ascii="arial" w:eastAsia="arial" w:hAnsi="arial" w:cs="arial"/>
          <w:i/>
          <w:color w:val="000000"/>
          <w:sz w:val="20"/>
          <w:lang w:val="en-US" w:eastAsia="en-US" w:bidi="ar-SA"/>
        </w:rPr>
        <w:t>without any formality</w:t>
      </w:r>
      <w:r>
        <w:rPr>
          <w:rFonts w:ascii="arial" w:eastAsia="arial" w:hAnsi="arial" w:cs="arial"/>
          <w:color w:val="000000"/>
          <w:sz w:val="20"/>
          <w:lang w:val="en-US" w:eastAsia="en-US" w:bidi="ar-SA"/>
        </w:rPr>
        <w:t xml:space="preserve"> (concerning the exercise of power of revocation or appointment) he can freely dispose of the settled property as he wishes.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368</w:t>
      </w:r>
      <w:r>
        <w:rPr>
          <w:rFonts w:ascii="arial" w:eastAsia="arial" w:hAnsi="arial" w:cs="arial"/>
          <w:color w:val="000000"/>
          <w:sz w:val="20"/>
          <w:lang w:val="en-US" w:eastAsia="en-US" w:bidi="ar-SA"/>
        </w:rPr>
        <w:t xml:space="preserve">  In other words, there is not a properly constituted </w:t>
      </w:r>
      <w:r>
        <w:rPr>
          <w:rFonts w:ascii="arial" w:eastAsia="arial" w:hAnsi="arial" w:cs="arial"/>
          <w:i/>
          <w:color w:val="000000"/>
          <w:sz w:val="20"/>
          <w:lang w:val="en-US" w:eastAsia="en-US" w:bidi="ar-SA"/>
        </w:rPr>
        <w:t>inter vivos</w:t>
      </w:r>
      <w:r>
        <w:rPr>
          <w:rFonts w:ascii="arial" w:eastAsia="arial" w:hAnsi="arial" w:cs="arial"/>
          <w:color w:val="000000"/>
          <w:sz w:val="20"/>
          <w:lang w:val="en-US" w:eastAsia="en-US" w:bidi="ar-SA"/>
        </w:rPr>
        <w:t xml:space="preserve"> trust unless the settlor is required to go through some formality to obtain the right to deal freely with the property, as distinct from retaining outright the right to deal freely with the property. The rights held by the settlor are determinative and are defined by the trust document. The examples of the settlor having reserved excessive rights are almost identical in </w:t>
      </w:r>
      <w:r>
        <w:rPr>
          <w:rFonts w:ascii="arial" w:eastAsia="arial" w:hAnsi="arial" w:cs="arial"/>
          <w:b/>
          <w:i/>
          <w:color w:val="000000"/>
          <w:sz w:val="20"/>
          <w:lang w:val="en-US" w:eastAsia="en-US" w:bidi="ar-SA"/>
        </w:rPr>
        <w:t>Underhill and Hayton</w:t>
      </w:r>
      <w:r>
        <w:rPr>
          <w:rFonts w:ascii="arial" w:eastAsia="arial" w:hAnsi="arial" w:cs="arial"/>
          <w:color w:val="000000"/>
          <w:sz w:val="20"/>
          <w:lang w:val="en-US" w:eastAsia="en-US" w:bidi="ar-SA"/>
        </w:rPr>
        <w:t xml:space="preserve"> at 60 and the </w:t>
      </w:r>
      <w:r>
        <w:rPr>
          <w:rFonts w:ascii="arial" w:eastAsia="arial" w:hAnsi="arial" w:cs="arial"/>
          <w:b/>
          <w:i/>
          <w:color w:val="000000"/>
          <w:sz w:val="20"/>
          <w:lang w:val="en-US" w:eastAsia="en-US" w:bidi="ar-SA"/>
        </w:rPr>
        <w:t>Hayton Article</w:t>
      </w:r>
      <w:r>
        <w:rPr>
          <w:rFonts w:ascii="arial" w:eastAsia="arial" w:hAnsi="arial" w:cs="arial"/>
          <w:color w:val="000000"/>
          <w:sz w:val="20"/>
          <w:lang w:val="en-US" w:eastAsia="en-US" w:bidi="ar-SA"/>
        </w:rPr>
        <w:t xml:space="preserve"> at 4. For ease of reference I will again reproduce the example from </w:t>
      </w:r>
      <w:r>
        <w:rPr>
          <w:rFonts w:ascii="arial" w:eastAsia="arial" w:hAnsi="arial" w:cs="arial"/>
          <w:b/>
          <w:i/>
          <w:color w:val="000000"/>
          <w:sz w:val="20"/>
          <w:lang w:val="en-US" w:eastAsia="en-US" w:bidi="ar-SA"/>
        </w:rPr>
        <w:t>Underhill and Hayton</w:t>
      </w:r>
      <w:r>
        <w:rPr>
          <w:rFonts w:ascii="arial" w:eastAsia="arial" w:hAnsi="arial" w:cs="arial"/>
          <w:color w:val="000000"/>
          <w:sz w:val="20"/>
          <w:lang w:val="en-US" w:eastAsia="en-US" w:bidi="ar-SA"/>
        </w:rPr>
        <w:t xml:space="preserve"> at 60: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 transfers property to trustees on trust in S's lifetime to pay the income or capital to him or at his direction and, after his death, to hold the capital equally for his children or for such persons in such shares as S may designate in signed writing.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369</w:t>
      </w:r>
      <w:r>
        <w:rPr>
          <w:rFonts w:ascii="arial" w:eastAsia="arial" w:hAnsi="arial" w:cs="arial"/>
          <w:color w:val="000000"/>
          <w:sz w:val="20"/>
          <w:lang w:val="en-US" w:eastAsia="en-US" w:bidi="ar-SA"/>
        </w:rPr>
        <w:t>  The above example is an improperly constituted trust because the settlor has the unrestricted power to dispose of the trust property as he wishes during his lifetime. There is no provision requiring the settlor to exercise his power of appointment in order to recover full equitable ownership of the settled property. It also gives the settlor the option to designate, at some later time, what will ultimately happen to the property. In short, the settlor has retained the whole equitable interest in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370</w:t>
      </w:r>
      <w:r>
        <w:rPr>
          <w:rFonts w:ascii="arial" w:eastAsia="arial" w:hAnsi="arial" w:cs="arial"/>
          <w:color w:val="000000"/>
          <w:sz w:val="20"/>
          <w:lang w:val="en-US" w:eastAsia="en-US" w:bidi="ar-SA"/>
        </w:rPr>
        <w:t xml:space="preserve">  That is not the case with the Trust. Paragraph 4.2 of the Trust Indenture required that Eida "request" the transfer of the Trust Property to her. The Trust complied with the requirement discussed in </w:t>
      </w:r>
      <w:r>
        <w:rPr>
          <w:rFonts w:ascii="arial" w:eastAsia="arial" w:hAnsi="arial" w:cs="arial"/>
          <w:b/>
          <w:i/>
          <w:color w:val="000000"/>
          <w:sz w:val="20"/>
          <w:lang w:val="en-US" w:eastAsia="en-US" w:bidi="ar-SA"/>
        </w:rPr>
        <w:t>Underhill and Hayton</w:t>
      </w:r>
      <w:r>
        <w:rPr>
          <w:rFonts w:ascii="arial" w:eastAsia="arial" w:hAnsi="arial" w:cs="arial"/>
          <w:color w:val="000000"/>
          <w:sz w:val="20"/>
          <w:lang w:val="en-US" w:eastAsia="en-US" w:bidi="ar-SA"/>
        </w:rPr>
        <w:t xml:space="preserve"> that, in order to be properly constituted, the settlor must exercise the formality of calling for the Trust Property from the Trustee.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371</w:t>
      </w:r>
      <w:r>
        <w:rPr>
          <w:rFonts w:ascii="arial" w:eastAsia="arial" w:hAnsi="arial" w:cs="arial"/>
          <w:color w:val="000000"/>
          <w:sz w:val="20"/>
          <w:lang w:val="en-US" w:eastAsia="en-US" w:bidi="ar-SA"/>
        </w:rPr>
        <w:t xml:space="preserve">  The analysis of Professor Hayton (in both the </w:t>
      </w:r>
      <w:r>
        <w:rPr>
          <w:rFonts w:ascii="arial" w:eastAsia="arial" w:hAnsi="arial" w:cs="arial"/>
          <w:b/>
          <w:i/>
          <w:color w:val="000000"/>
          <w:sz w:val="20"/>
          <w:lang w:val="en-US" w:eastAsia="en-US" w:bidi="ar-SA"/>
        </w:rPr>
        <w:t>Hayton Article</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Underhill and Hayton</w:t>
      </w:r>
      <w:r>
        <w:rPr>
          <w:rFonts w:ascii="arial" w:eastAsia="arial" w:hAnsi="arial" w:cs="arial"/>
          <w:color w:val="000000"/>
          <w:sz w:val="20"/>
          <w:lang w:val="en-US" w:eastAsia="en-US" w:bidi="ar-SA"/>
        </w:rPr>
        <w:t>) is consistent with the conclusion of Fry L.J. that a power is not a right in property. Both authorities conclude that the beneficiary must exercise his or her power by actually calling for the property before any right to the property is created. Eida's power to appoint Trust Property to herself did not give her any rights in the Trust Property nor the unrestricted power to dispose of it. The power to appoint merely gave her the ability to create for herself an equitable right in some or all of the Trust Property by calling for its return from the Trustees. For that reason, in my view, Eida did not have absolute control of, or full equitable title to, the Trust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372</w:t>
      </w:r>
      <w:r>
        <w:rPr>
          <w:rFonts w:ascii="arial" w:eastAsia="arial" w:hAnsi="arial" w:cs="arial"/>
          <w:color w:val="000000"/>
          <w:sz w:val="20"/>
          <w:lang w:val="en-US" w:eastAsia="en-US" w:bidi="ar-SA"/>
        </w:rPr>
        <w:t>  The fact that Eida's powers of appointment could be cut short in the event of her medical incompetence is one more indication that Eida did not maintain, or intend to maintain, control over the Trust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373</w:t>
      </w:r>
      <w:r>
        <w:rPr>
          <w:rFonts w:ascii="arial" w:eastAsia="arial" w:hAnsi="arial" w:cs="arial"/>
          <w:color w:val="000000"/>
          <w:sz w:val="20"/>
          <w:lang w:val="en-US" w:eastAsia="en-US" w:bidi="ar-SA"/>
        </w:rPr>
        <w:t xml:space="preserve">  Alex argued that Mr. Wilson was not a Trustee, but merely Eida's agent. He relied on the decision of </w:t>
      </w:r>
      <w:r>
        <w:rPr>
          <w:rFonts w:ascii="arial" w:eastAsia="arial" w:hAnsi="arial" w:cs="arial"/>
          <w:b/>
          <w:i/>
          <w:color w:val="000000"/>
          <w:sz w:val="20"/>
          <w:lang w:val="en-US" w:eastAsia="en-US" w:bidi="ar-SA"/>
        </w:rPr>
        <w:t>Trident Holdings Ltd. v. Dannard</w:t>
      </w:r>
      <w:r>
        <w:rPr>
          <w:rFonts w:ascii="arial" w:eastAsia="arial" w:hAnsi="arial" w:cs="arial"/>
          <w:color w:val="000000"/>
          <w:sz w:val="20"/>
          <w:lang w:val="en-US" w:eastAsia="en-US" w:bidi="ar-SA"/>
        </w:rPr>
        <w:t xml:space="preserve">, </w:t>
      </w:r>
      <w:hyperlink r:id="rId59" w:history="1">
        <w:r>
          <w:rPr>
            <w:rFonts w:ascii="arial" w:eastAsia="arial" w:hAnsi="arial" w:cs="arial"/>
            <w:i/>
            <w:color w:val="0077CC"/>
            <w:sz w:val="20"/>
            <w:u w:val="single"/>
            <w:shd w:val="clear" w:color="auto" w:fill="FFFFFF"/>
            <w:lang w:val="en-US" w:eastAsia="en-US" w:bidi="ar-SA"/>
          </w:rPr>
          <w:t>[1988] 49 D.L.R. (4th) 1</w:t>
        </w:r>
      </w:hyperlink>
      <w:r>
        <w:rPr>
          <w:rFonts w:ascii="arial" w:eastAsia="arial" w:hAnsi="arial" w:cs="arial"/>
          <w:color w:val="000000"/>
          <w:sz w:val="20"/>
          <w:lang w:val="en-US" w:eastAsia="en-US" w:bidi="ar-SA"/>
        </w:rPr>
        <w:t xml:space="preserve"> (Ont. C.A.) [</w:t>
      </w:r>
      <w:r>
        <w:rPr>
          <w:rFonts w:ascii="arial" w:eastAsia="arial" w:hAnsi="arial" w:cs="arial"/>
          <w:b/>
          <w:i/>
          <w:color w:val="000000"/>
          <w:sz w:val="20"/>
          <w:lang w:val="en-US" w:eastAsia="en-US" w:bidi="ar-SA"/>
        </w:rPr>
        <w:t>Trident</w:t>
      </w:r>
      <w:r>
        <w:rPr>
          <w:rFonts w:ascii="arial" w:eastAsia="arial" w:hAnsi="arial" w:cs="arial"/>
          <w:color w:val="000000"/>
          <w:sz w:val="20"/>
          <w:lang w:val="en-US" w:eastAsia="en-US" w:bidi="ar-SA"/>
        </w:rPr>
        <w:t xml:space="preserve">] for the proposition that the same person may be both agent and trustee, and, where this occurs, the law of agency prevails. Reliance was placed specifically on </w:t>
      </w:r>
      <w:r>
        <w:rPr>
          <w:rFonts w:ascii="arial" w:eastAsia="arial" w:hAnsi="arial" w:cs="arial"/>
          <w:b/>
          <w:i/>
          <w:color w:val="000000"/>
          <w:sz w:val="20"/>
          <w:lang w:val="en-US" w:eastAsia="en-US" w:bidi="ar-SA"/>
        </w:rPr>
        <w:t>Trident</w:t>
      </w:r>
      <w:r>
        <w:rPr>
          <w:rFonts w:ascii="arial" w:eastAsia="arial" w:hAnsi="arial" w:cs="arial"/>
          <w:color w:val="000000"/>
          <w:sz w:val="20"/>
          <w:lang w:val="en-US" w:eastAsia="en-US" w:bidi="ar-SA"/>
        </w:rPr>
        <w:t xml:space="preserve"> at 9 - 10 which includes the following quotations from Austin W. Scott &amp; William F. Fratcher, </w:t>
      </w:r>
      <w:r>
        <w:rPr>
          <w:rFonts w:ascii="arial" w:eastAsia="arial" w:hAnsi="arial" w:cs="arial"/>
          <w:i/>
          <w:color w:val="000000"/>
          <w:sz w:val="20"/>
          <w:lang w:val="en-US" w:eastAsia="en-US" w:bidi="ar-SA"/>
        </w:rPr>
        <w:t>The Law of Trusts</w:t>
      </w:r>
      <w:r>
        <w:rPr>
          <w:rFonts w:ascii="arial" w:eastAsia="arial" w:hAnsi="arial" w:cs="arial"/>
          <w:color w:val="000000"/>
          <w:sz w:val="20"/>
          <w:lang w:val="en-US" w:eastAsia="en-US" w:bidi="ar-SA"/>
        </w:rPr>
        <w:t>, 4th ed. (Boston: Little, Brown and Company,1987):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 agent acts for, and on behalf of, his principal and subject to his control; a trustee as such is not subject to the control of his beneficiary, although he is under a duty to deal with the trust property for the latter's benefit in accordance with the terms of the trust, and can be compelled by the beneficiary to perform this duty. The agent owes a duty of obedience to his principal; a trustee is under a duty to conform to the terms of the trust [Vol. 1 at 88].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person may be both agent of and trustee for another. If he undertakes to act </w:t>
      </w:r>
      <w:r>
        <w:rPr>
          <w:rFonts w:ascii="arial" w:eastAsia="arial" w:hAnsi="arial" w:cs="arial"/>
          <w:i/>
          <w:color w:val="000000"/>
          <w:sz w:val="20"/>
          <w:lang w:val="en-US" w:eastAsia="en-US" w:bidi="ar-SA"/>
        </w:rPr>
        <w:t>on behalf of the other</w:t>
      </w:r>
      <w:r>
        <w:rPr>
          <w:rFonts w:ascii="arial" w:eastAsia="arial" w:hAnsi="arial" w:cs="arial"/>
          <w:color w:val="000000"/>
          <w:sz w:val="20"/>
          <w:lang w:val="en-US" w:eastAsia="en-US" w:bidi="ar-SA"/>
        </w:rPr>
        <w:t xml:space="preserve"> and subject to his control he is an agent; but if he is vested with the title to property that he holds for his principal, he is also a trustee. In such a case, however, it is the agency relation that predominates, and the principles of agency, rather than the principles of trust, are applicable [Vol. 1 at 95]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374</w:t>
      </w:r>
      <w:r>
        <w:rPr>
          <w:rFonts w:ascii="arial" w:eastAsia="arial" w:hAnsi="arial" w:cs="arial"/>
          <w:color w:val="000000"/>
          <w:sz w:val="20"/>
          <w:lang w:val="en-US" w:eastAsia="en-US" w:bidi="ar-SA"/>
        </w:rPr>
        <w:t>  That argument supposes the Trust Indenture was in fact an agency agreement instructing Mr. Wilson, as Eida's agent, to transfer the Trust Property to Viviane after Eida's death in the event Eida did not call for it while she was alive. However, under the Trust Indenture, Mr. Wilson did not undertake to act "on behalf of" Eida. On the contrary, Mr. Wilson undertook to deal with the Trust Property in accordance with the Trust Indenture. Mr. Wilson was not at liberty to comply with just any instructions Eida gave regarding the Trust Property, as would an agent. Rather, Mr. Wilson was obligated to comply with Eida's instructions only insofar as they complied with the Trust Indenture. Whereas an agent can accept any modification to instructions given by his or her principal, Mr. Wilson was restricted by the Trust Indenture.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375</w:t>
      </w:r>
      <w:r>
        <w:rPr>
          <w:rFonts w:ascii="arial" w:eastAsia="arial" w:hAnsi="arial" w:cs="arial"/>
          <w:color w:val="000000"/>
          <w:sz w:val="20"/>
          <w:lang w:val="en-US" w:eastAsia="en-US" w:bidi="ar-SA"/>
        </w:rPr>
        <w:t xml:space="preserve">  This distinction between an agent and a trustee was explained in </w:t>
      </w:r>
      <w:r>
        <w:rPr>
          <w:rFonts w:ascii="arial" w:eastAsia="arial" w:hAnsi="arial" w:cs="arial"/>
          <w:b/>
          <w:i/>
          <w:color w:val="000000"/>
          <w:sz w:val="20"/>
          <w:lang w:val="en-US" w:eastAsia="en-US" w:bidi="ar-SA"/>
        </w:rPr>
        <w:t>Ingram v. I.R.C.</w:t>
      </w:r>
      <w:r>
        <w:rPr>
          <w:rFonts w:ascii="arial" w:eastAsia="arial" w:hAnsi="arial" w:cs="arial"/>
          <w:color w:val="000000"/>
          <w:sz w:val="20"/>
          <w:lang w:val="en-US" w:eastAsia="en-US" w:bidi="ar-SA"/>
        </w:rPr>
        <w:t>, [1997] 4 All E.R. 395 (C.A.):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solicitor] was not independent of [the beneficiary], but neither was he a mere cypher. His duty was "to deal with the land as [the beneficiary] might direct". He was bound to convey the land to her or to whom she might direct. </w:t>
      </w:r>
      <w:r>
        <w:rPr>
          <w:rFonts w:ascii="arial" w:eastAsia="arial" w:hAnsi="arial" w:cs="arial"/>
          <w:i/>
          <w:color w:val="000000"/>
          <w:sz w:val="20"/>
          <w:lang w:val="en-US" w:eastAsia="en-US" w:bidi="ar-SA"/>
        </w:rPr>
        <w:t>But he was not bound to comply with other directions which she might give</w:t>
      </w:r>
      <w:r>
        <w:rPr>
          <w:rFonts w:ascii="arial" w:eastAsia="arial" w:hAnsi="arial" w:cs="arial"/>
          <w:color w:val="000000"/>
          <w:sz w:val="20"/>
          <w:lang w:val="en-US" w:eastAsia="en-US" w:bidi="ar-SA"/>
        </w:rPr>
        <w:t xml:space="preserve"> (Millet L.J. at 424d dissenting. Millet's views on this point were adopted in by the House of Lords on appeal: [2000] 1 A.C. 293 at 305D-H and 310G (H.L.)).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376</w:t>
      </w:r>
      <w:r>
        <w:rPr>
          <w:rFonts w:ascii="arial" w:eastAsia="arial" w:hAnsi="arial" w:cs="arial"/>
          <w:color w:val="000000"/>
          <w:sz w:val="20"/>
          <w:lang w:val="en-US" w:eastAsia="en-US" w:bidi="ar-SA"/>
        </w:rPr>
        <w:t>  Mr. Wilson was bound to comply only with directions Eida gave in accordance with the Trust Indenture. He was, for example, bound to comply with directions made by Eida pursuant to her powers of appointment under 4.2 of the Trust Indenture. In doing so, Mr. Wilson was not acting as Eida's agent, but as a Trustee.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377</w:t>
      </w:r>
      <w:r>
        <w:rPr>
          <w:rFonts w:ascii="arial" w:eastAsia="arial" w:hAnsi="arial" w:cs="arial"/>
          <w:color w:val="000000"/>
          <w:sz w:val="20"/>
          <w:lang w:val="en-US" w:eastAsia="en-US" w:bidi="ar-SA"/>
        </w:rPr>
        <w:t>  Eida retained the right to appoint additional Trustees and to remove existing Trustees (Trust Indenture paragraph 6.9). However, trust law allows a settlor to retain such powers: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settlor of a trust can reserve any power to itself that it wishes provided the reservation is made at the time the trust is created. A settlor may choose to maintain the right to appoint trustees, to change the beneficiaries of the trust, or to withdraw the trust property. Generally, however, the transfer of the trust property to the trustees is absolute. Any power of control of that property will be lost unless the transfer is expressly made subject to it (</w:t>
      </w:r>
      <w:r>
        <w:rPr>
          <w:rFonts w:ascii="arial" w:eastAsia="arial" w:hAnsi="arial" w:cs="arial"/>
          <w:b/>
          <w:i/>
          <w:color w:val="000000"/>
          <w:sz w:val="20"/>
          <w:lang w:val="en-US" w:eastAsia="en-US" w:bidi="ar-SA"/>
        </w:rPr>
        <w:t>Schmidt</w:t>
      </w:r>
      <w:r>
        <w:rPr>
          <w:rFonts w:ascii="arial" w:eastAsia="arial" w:hAnsi="arial" w:cs="arial"/>
          <w:color w:val="000000"/>
          <w:sz w:val="20"/>
          <w:lang w:val="en-US" w:eastAsia="en-US" w:bidi="ar-SA"/>
        </w:rPr>
        <w:t xml:space="preserve"> at 657).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378</w:t>
      </w:r>
      <w:r>
        <w:rPr>
          <w:rFonts w:ascii="arial" w:eastAsia="arial" w:hAnsi="arial" w:cs="arial"/>
          <w:color w:val="000000"/>
          <w:sz w:val="20"/>
          <w:lang w:val="en-US" w:eastAsia="en-US" w:bidi="ar-SA"/>
        </w:rPr>
        <w:t xml:space="preserve">  The authors of </w:t>
      </w:r>
      <w:r>
        <w:rPr>
          <w:rFonts w:ascii="arial" w:eastAsia="arial" w:hAnsi="arial" w:cs="arial"/>
          <w:b/>
          <w:i/>
          <w:color w:val="000000"/>
          <w:sz w:val="20"/>
          <w:lang w:val="en-US" w:eastAsia="en-US" w:bidi="ar-SA"/>
        </w:rPr>
        <w:t>Underhill and Hayton</w:t>
      </w:r>
      <w:r>
        <w:rPr>
          <w:rFonts w:ascii="arial" w:eastAsia="arial" w:hAnsi="arial" w:cs="arial"/>
          <w:color w:val="000000"/>
          <w:sz w:val="20"/>
          <w:lang w:val="en-US" w:eastAsia="en-US" w:bidi="ar-SA"/>
        </w:rPr>
        <w:t xml:space="preserve"> give an example of the type of clause that may be inserted in a trust to neutralise the rights of the beneficiaries and protect the ability of the settlor to control the trust: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[D]uring the settlor's lifetime, the trustees in no circumstances are under any duty to the beneficiaries and are always to be exempt from any liabilities howsoever arising to such beneficiaries (</w:t>
      </w:r>
      <w:r>
        <w:rPr>
          <w:rFonts w:ascii="arial" w:eastAsia="arial" w:hAnsi="arial" w:cs="arial"/>
          <w:b/>
          <w:i/>
          <w:color w:val="000000"/>
          <w:sz w:val="20"/>
          <w:lang w:val="en-US" w:eastAsia="en-US" w:bidi="ar-SA"/>
        </w:rPr>
        <w:t>Underhill and Hayton</w:t>
      </w:r>
      <w:r>
        <w:rPr>
          <w:rFonts w:ascii="arial" w:eastAsia="arial" w:hAnsi="arial" w:cs="arial"/>
          <w:color w:val="000000"/>
          <w:sz w:val="20"/>
          <w:lang w:val="en-US" w:eastAsia="en-US" w:bidi="ar-SA"/>
        </w:rPr>
        <w:t xml:space="preserve"> at 60).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379</w:t>
      </w:r>
      <w:r>
        <w:rPr>
          <w:rFonts w:ascii="arial" w:eastAsia="arial" w:hAnsi="arial" w:cs="arial"/>
          <w:color w:val="000000"/>
          <w:sz w:val="20"/>
          <w:lang w:val="en-US" w:eastAsia="en-US" w:bidi="ar-SA"/>
        </w:rPr>
        <w:t xml:space="preserve">  There is no similar clause in the Trust Indenture. To the contrary, under paragraph 6.1, the Trustees are generally liable to the beneficiaries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There is no indication that the Trustees were relieved of the fiduciary duty that ordinarily exists between trustees and beneficiaries.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380</w:t>
      </w:r>
      <w:r>
        <w:rPr>
          <w:rFonts w:ascii="arial" w:eastAsia="arial" w:hAnsi="arial" w:cs="arial"/>
          <w:color w:val="000000"/>
          <w:sz w:val="20"/>
          <w:lang w:val="en-US" w:eastAsia="en-US" w:bidi="ar-SA"/>
        </w:rPr>
        <w:t>  The argument that the Trust was improperly constituted must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Is the Trust void on Public policy grounds?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381</w:t>
      </w:r>
      <w:r>
        <w:rPr>
          <w:rFonts w:ascii="arial" w:eastAsia="arial" w:hAnsi="arial" w:cs="arial"/>
          <w:color w:val="000000"/>
          <w:sz w:val="20"/>
          <w:lang w:val="en-US" w:eastAsia="en-US" w:bidi="ar-SA"/>
        </w:rPr>
        <w:t xml:space="preserve">  According to Alex, the Trust was a device employed by Eida and her solicitor to defeat his anticipated </w:t>
      </w:r>
      <w:r>
        <w:rPr>
          <w:rFonts w:ascii="arial" w:eastAsia="arial" w:hAnsi="arial" w:cs="arial"/>
          <w:b/>
          <w:i/>
          <w:color w:val="000000"/>
          <w:sz w:val="20"/>
          <w:lang w:val="en-US" w:eastAsia="en-US" w:bidi="ar-SA"/>
        </w:rPr>
        <w:t>WVA</w:t>
      </w:r>
      <w:r>
        <w:rPr>
          <w:rFonts w:ascii="arial" w:eastAsia="arial" w:hAnsi="arial" w:cs="arial"/>
          <w:color w:val="000000"/>
          <w:sz w:val="20"/>
          <w:lang w:val="en-US" w:eastAsia="en-US" w:bidi="ar-SA"/>
        </w:rPr>
        <w:t xml:space="preserve"> claim. Alex argued, on public policy considerations, that the court cannot uphold the Trust as an </w:t>
      </w:r>
      <w:r>
        <w:rPr>
          <w:rFonts w:ascii="arial" w:eastAsia="arial" w:hAnsi="arial" w:cs="arial"/>
          <w:i/>
          <w:color w:val="000000"/>
          <w:sz w:val="20"/>
          <w:lang w:val="en-US" w:eastAsia="en-US" w:bidi="ar-SA"/>
        </w:rPr>
        <w:t>inter vivos</w:t>
      </w:r>
      <w:r>
        <w:rPr>
          <w:rFonts w:ascii="arial" w:eastAsia="arial" w:hAnsi="arial" w:cs="arial"/>
          <w:color w:val="000000"/>
          <w:sz w:val="20"/>
          <w:lang w:val="en-US" w:eastAsia="en-US" w:bidi="ar-SA"/>
        </w:rPr>
        <w:t xml:space="preserve"> transaction because to do so would be to neuter the </w:t>
      </w:r>
      <w:r>
        <w:rPr>
          <w:rFonts w:ascii="arial" w:eastAsia="arial" w:hAnsi="arial" w:cs="arial"/>
          <w:b/>
          <w:i/>
          <w:color w:val="000000"/>
          <w:sz w:val="20"/>
          <w:lang w:val="en-US" w:eastAsia="en-US" w:bidi="ar-SA"/>
        </w:rPr>
        <w:t>Probate Fee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1999, c. 4</w:t>
      </w:r>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WVA</w:t>
      </w:r>
      <w:r>
        <w:rPr>
          <w:rFonts w:ascii="arial" w:eastAsia="arial" w:hAnsi="arial" w:cs="arial"/>
          <w:color w:val="000000"/>
          <w:sz w:val="20"/>
          <w:lang w:val="en-US" w:eastAsia="en-US" w:bidi="ar-SA"/>
        </w:rPr>
        <w:t xml:space="preserve"> and the </w:t>
      </w:r>
      <w:r>
        <w:rPr>
          <w:rFonts w:ascii="arial" w:eastAsia="arial" w:hAnsi="arial" w:cs="arial"/>
          <w:b/>
          <w:i/>
          <w:color w:val="000000"/>
          <w:sz w:val="20"/>
          <w:lang w:val="en-US" w:eastAsia="en-US" w:bidi="ar-SA"/>
        </w:rPr>
        <w:t>Wills Act</w:t>
      </w:r>
      <w:r>
        <w:rPr>
          <w:rFonts w:ascii="arial" w:eastAsia="arial" w:hAnsi="arial" w:cs="arial"/>
          <w:color w:val="000000"/>
          <w:sz w:val="20"/>
          <w:lang w:val="en-US" w:eastAsia="en-US" w:bidi="ar-SA"/>
        </w:rPr>
        <w:t xml:space="preserve">. I cannot agree. </w:t>
      </w:r>
      <w:r>
        <w:rPr>
          <w:rFonts w:ascii="arial" w:eastAsia="arial" w:hAnsi="arial" w:cs="arial"/>
          <w:i/>
          <w:color w:val="000000"/>
          <w:sz w:val="20"/>
          <w:lang w:val="en-US" w:eastAsia="en-US" w:bidi="ar-SA"/>
        </w:rPr>
        <w:t>Inter vivos</w:t>
      </w:r>
      <w:r>
        <w:rPr>
          <w:rFonts w:ascii="arial" w:eastAsia="arial" w:hAnsi="arial" w:cs="arial"/>
          <w:color w:val="000000"/>
          <w:sz w:val="20"/>
          <w:lang w:val="en-US" w:eastAsia="en-US" w:bidi="ar-SA"/>
        </w:rPr>
        <w:t xml:space="preserve"> trusts, including alter ego trusts, are standard estate planning tools. As noted in </w:t>
      </w:r>
      <w:r>
        <w:rPr>
          <w:rFonts w:ascii="arial" w:eastAsia="arial" w:hAnsi="arial" w:cs="arial"/>
          <w:b/>
          <w:color w:val="000000"/>
          <w:sz w:val="20"/>
          <w:lang w:val="en-US" w:eastAsia="en-US" w:bidi="ar-SA"/>
        </w:rPr>
        <w:t>Waters</w:t>
      </w:r>
      <w:r>
        <w:rPr>
          <w:rFonts w:ascii="arial" w:eastAsia="arial" w:hAnsi="arial" w:cs="arial"/>
          <w:color w:val="000000"/>
          <w:sz w:val="20"/>
          <w:lang w:val="en-US" w:eastAsia="en-US" w:bidi="ar-SA"/>
        </w:rPr>
        <w:t xml:space="preserve"> at 593 - 594, trusts are often used to avoid probate fees and achieve other legitimate estate planning objectives.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382</w:t>
      </w:r>
      <w:r>
        <w:rPr>
          <w:rFonts w:ascii="arial" w:eastAsia="arial" w:hAnsi="arial" w:cs="arial"/>
          <w:color w:val="000000"/>
          <w:sz w:val="20"/>
          <w:lang w:val="en-US" w:eastAsia="en-US" w:bidi="ar-SA"/>
        </w:rPr>
        <w:t xml:space="preserve">  The issue of arranging one's affairs to avoid possible claims under the </w:t>
      </w:r>
      <w:r>
        <w:rPr>
          <w:rFonts w:ascii="arial" w:eastAsia="arial" w:hAnsi="arial" w:cs="arial"/>
          <w:b/>
          <w:i/>
          <w:color w:val="000000"/>
          <w:sz w:val="20"/>
          <w:lang w:val="en-US" w:eastAsia="en-US" w:bidi="ar-SA"/>
        </w:rPr>
        <w:t>WVA</w:t>
      </w:r>
      <w:r>
        <w:rPr>
          <w:rFonts w:ascii="arial" w:eastAsia="arial" w:hAnsi="arial" w:cs="arial"/>
          <w:color w:val="000000"/>
          <w:sz w:val="20"/>
          <w:lang w:val="en-US" w:eastAsia="en-US" w:bidi="ar-SA"/>
        </w:rPr>
        <w:t xml:space="preserve"> in circumstances such as these was decided many years ago by this court in </w:t>
      </w:r>
      <w:r>
        <w:rPr>
          <w:rFonts w:ascii="arial" w:eastAsia="arial" w:hAnsi="arial" w:cs="arial"/>
          <w:b/>
          <w:i/>
          <w:color w:val="000000"/>
          <w:sz w:val="20"/>
          <w:lang w:val="en-US" w:eastAsia="en-US" w:bidi="ar-SA"/>
        </w:rPr>
        <w:t>Hossay v. Newman</w:t>
      </w:r>
      <w:hyperlink r:id="rId60" w:history="1">
        <w:r>
          <w:rPr>
            <w:rFonts w:ascii="arial" w:eastAsia="arial" w:hAnsi="arial" w:cs="arial"/>
            <w:i/>
            <w:color w:val="0077CC"/>
            <w:sz w:val="20"/>
            <w:u w:val="single"/>
            <w:shd w:val="clear" w:color="auto" w:fill="FFFFFF"/>
            <w:lang w:val="en-US" w:eastAsia="en-US" w:bidi="ar-SA"/>
          </w:rPr>
          <w:t>(1988), 22 E.T.R. (2d) 150</w:t>
        </w:r>
      </w:hyperlink>
      <w:r>
        <w:rPr>
          <w:rFonts w:ascii="arial" w:eastAsia="arial" w:hAnsi="arial" w:cs="arial"/>
          <w:color w:val="000000"/>
          <w:sz w:val="20"/>
          <w:lang w:val="en-US" w:eastAsia="en-US" w:bidi="ar-SA"/>
        </w:rPr>
        <w:t xml:space="preserve"> (B.C.S.C.) [</w:t>
      </w:r>
      <w:r>
        <w:rPr>
          <w:rFonts w:ascii="arial" w:eastAsia="arial" w:hAnsi="arial" w:cs="arial"/>
          <w:b/>
          <w:i/>
          <w:color w:val="000000"/>
          <w:sz w:val="20"/>
          <w:lang w:val="en-US" w:eastAsia="en-US" w:bidi="ar-SA"/>
        </w:rPr>
        <w:t>Hossay</w:t>
      </w:r>
      <w:r>
        <w:rPr>
          <w:rFonts w:ascii="arial" w:eastAsia="arial" w:hAnsi="arial" w:cs="arial"/>
          <w:color w:val="000000"/>
          <w:sz w:val="20"/>
          <w:lang w:val="en-US" w:eastAsia="en-US" w:bidi="ar-SA"/>
        </w:rPr>
        <w:t xml:space="preserve">]. Mr. Justice MacKenzie (as he then was) held that the claim of an independent adult child under the </w:t>
      </w:r>
      <w:r>
        <w:rPr>
          <w:rFonts w:ascii="arial" w:eastAsia="arial" w:hAnsi="arial" w:cs="arial"/>
          <w:b/>
          <w:i/>
          <w:color w:val="000000"/>
          <w:sz w:val="20"/>
          <w:lang w:val="en-US" w:eastAsia="en-US" w:bidi="ar-SA"/>
        </w:rPr>
        <w:t>WVA</w:t>
      </w:r>
      <w:r>
        <w:rPr>
          <w:rFonts w:ascii="arial" w:eastAsia="arial" w:hAnsi="arial" w:cs="arial"/>
          <w:color w:val="000000"/>
          <w:sz w:val="20"/>
          <w:lang w:val="en-US" w:eastAsia="en-US" w:bidi="ar-SA"/>
        </w:rPr>
        <w:t xml:space="preserve"> on moral grounds is not a claim by "creditors or others" under the </w:t>
      </w:r>
      <w:r>
        <w:rPr>
          <w:rFonts w:ascii="arial" w:eastAsia="arial" w:hAnsi="arial" w:cs="arial"/>
          <w:b/>
          <w:i/>
          <w:color w:val="000000"/>
          <w:sz w:val="20"/>
          <w:lang w:val="en-US" w:eastAsia="en-US" w:bidi="ar-SA"/>
        </w:rPr>
        <w:t>Fraudulent Conveyance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163</w:t>
      </w:r>
      <w:r>
        <w:rPr>
          <w:rFonts w:ascii="arial" w:eastAsia="arial" w:hAnsi="arial" w:cs="arial"/>
          <w:color w:val="000000"/>
          <w:sz w:val="20"/>
          <w:lang w:val="en-US" w:eastAsia="en-US" w:bidi="ar-SA"/>
        </w:rPr>
        <w:t xml:space="preserve">. Despite the passage of eighteen years since </w:t>
      </w:r>
      <w:r>
        <w:rPr>
          <w:rFonts w:ascii="arial" w:eastAsia="arial" w:hAnsi="arial" w:cs="arial"/>
          <w:b/>
          <w:i/>
          <w:color w:val="000000"/>
          <w:sz w:val="20"/>
          <w:lang w:val="en-US" w:eastAsia="en-US" w:bidi="ar-SA"/>
        </w:rPr>
        <w:t>Hossay</w:t>
      </w:r>
      <w:r>
        <w:rPr>
          <w:rFonts w:ascii="arial" w:eastAsia="arial" w:hAnsi="arial" w:cs="arial"/>
          <w:color w:val="000000"/>
          <w:sz w:val="20"/>
          <w:lang w:val="en-US" w:eastAsia="en-US" w:bidi="ar-SA"/>
        </w:rPr>
        <w:t xml:space="preserve">, the legislature has not seen fit to pass legislation or amend existing legislation to prevent the avoidance of claims under the </w:t>
      </w:r>
      <w:r>
        <w:rPr>
          <w:rFonts w:ascii="arial" w:eastAsia="arial" w:hAnsi="arial" w:cs="arial"/>
          <w:b/>
          <w:i/>
          <w:color w:val="000000"/>
          <w:sz w:val="20"/>
          <w:lang w:val="en-US" w:eastAsia="en-US" w:bidi="ar-SA"/>
        </w:rPr>
        <w:t>WVA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383</w:t>
      </w:r>
      <w:r>
        <w:rPr>
          <w:rFonts w:ascii="arial" w:eastAsia="arial" w:hAnsi="arial" w:cs="arial"/>
          <w:color w:val="000000"/>
          <w:sz w:val="20"/>
          <w:lang w:val="en-US" w:eastAsia="en-US" w:bidi="ar-SA"/>
        </w:rPr>
        <w:t xml:space="preserve">  As to claims by the Crown for probate or other fees, the Crown is not entitled to claim probate fees (and thereby become a "creditor" within the meaning of the </w:t>
      </w:r>
      <w:r>
        <w:rPr>
          <w:rFonts w:ascii="arial" w:eastAsia="arial" w:hAnsi="arial" w:cs="arial"/>
          <w:b/>
          <w:i/>
          <w:color w:val="000000"/>
          <w:sz w:val="20"/>
          <w:lang w:val="en-US" w:eastAsia="en-US" w:bidi="ar-SA"/>
        </w:rPr>
        <w:t>Fraudulent Conveyance Act</w:t>
      </w:r>
      <w:r>
        <w:rPr>
          <w:rFonts w:ascii="arial" w:eastAsia="arial" w:hAnsi="arial" w:cs="arial"/>
          <w:color w:val="000000"/>
          <w:sz w:val="20"/>
          <w:lang w:val="en-US" w:eastAsia="en-US" w:bidi="ar-SA"/>
        </w:rPr>
        <w:t>) unless assets pass through an estate and an application for probate or administration is granted. There is no liability to the Crown if no application is made or no assets pass through the estate.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384</w:t>
      </w:r>
      <w:r>
        <w:rPr>
          <w:rFonts w:ascii="arial" w:eastAsia="arial" w:hAnsi="arial" w:cs="arial"/>
          <w:color w:val="000000"/>
          <w:sz w:val="20"/>
          <w:lang w:val="en-US" w:eastAsia="en-US" w:bidi="ar-SA"/>
        </w:rPr>
        <w:t>  Accordingly, I find that the Trust was not void on grounds of public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 regarding the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385</w:t>
      </w:r>
      <w:r>
        <w:rPr>
          <w:rFonts w:ascii="arial" w:eastAsia="arial" w:hAnsi="arial" w:cs="arial"/>
          <w:color w:val="000000"/>
          <w:sz w:val="20"/>
          <w:lang w:val="en-US" w:eastAsia="en-US" w:bidi="ar-SA"/>
        </w:rPr>
        <w:t xml:space="preserve">  I find that the Trust was formed by a valid act of transfer and was properly constituted as an </w:t>
      </w:r>
      <w:r>
        <w:rPr>
          <w:rFonts w:ascii="arial" w:eastAsia="arial" w:hAnsi="arial" w:cs="arial"/>
          <w:i/>
          <w:color w:val="000000"/>
          <w:sz w:val="20"/>
          <w:lang w:val="en-US" w:eastAsia="en-US" w:bidi="ar-SA"/>
        </w:rPr>
        <w:t>inter vivos</w:t>
      </w:r>
      <w:r>
        <w:rPr>
          <w:rFonts w:ascii="arial" w:eastAsia="arial" w:hAnsi="arial" w:cs="arial"/>
          <w:color w:val="000000"/>
          <w:sz w:val="20"/>
          <w:lang w:val="en-US" w:eastAsia="en-US" w:bidi="ar-SA"/>
        </w:rPr>
        <w:t xml:space="preserve"> trust in accordance with all the requirements of trust law. For the reasons discussed below, I conclude there was no undue influence of Eida by Viviane. Accordingly, the Trust Property did not form part of Eida's estate and is not subject to any </w:t>
      </w:r>
      <w:r>
        <w:rPr>
          <w:rFonts w:ascii="arial" w:eastAsia="arial" w:hAnsi="arial" w:cs="arial"/>
          <w:b/>
          <w:i/>
          <w:color w:val="000000"/>
          <w:sz w:val="20"/>
          <w:lang w:val="en-US" w:eastAsia="en-US" w:bidi="ar-SA"/>
        </w:rPr>
        <w:t>WVA</w:t>
      </w:r>
      <w:r>
        <w:rPr>
          <w:rFonts w:ascii="arial" w:eastAsia="arial" w:hAnsi="arial" w:cs="arial"/>
          <w:color w:val="000000"/>
          <w:sz w:val="20"/>
          <w:lang w:val="en-US" w:eastAsia="en-US" w:bidi="ar-SA"/>
        </w:rPr>
        <w:t xml:space="preserve"> claim by Alex.</w:t>
      </w:r>
      <w:r>
        <w:rPr>
          <w:rFonts w:ascii="arial" w:eastAsia="arial" w:hAnsi="arial" w:cs="arial"/>
          <w:sz w:val="20"/>
          <w:lang w:val="en-US" w:eastAsia="en-US" w:bidi="ar-SA"/>
        </w:rPr>
        <w:cr/>
      </w:r>
    </w:p>
    <w:p>
      <w:pPr>
        <w:numPr>
          <w:numId w:val="77"/>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The car and driver expenses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386</w:t>
      </w:r>
      <w:r>
        <w:rPr>
          <w:rFonts w:ascii="arial" w:eastAsia="arial" w:hAnsi="arial" w:cs="arial"/>
          <w:color w:val="000000"/>
          <w:sz w:val="20"/>
          <w:lang w:val="en-US" w:eastAsia="en-US" w:bidi="ar-SA"/>
        </w:rPr>
        <w:t>  Alex argued that Eida agreed to reimburse him for the car and driver expenses with funds from her estate. He argued in the alternative that he is entitled to repayment of the value of the car and driver in equity. In argument, Alex advanced his position as follows: "If A advances money to or for the benefit of B, B has an obligation to repay it unless A objectively intended to make B an unconditional gift".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387</w:t>
      </w:r>
      <w:r>
        <w:rPr>
          <w:rFonts w:ascii="arial" w:eastAsia="arial" w:hAnsi="arial" w:cs="arial"/>
          <w:color w:val="000000"/>
          <w:sz w:val="20"/>
          <w:lang w:val="en-US" w:eastAsia="en-US" w:bidi="ar-SA"/>
        </w:rPr>
        <w:t>  The issue is whether there was, at the time Eida accepted the use of the car and driver, or at any time thereafter, an agreement between her and Alex regarding reimbursement for the expenses from Eida's estate.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388</w:t>
      </w:r>
      <w:r>
        <w:rPr>
          <w:rFonts w:ascii="arial" w:eastAsia="arial" w:hAnsi="arial" w:cs="arial"/>
          <w:color w:val="000000"/>
          <w:sz w:val="20"/>
          <w:lang w:val="en-US" w:eastAsia="en-US" w:bidi="ar-SA"/>
        </w:rPr>
        <w:t xml:space="preserve">  In the absence of an agreement, the question is whether Eida was unjustly enriched by her acceptance of the car and driver. Three requirements must be satisfied before an unjust enrichment is established: the plaintiff's enrichment, the defendant's corresponding deprivation, and an absence of any juristic reason for the enrichment: Lord Goff of Chieveley &amp; Gareth Jones, </w:t>
      </w:r>
      <w:r>
        <w:rPr>
          <w:rFonts w:ascii="arial" w:eastAsia="arial" w:hAnsi="arial" w:cs="arial"/>
          <w:i/>
          <w:color w:val="000000"/>
          <w:sz w:val="20"/>
          <w:lang w:val="en-US" w:eastAsia="en-US" w:bidi="ar-SA"/>
        </w:rPr>
        <w:t>The Law of Restitution</w:t>
      </w:r>
      <w:r>
        <w:rPr>
          <w:rFonts w:ascii="arial" w:eastAsia="arial" w:hAnsi="arial" w:cs="arial"/>
          <w:color w:val="000000"/>
          <w:sz w:val="20"/>
          <w:lang w:val="en-US" w:eastAsia="en-US" w:bidi="ar-SA"/>
        </w:rPr>
        <w:t>, 4th ed. (London: Sweet &amp; Maxwell,1993) at p. 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389</w:t>
      </w:r>
      <w:r>
        <w:rPr>
          <w:rFonts w:ascii="arial" w:eastAsia="arial" w:hAnsi="arial" w:cs="arial"/>
          <w:color w:val="000000"/>
          <w:sz w:val="20"/>
          <w:lang w:val="en-US" w:eastAsia="en-US" w:bidi="ar-SA"/>
        </w:rPr>
        <w:t>  Alex alleged an agreement or understanding between him and his mother that he would be reimbursed for the cost of the car and driver following Eida's death. He said his offer to provide the car and driver was precipitated by Eida's complaint that she could no longer drive, and her suggestion to him that she recently had a falling out with Viviane over Viviane's suggestion that Eida move to a nursing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390</w:t>
      </w:r>
      <w:r>
        <w:rPr>
          <w:rFonts w:ascii="arial" w:eastAsia="arial" w:hAnsi="arial" w:cs="arial"/>
          <w:color w:val="000000"/>
          <w:sz w:val="20"/>
          <w:lang w:val="en-US" w:eastAsia="en-US" w:bidi="ar-SA"/>
        </w:rPr>
        <w:t>  Alex's evidence as to the nature of the agreement was less than precise. In direct evidence he said the agreement was that Eida would make provision in her will for Alex's reimbursement. In cross-examination, he said he did not think Eida would provide for reimbursement in her will. Rather, he understood that Eida would advise Viviane of the agreement, and upon her death Viviane would "do the honourable thing" by reimbursing him from Eida's bank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391</w:t>
      </w:r>
      <w:r>
        <w:rPr>
          <w:rFonts w:ascii="arial" w:eastAsia="arial" w:hAnsi="arial" w:cs="arial"/>
          <w:color w:val="000000"/>
          <w:sz w:val="20"/>
          <w:lang w:val="en-US" w:eastAsia="en-US" w:bidi="ar-SA"/>
        </w:rPr>
        <w:t>  There are a number of difficulties with Alex's evidence which cast doubt on his version of events and undermine his claim for reimbursement of the expenses.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392</w:t>
      </w:r>
      <w:r>
        <w:rPr>
          <w:rFonts w:ascii="arial" w:eastAsia="arial" w:hAnsi="arial" w:cs="arial"/>
          <w:color w:val="000000"/>
          <w:sz w:val="20"/>
          <w:lang w:val="en-US" w:eastAsia="en-US" w:bidi="ar-SA"/>
        </w:rPr>
        <w:t>  At the time, Eida had a personal assistant who drove her to bridge games and any other places Eida wished to go. Eida was paying her assistant for those services, and continued to do so after Alex provided the car and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393</w:t>
      </w:r>
      <w:r>
        <w:rPr>
          <w:rFonts w:ascii="arial" w:eastAsia="arial" w:hAnsi="arial" w:cs="arial"/>
          <w:color w:val="000000"/>
          <w:sz w:val="20"/>
          <w:lang w:val="en-US" w:eastAsia="en-US" w:bidi="ar-SA"/>
        </w:rPr>
        <w:t>  Eida's caregivers denied any knowledge of a discussion between Viviane and Eida about Eida moving to a care home. Although she had recently suffered a fractured pelvis, Eida had recovered and was managing very well at home with paid assistance. By all accounts, Viviane was committed to having Eida live out her days in the Condominium.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394</w:t>
      </w:r>
      <w:r>
        <w:rPr>
          <w:rFonts w:ascii="arial" w:eastAsia="arial" w:hAnsi="arial" w:cs="arial"/>
          <w:color w:val="000000"/>
          <w:sz w:val="20"/>
          <w:lang w:val="en-US" w:eastAsia="en-US" w:bidi="ar-SA"/>
        </w:rPr>
        <w:t>  Shortly after Gabriel's death in 1996, Alex offered Eida $200,000. Eida had refused the offer because it was contingent upon her providing a promissory note to Alex indicating repayment from her estate.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395</w:t>
      </w:r>
      <w:r>
        <w:rPr>
          <w:rFonts w:ascii="arial" w:eastAsia="arial" w:hAnsi="arial" w:cs="arial"/>
          <w:color w:val="000000"/>
          <w:sz w:val="20"/>
          <w:lang w:val="en-US" w:eastAsia="en-US" w:bidi="ar-SA"/>
        </w:rPr>
        <w:t>  By Alex's own admission, Eida was very careful with her money. He testified that Eida was "stingy" even though she was, in his words, a "moneybag". He said she would drive from Vancouver to Richmond to save a dollar on vegetables. Yet, according to Alex, Eida accepted the offer of a car and driver without being provided with any information regarding the cost of the service. Alex acknowledged that even he did not know the cost at the time he made the agreement with Eida about reimbursement.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396</w:t>
      </w:r>
      <w:r>
        <w:rPr>
          <w:rFonts w:ascii="arial" w:eastAsia="arial" w:hAnsi="arial" w:cs="arial"/>
          <w:color w:val="000000"/>
          <w:sz w:val="20"/>
          <w:lang w:val="en-US" w:eastAsia="en-US" w:bidi="ar-SA"/>
        </w:rPr>
        <w:t>  Alex did not attempt to negotiate a salary with the driver, Mr. Moskovsky. Instead, he offered to pay the equivalent of what Mr. Moskovsky was earning from his limousine business because he "needed a favour" from Mr. Moskovsky. Alex did not discuss the cost of the salary with Eida before entering into the arrangement with Mr. Moskovsky, nor did Alex tell Eida of the two-year commitment he had made to Mr. Moskovsky. Eida had no input into the discussions between Alex and Mr. Moskovsky about the terms of his employment. There is no evidence to suggest that Eida ever knew the cost of the arrangement, as Mr. Moskovsky rendered his invoices to the Company. The costs were steep. By the expiry of the Jaguar lease in July of 2002, the expenses totalled $113,000.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397</w:t>
      </w:r>
      <w:r>
        <w:rPr>
          <w:rFonts w:ascii="arial" w:eastAsia="arial" w:hAnsi="arial" w:cs="arial"/>
          <w:color w:val="000000"/>
          <w:sz w:val="20"/>
          <w:lang w:val="en-US" w:eastAsia="en-US" w:bidi="ar-SA"/>
        </w:rPr>
        <w:t>  The most telling evidence, in my view, consists of Mr. Wilson's notes of his meeting with Eida on August 29, 2000, only a matter of weeks after Alex provided her with the car and driver. Mr. Wilson testified, and his notes reflect, that Eida told him Alex had called to see her after a four year absence and wanted to buy her a car and provide a driver. She said she did not want it, but Alex provided it anyway.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398</w:t>
      </w:r>
      <w:r>
        <w:rPr>
          <w:rFonts w:ascii="arial" w:eastAsia="arial" w:hAnsi="arial" w:cs="arial"/>
          <w:color w:val="000000"/>
          <w:sz w:val="20"/>
          <w:lang w:val="en-US" w:eastAsia="en-US" w:bidi="ar-SA"/>
        </w:rPr>
        <w:t>  In her meeting with Mr. Wilson and Mr. Frith on September 5, 2000, Eida again spoke of the car and driver. She said she was feeling some "remorse" about her relationship with Alex because now he was "being good to her". Eida did not suggest that she would require sufficient funds in her estate to pay for the car and driver arrangement. Indeed, she was well aware that having created the Trust, there would be no assets passing by her will.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399</w:t>
      </w:r>
      <w:r>
        <w:rPr>
          <w:rFonts w:ascii="arial" w:eastAsia="arial" w:hAnsi="arial" w:cs="arial"/>
          <w:color w:val="000000"/>
          <w:sz w:val="20"/>
          <w:lang w:val="en-US" w:eastAsia="en-US" w:bidi="ar-SA"/>
        </w:rPr>
        <w:t>  Eida's statements in the meetings with her legal counsel in 2000 are admissible on the basis of the principled exception to the hearsay rule (</w:t>
      </w:r>
      <w:r>
        <w:rPr>
          <w:rFonts w:ascii="arial" w:eastAsia="arial" w:hAnsi="arial" w:cs="arial"/>
          <w:b/>
          <w:i/>
          <w:color w:val="000000"/>
          <w:sz w:val="20"/>
          <w:lang w:val="en-US" w:eastAsia="en-US" w:bidi="ar-SA"/>
        </w:rPr>
        <w:t>R. v. Smith</w:t>
      </w:r>
      <w:r>
        <w:rPr>
          <w:rFonts w:ascii="arial" w:eastAsia="arial" w:hAnsi="arial" w:cs="arial"/>
          <w:color w:val="000000"/>
          <w:sz w:val="20"/>
          <w:lang w:val="en-US" w:eastAsia="en-US" w:bidi="ar-SA"/>
        </w:rPr>
        <w:t xml:space="preserve">, </w:t>
      </w:r>
      <w:hyperlink r:id="rId61" w:history="1">
        <w:r>
          <w:rPr>
            <w:rFonts w:ascii="arial" w:eastAsia="arial" w:hAnsi="arial" w:cs="arial"/>
            <w:i/>
            <w:color w:val="0077CC"/>
            <w:sz w:val="20"/>
            <w:u w:val="single"/>
            <w:shd w:val="clear" w:color="auto" w:fill="FFFFFF"/>
            <w:lang w:val="en-US" w:eastAsia="en-US" w:bidi="ar-SA"/>
          </w:rPr>
          <w:t>[1992] 2 S.C.R. 915</w:t>
        </w:r>
      </w:hyperlink>
      <w:r>
        <w:rPr>
          <w:rFonts w:ascii="arial" w:eastAsia="arial" w:hAnsi="arial" w:cs="arial"/>
          <w:color w:val="000000"/>
          <w:sz w:val="20"/>
          <w:lang w:val="en-US" w:eastAsia="en-US" w:bidi="ar-SA"/>
        </w:rPr>
        <w:t xml:space="preserve"> at 931 - 32 [</w:t>
      </w:r>
      <w:r>
        <w:rPr>
          <w:rFonts w:ascii="arial" w:eastAsia="arial" w:hAnsi="arial" w:cs="arial"/>
          <w:b/>
          <w:i/>
          <w:color w:val="000000"/>
          <w:sz w:val="20"/>
          <w:lang w:val="en-US" w:eastAsia="en-US" w:bidi="ar-SA"/>
        </w:rPr>
        <w:t>Smith</w:t>
      </w:r>
      <w:r>
        <w:rPr>
          <w:rFonts w:ascii="arial" w:eastAsia="arial" w:hAnsi="arial" w:cs="arial"/>
          <w:color w:val="000000"/>
          <w:sz w:val="20"/>
          <w:lang w:val="en-US" w:eastAsia="en-US" w:bidi="ar-SA"/>
        </w:rPr>
        <w:t xml:space="preserve">]). In my view, they meet the threshold requirements of necessity and reliability. Necessity is obvious as Eida is dead. The statements are also reliable. They bear the "circumstantial guarantees of trustworthiness" as discussed in </w:t>
      </w:r>
      <w:r>
        <w:rPr>
          <w:rFonts w:ascii="arial" w:eastAsia="arial" w:hAnsi="arial" w:cs="arial"/>
          <w:b/>
          <w:i/>
          <w:color w:val="000000"/>
          <w:sz w:val="20"/>
          <w:lang w:val="en-US" w:eastAsia="en-US" w:bidi="ar-SA"/>
        </w:rPr>
        <w:t>Smith</w:t>
      </w:r>
      <w:r>
        <w:rPr>
          <w:rFonts w:ascii="arial" w:eastAsia="arial" w:hAnsi="arial" w:cs="arial"/>
          <w:color w:val="000000"/>
          <w:sz w:val="20"/>
          <w:lang w:val="en-US" w:eastAsia="en-US" w:bidi="ar-SA"/>
        </w:rPr>
        <w:t>. It is most unlikely that Eida was mistaken about the arrangement, or was being untruthful about it when speaking to her legal counsel. First, her statements were made very soon after the arrangement concerning the car and driver was first made, and long before any dispute arose about the nature of the arrangement. Second, Eida had no reason to be other than truthful to her counsel. She expressed regret about Alex during the September 5 meeting because he was at that time being a good son. When he provided the car and driver to Eida, he told her to "enjoy the rest of her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400</w:t>
      </w:r>
      <w:r>
        <w:rPr>
          <w:rFonts w:ascii="arial" w:eastAsia="arial" w:hAnsi="arial" w:cs="arial"/>
          <w:color w:val="000000"/>
          <w:sz w:val="20"/>
          <w:lang w:val="en-US" w:eastAsia="en-US" w:bidi="ar-SA"/>
        </w:rPr>
        <w:t>  I do not accept that Eida misunderstood the basis on which the car and driver had been provided. Either Alex told his mother he expected repayment after her death or he did not. The inference I draw from Eida's statements to Mr. Wilson and Mr. Frith is that she was told by Alex that he was providing her with a gift to ensure she enjoyed her last years. Eida did not need the car and driver because she had other arrangements in place (arrangements for which she was paying and continued to pay), but accepted the service because she knew it was gratuitous.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401</w:t>
      </w:r>
      <w:r>
        <w:rPr>
          <w:rFonts w:ascii="arial" w:eastAsia="arial" w:hAnsi="arial" w:cs="arial"/>
          <w:color w:val="000000"/>
          <w:sz w:val="20"/>
          <w:lang w:val="en-US" w:eastAsia="en-US" w:bidi="ar-SA"/>
        </w:rPr>
        <w:t>  Alex testified that he approached his mother with the offer of the car and driver as a kind of "rapprochement" or peace-making gesture. At about the same time he reiterated his position as to the manner in which Eida ought to divide her estate. It is difficult to understand how Alex thought the offer would make peace with his mother if it was contingent on reimbursement from her estate.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402</w:t>
      </w:r>
      <w:r>
        <w:rPr>
          <w:rFonts w:ascii="arial" w:eastAsia="arial" w:hAnsi="arial" w:cs="arial"/>
          <w:color w:val="000000"/>
          <w:sz w:val="20"/>
          <w:lang w:val="en-US" w:eastAsia="en-US" w:bidi="ar-SA"/>
        </w:rPr>
        <w:t>  Alex had previously offered his mother money contingent on her providing him with a promissory note to ensure repayment after her death. Alex made no similar request for documentation on this occasion.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403</w:t>
      </w:r>
      <w:r>
        <w:rPr>
          <w:rFonts w:ascii="arial" w:eastAsia="arial" w:hAnsi="arial" w:cs="arial"/>
          <w:color w:val="000000"/>
          <w:sz w:val="20"/>
          <w:lang w:val="en-US" w:eastAsia="en-US" w:bidi="ar-SA"/>
        </w:rPr>
        <w:t>  A disagreement arose between Alex and Eida when Eida visited Alex in late October, 2001, on the occasion of his birthday. Alex testified that he could not remember how the discussion arose, but at some point during the visit he told his mother he expected to be repaid for the car and driver after her death. His evidence was that he and his mother argued. Eida left soon thereafter. In my view, the question is why Eida would have argued with Alex at all if she knew from the outset that she was expected to repay him. Alex was vague as to how the issue arose and the extent of the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404</w:t>
      </w:r>
      <w:r>
        <w:rPr>
          <w:rFonts w:ascii="arial" w:eastAsia="arial" w:hAnsi="arial" w:cs="arial"/>
          <w:color w:val="000000"/>
          <w:sz w:val="20"/>
          <w:lang w:val="en-US" w:eastAsia="en-US" w:bidi="ar-SA"/>
        </w:rPr>
        <w:t>  Eida was clearly upset by the news that she was expected to pay for the car and driver. She immediately advised Alex that she would no longer use Mr. Moskovsky's services if they were not a gift.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405</w:t>
      </w:r>
      <w:r>
        <w:rPr>
          <w:rFonts w:ascii="arial" w:eastAsia="arial" w:hAnsi="arial" w:cs="arial"/>
          <w:color w:val="000000"/>
          <w:sz w:val="20"/>
          <w:lang w:val="en-US" w:eastAsia="en-US" w:bidi="ar-SA"/>
        </w:rPr>
        <w:t>  Mr. Wilson reiterated Eida's position in his letter to Alex of January 9, 2002. He invited Alex to bring a claim immediately if he took a different view. Alex did not do so. He testified that he did not want to subject his elderly mother to the stress of litigation. However, it must have been apparent to Alex that that the dispute would be stressful for Eida, litigation or no litigation, particularly in light of his allegation that she was no longer competent.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406</w:t>
      </w:r>
      <w:r>
        <w:rPr>
          <w:rFonts w:ascii="arial" w:eastAsia="arial" w:hAnsi="arial" w:cs="arial"/>
          <w:color w:val="000000"/>
          <w:sz w:val="20"/>
          <w:lang w:val="en-US" w:eastAsia="en-US" w:bidi="ar-SA"/>
        </w:rPr>
        <w:t>  The Company continued to pay the driver $4,000 per month and gave him work at the Warehouse until the Jaguar lease expired at the end of July of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407</w:t>
      </w:r>
      <w:r>
        <w:rPr>
          <w:rFonts w:ascii="arial" w:eastAsia="arial" w:hAnsi="arial" w:cs="arial"/>
          <w:color w:val="000000"/>
          <w:sz w:val="20"/>
          <w:lang w:val="en-US" w:eastAsia="en-US" w:bidi="ar-SA"/>
        </w:rPr>
        <w:t>  At the outset, Alex did not pay for any of the expenses related to the car and driver out of his own pocket. The Company entered into the lease for the Jaguar; the Company paid the driver. Although Alex testified that he expected the Company to increase his shareholder loan by the amount of the expenses, he did not give those instructions to the Company's accountant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408</w:t>
      </w:r>
      <w:r>
        <w:rPr>
          <w:rFonts w:ascii="arial" w:eastAsia="arial" w:hAnsi="arial" w:cs="arial"/>
          <w:color w:val="000000"/>
          <w:sz w:val="20"/>
          <w:lang w:val="en-US" w:eastAsia="en-US" w:bidi="ar-SA"/>
        </w:rPr>
        <w:t>  As a seasoned and successful businessman, Alex must have understood the implications of having the Company employ the driver and hold the Jaguar lease. The car and driver expenses were recorded as Company expenses, and claimed as such, until the CCRA audit in November, 2002. When CCRA disallowed $61,000 of the expenses, those were charged to Alex's shareholder loan. The balance of $51,000 remained on the books as a Company expense for four more years, and as such must have been allowed as a legitimate business by CCRA. On the last business day before the trial of this action commenced, Alex instructed the Company accountant to charge the balance to his shareholder loan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409</w:t>
      </w:r>
      <w:r>
        <w:rPr>
          <w:rFonts w:ascii="arial" w:eastAsia="arial" w:hAnsi="arial" w:cs="arial"/>
          <w:color w:val="000000"/>
          <w:sz w:val="20"/>
          <w:lang w:val="en-US" w:eastAsia="en-US" w:bidi="ar-SA"/>
        </w:rPr>
        <w:t>  The inference I draw from this evidence is that Alex arranged to have the car and driver expenses paid by the Company in order to claim them, at least initially, as Company expenses. That arrangement undermines Alex's contention that he paid for the car and driver personally, expected to be repaid personally from his mother's estate, and conveyed that expectation to his mother at the time he provided the car and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410</w:t>
      </w:r>
      <w:r>
        <w:rPr>
          <w:rFonts w:ascii="arial" w:eastAsia="arial" w:hAnsi="arial" w:cs="arial"/>
          <w:color w:val="000000"/>
          <w:sz w:val="20"/>
          <w:lang w:val="en-US" w:eastAsia="en-US" w:bidi="ar-SA"/>
        </w:rPr>
        <w:t>  Until the eve of trial, $51,000 of the cost of the car and driver remained a Company expense. The accountant testified that so long as the driver provided services to the Company between January and July of 2002, the expense could have been legitimately attributed as a Company expense.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 regarding the car and driver arrangements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411</w:t>
      </w:r>
      <w:r>
        <w:rPr>
          <w:rFonts w:ascii="arial" w:eastAsia="arial" w:hAnsi="arial" w:cs="arial"/>
          <w:color w:val="000000"/>
          <w:sz w:val="20"/>
          <w:lang w:val="en-US" w:eastAsia="en-US" w:bidi="ar-SA"/>
        </w:rPr>
        <w:t>  I conclude that Alex told his mother in August, 2000, that the car and driver were a gift. Eida accepted them as a gift. When Alex advised Eida approximately 14 months later that he expected reimbursement for the car and driver, Eida put Alex on notice that she would no longer accept their 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412</w:t>
      </w:r>
      <w:r>
        <w:rPr>
          <w:rFonts w:ascii="arial" w:eastAsia="arial" w:hAnsi="arial" w:cs="arial"/>
          <w:color w:val="000000"/>
          <w:sz w:val="20"/>
          <w:lang w:val="en-US" w:eastAsia="en-US" w:bidi="ar-SA"/>
        </w:rPr>
        <w:t>  Alex did not establish any agreement for reimbursement. Nor did he establish that Eida was unjustly enriched. Eida did receive a benefit, and it was gained at Alex's expense. However, the juristic reason for the benefit was Alex's offer of the car and driver as an unconditional gift, and Eida's acceptance of it on that basis. For these reasons, Alex's claim concerning the car and driver expenses is dismissed.</w:t>
      </w:r>
      <w:r>
        <w:rPr>
          <w:rFonts w:ascii="arial" w:eastAsia="arial" w:hAnsi="arial" w:cs="arial"/>
          <w:sz w:val="20"/>
          <w:lang w:val="en-US" w:eastAsia="en-US" w:bidi="ar-SA"/>
        </w:rPr>
        <w:cr/>
      </w:r>
    </w:p>
    <w:p>
      <w:pPr>
        <w:numPr>
          <w:numId w:val="78"/>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Undue Influence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413</w:t>
      </w:r>
      <w:r>
        <w:rPr>
          <w:rFonts w:ascii="arial" w:eastAsia="arial" w:hAnsi="arial" w:cs="arial"/>
          <w:color w:val="000000"/>
          <w:sz w:val="20"/>
          <w:lang w:val="en-US" w:eastAsia="en-US" w:bidi="ar-SA"/>
        </w:rPr>
        <w:t>  Alex alleged undue influence on the part of Viviane with respect to the joint assets and the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law of undue influence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414</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Geffen v. Goodman Estate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[1991] 2 S.C.R. 353</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Goodman Estate</w:t>
      </w:r>
      <w:r>
        <w:rPr>
          <w:rFonts w:ascii="arial" w:eastAsia="arial" w:hAnsi="arial" w:cs="arial"/>
          <w:b/>
          <w:color w:val="000000"/>
          <w:sz w:val="20"/>
          <w:lang w:val="en-US" w:eastAsia="en-US" w:bidi="ar-SA"/>
        </w:rPr>
        <w:t xml:space="preserve"> S.C.C.</w:t>
      </w:r>
      <w:r>
        <w:rPr>
          <w:rFonts w:ascii="arial" w:eastAsia="arial" w:hAnsi="arial" w:cs="arial"/>
          <w:color w:val="000000"/>
          <w:sz w:val="20"/>
          <w:lang w:val="en-US" w:eastAsia="en-US" w:bidi="ar-SA"/>
        </w:rPr>
        <w:t xml:space="preserve">] (upholding the decision of Hutchinson J. in </w:t>
      </w:r>
      <w:r>
        <w:rPr>
          <w:rFonts w:ascii="arial" w:eastAsia="arial" w:hAnsi="arial" w:cs="arial"/>
          <w:b/>
          <w:i/>
          <w:color w:val="000000"/>
          <w:sz w:val="20"/>
          <w:lang w:val="en-US" w:eastAsia="en-US" w:bidi="ar-SA"/>
        </w:rPr>
        <w:t>Goodman Estate</w:t>
      </w:r>
      <w:r>
        <w:rPr>
          <w:rFonts w:ascii="arial" w:eastAsia="arial" w:hAnsi="arial" w:cs="arial"/>
          <w:b/>
          <w:color w:val="000000"/>
          <w:sz w:val="20"/>
          <w:lang w:val="en-US" w:eastAsia="en-US" w:bidi="ar-SA"/>
        </w:rPr>
        <w:t xml:space="preserve"> Q.B.</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Wilson J. described undue influence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seems to me rather that when one speaks of "influence" one is really referring to the ability of one person to dominate the will of another, whether through manipulation, coercion, or outright but subtle abuse of power (</w:t>
      </w:r>
      <w:r>
        <w:rPr>
          <w:rFonts w:ascii="arial" w:eastAsia="arial" w:hAnsi="arial" w:cs="arial"/>
          <w:b/>
          <w:i/>
          <w:color w:val="000000"/>
          <w:sz w:val="20"/>
          <w:lang w:val="en-US" w:eastAsia="en-US" w:bidi="ar-SA"/>
        </w:rPr>
        <w:t>Goodman Estate</w:t>
      </w:r>
      <w:r>
        <w:rPr>
          <w:rFonts w:ascii="arial" w:eastAsia="arial" w:hAnsi="arial" w:cs="arial"/>
          <w:b/>
          <w:color w:val="000000"/>
          <w:sz w:val="20"/>
          <w:lang w:val="en-US" w:eastAsia="en-US" w:bidi="ar-SA"/>
        </w:rPr>
        <w:t xml:space="preserve"> S.C.C.</w:t>
      </w:r>
      <w:r>
        <w:rPr>
          <w:rFonts w:ascii="arial" w:eastAsia="arial" w:hAnsi="arial" w:cs="arial"/>
          <w:color w:val="000000"/>
          <w:sz w:val="20"/>
          <w:lang w:val="en-US" w:eastAsia="en-US" w:bidi="ar-SA"/>
        </w:rPr>
        <w:t xml:space="preserve"> at 377).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415</w:t>
      </w:r>
      <w:r>
        <w:rPr>
          <w:rFonts w:ascii="arial" w:eastAsia="arial" w:hAnsi="arial" w:cs="arial"/>
          <w:color w:val="000000"/>
          <w:sz w:val="20"/>
          <w:lang w:val="en-US" w:eastAsia="en-US" w:bidi="ar-SA"/>
        </w:rPr>
        <w:t>  Madam Justice Wilson went on to say (at 379) that once it is established that the relationship between the parties was such that the potential for influence existed, the person seeking to uphold the validity of the transaction must show there was no actual influence exerted in the particular transaction, or that there was independent legal advice given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416</w:t>
      </w:r>
      <w:r>
        <w:rPr>
          <w:rFonts w:ascii="arial" w:eastAsia="arial" w:hAnsi="arial" w:cs="arial"/>
          <w:color w:val="000000"/>
          <w:sz w:val="20"/>
          <w:lang w:val="en-US" w:eastAsia="en-US" w:bidi="ar-SA"/>
        </w:rPr>
        <w:t xml:space="preserve">  Undue influence has been defined by the British Columbia Court of Appeal as "influence which overbears the will of the person so that in truth what she does is not his or her own act": </w:t>
      </w:r>
      <w:r>
        <w:rPr>
          <w:rFonts w:ascii="arial" w:eastAsia="arial" w:hAnsi="arial" w:cs="arial"/>
          <w:b/>
          <w:i/>
          <w:color w:val="000000"/>
          <w:sz w:val="20"/>
          <w:lang w:val="en-US" w:eastAsia="en-US" w:bidi="ar-SA"/>
        </w:rPr>
        <w:t>Longmuir v. Holland</w:t>
      </w:r>
      <w:r>
        <w:rPr>
          <w:rFonts w:ascii="arial" w:eastAsia="arial" w:hAnsi="arial" w:cs="arial"/>
          <w:color w:val="000000"/>
          <w:sz w:val="20"/>
          <w:lang w:val="en-US" w:eastAsia="en-US" w:bidi="ar-SA"/>
        </w:rPr>
        <w:t xml:space="preserve"> </w:t>
      </w:r>
      <w:hyperlink r:id="rId62" w:history="1">
        <w:r>
          <w:rPr>
            <w:rFonts w:ascii="arial" w:eastAsia="arial" w:hAnsi="arial" w:cs="arial"/>
            <w:i/>
            <w:color w:val="0077CC"/>
            <w:sz w:val="20"/>
            <w:u w:val="single"/>
            <w:shd w:val="clear" w:color="auto" w:fill="FFFFFF"/>
            <w:lang w:val="en-US" w:eastAsia="en-US" w:bidi="ar-SA"/>
          </w:rPr>
          <w:t>(2000), 81 B.C.L.R. (3d) 99</w:t>
        </w:r>
      </w:hyperlink>
      <w:r>
        <w:rPr>
          <w:rFonts w:ascii="arial" w:eastAsia="arial" w:hAnsi="arial" w:cs="arial"/>
          <w:color w:val="000000"/>
          <w:sz w:val="20"/>
          <w:lang w:val="en-US" w:eastAsia="en-US" w:bidi="ar-SA"/>
        </w:rPr>
        <w:t xml:space="preserve"> at para. 71, </w:t>
      </w:r>
      <w:hyperlink r:id="rId62" w:history="1">
        <w:r>
          <w:rPr>
            <w:rFonts w:ascii="arial" w:eastAsia="arial" w:hAnsi="arial" w:cs="arial"/>
            <w:i/>
            <w:color w:val="0077CC"/>
            <w:sz w:val="20"/>
            <w:u w:val="single"/>
            <w:shd w:val="clear" w:color="auto" w:fill="FFFFFF"/>
            <w:lang w:val="en-US" w:eastAsia="en-US" w:bidi="ar-SA"/>
          </w:rPr>
          <w:t>2000 BCCA 538</w:t>
        </w:r>
      </w:hyperlink>
      <w:r>
        <w:rPr>
          <w:rFonts w:ascii="arial" w:eastAsia="arial" w:hAnsi="arial" w:cs="arial"/>
          <w:color w:val="000000"/>
          <w:sz w:val="20"/>
          <w:lang w:val="en-US" w:eastAsia="en-US" w:bidi="ar-SA"/>
        </w:rPr>
        <w:t>, per Southin J.A. (dissenting in part).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417</w:t>
      </w:r>
      <w:r>
        <w:rPr>
          <w:rFonts w:ascii="arial" w:eastAsia="arial" w:hAnsi="arial" w:cs="arial"/>
          <w:color w:val="000000"/>
          <w:sz w:val="20"/>
          <w:lang w:val="en-US" w:eastAsia="en-US" w:bidi="ar-SA"/>
        </w:rPr>
        <w:t xml:space="preserve">  Where there is potential for domination, undue influence with respect to an </w:t>
      </w:r>
      <w:r>
        <w:rPr>
          <w:rFonts w:ascii="arial" w:eastAsia="arial" w:hAnsi="arial" w:cs="arial"/>
          <w:i/>
          <w:color w:val="000000"/>
          <w:sz w:val="20"/>
          <w:lang w:val="en-US" w:eastAsia="en-US" w:bidi="ar-SA"/>
        </w:rPr>
        <w:t>inter vivos</w:t>
      </w:r>
      <w:r>
        <w:rPr>
          <w:rFonts w:ascii="arial" w:eastAsia="arial" w:hAnsi="arial" w:cs="arial"/>
          <w:color w:val="000000"/>
          <w:sz w:val="20"/>
          <w:lang w:val="en-US" w:eastAsia="en-US" w:bidi="ar-SA"/>
        </w:rPr>
        <w:t xml:space="preserve"> transaction is presumed. The presumption operates, for example, where the relationship is one between solicitor and client or guardian and ward, or where a person is dependent on a caregiver.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Application of the law of undue influence to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418</w:t>
      </w:r>
      <w:r>
        <w:rPr>
          <w:rFonts w:ascii="arial" w:eastAsia="arial" w:hAnsi="arial" w:cs="arial"/>
          <w:color w:val="000000"/>
          <w:sz w:val="20"/>
          <w:lang w:val="en-US" w:eastAsia="en-US" w:bidi="ar-SA"/>
        </w:rPr>
        <w:t>  In the present case, Viviane was not in a position of domination or potential domination over Eida. While Viviane provided ongoing support and companionship to Eida, she was not providing day to day care. Viviane was involved in Eida's care during hospitalizations for hip and pelvis fractures, but Eida recovered from each of these injuries and was generally in good physical health. Eida also remained financially self-sufficient throughout her lifetime, and employed her own personnel for home assistance. She did not rely on Viviane to provide or pay for that assistance.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419</w:t>
      </w:r>
      <w:r>
        <w:rPr>
          <w:rFonts w:ascii="arial" w:eastAsia="arial" w:hAnsi="arial" w:cs="arial"/>
          <w:color w:val="000000"/>
          <w:sz w:val="20"/>
          <w:lang w:val="en-US" w:eastAsia="en-US" w:bidi="ar-SA"/>
        </w:rPr>
        <w:t>  Eida had full mental capacity at the material times. The evidence overwhelmingly establishes that until within days of her death, Eida's mental capacity was intact. As noted by the psychologist who tested her in late November, 2001, Eida's judgment and insight were apparent. She presented as witty and intelligent, and clearly able to make informed decisions on her own behalf.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420</w:t>
      </w:r>
      <w:r>
        <w:rPr>
          <w:rFonts w:ascii="arial" w:eastAsia="arial" w:hAnsi="arial" w:cs="arial"/>
          <w:color w:val="000000"/>
          <w:sz w:val="20"/>
          <w:lang w:val="en-US" w:eastAsia="en-US" w:bidi="ar-SA"/>
        </w:rPr>
        <w:t>  Viviane at all times enjoyed a much closer relationship with her parents than Alex did. At times, Alex had no relationship at all with them. Viviane was a large part of their day to day lives from the time they moved to Vancouver from Turkey. After Gabriel's death, Viviane was Eida's mainstay. However, that close relationship was not one of dominance by Viviane over her mother.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421</w:t>
      </w:r>
      <w:r>
        <w:rPr>
          <w:rFonts w:ascii="arial" w:eastAsia="arial" w:hAnsi="arial" w:cs="arial"/>
          <w:color w:val="000000"/>
          <w:sz w:val="20"/>
          <w:lang w:val="en-US" w:eastAsia="en-US" w:bidi="ar-SA"/>
        </w:rPr>
        <w:t>  Eida's companions and caregivers, Ms. Shariff and Ms. Quadir, both of whom spent a great deal of time with Eida from 1996 until her death, were of the view that Eida was a proud, independent and strong-willed woman. Neither saw anything other than a caring, loving relationship between Eida and Viviane.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422</w:t>
      </w:r>
      <w:r>
        <w:rPr>
          <w:rFonts w:ascii="arial" w:eastAsia="arial" w:hAnsi="arial" w:cs="arial"/>
          <w:color w:val="000000"/>
          <w:sz w:val="20"/>
          <w:lang w:val="en-US" w:eastAsia="en-US" w:bidi="ar-SA"/>
        </w:rPr>
        <w:t>  Many other witnesses testified to their observations of Eida in the years following Gabriel's death in 1996, and echoed the views of Eida's caregivers as to her independent nature, her strong will and her mental acuity.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423</w:t>
      </w:r>
      <w:r>
        <w:rPr>
          <w:rFonts w:ascii="arial" w:eastAsia="arial" w:hAnsi="arial" w:cs="arial"/>
          <w:color w:val="000000"/>
          <w:sz w:val="20"/>
          <w:lang w:val="en-US" w:eastAsia="en-US" w:bidi="ar-SA"/>
        </w:rPr>
        <w:t>  There was no evidence of actual undue influence on Viviane's part. With respect to each of the transactions in question, Eida had independent legal advice. At times, she was receiving legal advice from more than one source.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424</w:t>
      </w:r>
      <w:r>
        <w:rPr>
          <w:rFonts w:ascii="arial" w:eastAsia="arial" w:hAnsi="arial" w:cs="arial"/>
          <w:color w:val="000000"/>
          <w:sz w:val="20"/>
          <w:lang w:val="en-US" w:eastAsia="en-US" w:bidi="ar-SA"/>
        </w:rPr>
        <w:t>  Ms. Richter and Mr. Wilson are, and were at the material times, legal counsel with extensive experience in the area of wills and estate planning. They both testified that they are always alive to the issue of undue influence when dealing with estate matters. Neither had any concern about Gabriel and Eida, and later, Eida alone, being unduly influenced by Viviane.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425</w:t>
      </w:r>
      <w:r>
        <w:rPr>
          <w:rFonts w:ascii="arial" w:eastAsia="arial" w:hAnsi="arial" w:cs="arial"/>
          <w:color w:val="000000"/>
          <w:sz w:val="20"/>
          <w:lang w:val="en-US" w:eastAsia="en-US" w:bidi="ar-SA"/>
        </w:rPr>
        <w:t>  Ms. Richter first met with Gabriel and Eida in 1992, when the couple signed general powers of attorney in favour of Viviane and executed mirror wills. Viviane was not present during any of those discussions with Ms. Richter.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426</w:t>
      </w:r>
      <w:r>
        <w:rPr>
          <w:rFonts w:ascii="arial" w:eastAsia="arial" w:hAnsi="arial" w:cs="arial"/>
          <w:color w:val="000000"/>
          <w:sz w:val="20"/>
          <w:lang w:val="en-US" w:eastAsia="en-US" w:bidi="ar-SA"/>
        </w:rPr>
        <w:t>  Mr. Wilson first met with Gabriel and Eida in June of 1993. Mr. Wilson was involved in the conveyance of the Condominium in joint tenancy with Viviane later that same month. Viviane was present with her parents at their initial meeting with Mr. Wilson, but left the meeting for about a half-hour while Mr. Wilson discussed with them their specific intentions concerning their estate planning. Mr. Wilson's notes of this meeting reflect his opinion that Gabriel and Eida were "clear minded" and "very definite in their thinking". He also noted, "No undue influence".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427</w:t>
      </w:r>
      <w:r>
        <w:rPr>
          <w:rFonts w:ascii="arial" w:eastAsia="arial" w:hAnsi="arial" w:cs="arial"/>
          <w:color w:val="000000"/>
          <w:sz w:val="20"/>
          <w:lang w:val="en-US" w:eastAsia="en-US" w:bidi="ar-SA"/>
        </w:rPr>
        <w:t>  Ms. Richter and Mr. Wilson both met with Eida in 1996 after Gabriel's death. Mr. Wilson was involved in the drafting of the Deed of Gift. Ms. Richter was involved in the drafting of Eida's 1996 will. Once again, both were satisfied that Eida was not being unduly influenced in her decisions concerning her estate. Ms. Richter was particularly struck by Eida's vigour, independence and strong-mindedness.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428</w:t>
      </w:r>
      <w:r>
        <w:rPr>
          <w:rFonts w:ascii="arial" w:eastAsia="arial" w:hAnsi="arial" w:cs="arial"/>
          <w:color w:val="000000"/>
          <w:sz w:val="20"/>
          <w:lang w:val="en-US" w:eastAsia="en-US" w:bidi="ar-SA"/>
        </w:rPr>
        <w:t>  Mr. Wolfe, the representative of RBC Dominion Securities who dealt with Eida and Viviane at the time of the creation of the joint investment account, was also alive to the issue of undue influence and had no concerns.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429</w:t>
      </w:r>
      <w:r>
        <w:rPr>
          <w:rFonts w:ascii="arial" w:eastAsia="arial" w:hAnsi="arial" w:cs="arial"/>
          <w:color w:val="000000"/>
          <w:sz w:val="20"/>
          <w:lang w:val="en-US" w:eastAsia="en-US" w:bidi="ar-SA"/>
        </w:rPr>
        <w:t>  It is clear that Viviane was aware of Eida's intentions with respect to the disposition of her assets. I have no doubt that Eida discussed her objectives with Viviane at various points in time. Viviane sat in on her parents' meeting with Mr. Wilson in 1993, and attended Eida's meeting with Mr. Wilson in 1996. Viviane's role as a joint holder of the accounts and joint tenant of the Condominium, as well as her designation as a beneficiary of the Trust, were integral to the overall estate plan. However, her involvement does not establish undue influence. In my view, Viviane's assertion that she did not discuss estate-planning matters with Eida stemmed from her sensitivity to Alex's position that Viviane had undermined his relationship with their parents and exerted improper influence on them in order to deprive him of his rightful inheritance.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430</w:t>
      </w:r>
      <w:r>
        <w:rPr>
          <w:rFonts w:ascii="arial" w:eastAsia="arial" w:hAnsi="arial" w:cs="arial"/>
          <w:color w:val="000000"/>
          <w:sz w:val="20"/>
          <w:lang w:val="en-US" w:eastAsia="en-US" w:bidi="ar-SA"/>
        </w:rPr>
        <w:t>  Viviane could easily have attempted to persuade Eida, in 1996, to accept the complex estate freeze plan proposed by Mr. Wilson that would have resulted in the outright transfer of the Warehouse to her. Yet Viviane did not want Mr. Wilson to present the option to Eida. In her words, she did not want to "complicate her mother's life" with the structure of the estate freeze and the resulting tax consequences. That is not the action of a daughter attempting to exert influence on a parent for her own gain.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431</w:t>
      </w:r>
      <w:r>
        <w:rPr>
          <w:rFonts w:ascii="arial" w:eastAsia="arial" w:hAnsi="arial" w:cs="arial"/>
          <w:color w:val="000000"/>
          <w:sz w:val="20"/>
          <w:lang w:val="en-US" w:eastAsia="en-US" w:bidi="ar-SA"/>
        </w:rPr>
        <w:t>  Alex pointed to Viviane's meeting with Mr. Wilson in August of 2000 as evidence of undue influence in the creation of the Trust. I am satisfied that Viviane went to Mr. Wilson's office at that time not because of the "stop payment" on the cheque, but because of her concern as to Alex's motive for providing a car and driver to Eida. Nevertheless, the question is whether the evidence of the circumstances surrounding that meeting, and subsequent meetings between Eida and Mr. Wilson, establishes that the creation of the Trust was tainted by undue influence on the part of Viviane. In my view, it does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432</w:t>
      </w:r>
      <w:r>
        <w:rPr>
          <w:rFonts w:ascii="arial" w:eastAsia="arial" w:hAnsi="arial" w:cs="arial"/>
          <w:color w:val="000000"/>
          <w:sz w:val="20"/>
          <w:lang w:val="en-US" w:eastAsia="en-US" w:bidi="ar-SA"/>
        </w:rPr>
        <w:t>  Viviane's concern may have precipitated the meeting between Eida and Mr. Wilson. However, the Trust was created on the advice of Mr. Wilson. Viviane had no involvement in its creation, and was away from Vancouver throughout the time Mr. Wilson met with Eida and discussed the implications of the Trust. Mr. Wilson's involvement was as Eida's solicitor. He was retained by Eida and was careful, throughout his dealings with her, to ensure that she understood his advice and agreed with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433</w:t>
      </w:r>
      <w:r>
        <w:rPr>
          <w:rFonts w:ascii="arial" w:eastAsia="arial" w:hAnsi="arial" w:cs="arial"/>
          <w:color w:val="000000"/>
          <w:sz w:val="20"/>
          <w:lang w:val="en-US" w:eastAsia="en-US" w:bidi="ar-SA"/>
        </w:rPr>
        <w:t>  Mr. Wilson's evidence, which I accept, is that Eida made it clear from the outset of the meeting on August 29, 2000, that she still wished to transfer the Warehouse to Viviane such that it would not pass by her will. According to Mr. Wilson's notes, one of the first matters Eida raised was Alex's unexpected return to her life and his offer of the car and driver. Eida advised Mr. Wilson that despite this gesture, she was still not willing to accede to Alex's position that she ought to divide her estate equally amongst Gabby, Galia and Viviane.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434</w:t>
      </w:r>
      <w:r>
        <w:rPr>
          <w:rFonts w:ascii="arial" w:eastAsia="arial" w:hAnsi="arial" w:cs="arial"/>
          <w:color w:val="000000"/>
          <w:sz w:val="20"/>
          <w:lang w:val="en-US" w:eastAsia="en-US" w:bidi="ar-SA"/>
        </w:rPr>
        <w:t>  Mr. Wilson met again with Eida on September 5, 2000. Mr. Wilson's colleague, Mr. Frith, was also present. In the lengthy meeting on that date, Mr. Wilson reviewed in detail with Eida the draft of the Trust they had discussed earlier. Viviane was still away from Vancouver on vacation. Eida once again confirmed her intentions with respect to the disposition of her estate and the transfer of the Warehouse by way of the Trust. Mr. Wilson and Mr. Frith satisfied themselves that Eida was under no undue influence when she signed the Trust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 regarding undue influence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435</w:t>
      </w:r>
      <w:r>
        <w:rPr>
          <w:rFonts w:ascii="arial" w:eastAsia="arial" w:hAnsi="arial" w:cs="arial"/>
          <w:color w:val="000000"/>
          <w:sz w:val="20"/>
          <w:lang w:val="en-US" w:eastAsia="en-US" w:bidi="ar-SA"/>
        </w:rPr>
        <w:t>  I conclude that Eida was not unduly influenced by Viviane with respect to any of the transactions in issue. Thus, the transactions involving the Trust, Condominium, joint accounts and Deed of Gift were not invalidated by undue influence.</w:t>
      </w:r>
      <w:r>
        <w:rPr>
          <w:rFonts w:ascii="arial" w:eastAsia="arial" w:hAnsi="arial" w:cs="arial"/>
          <w:sz w:val="20"/>
          <w:lang w:val="en-US" w:eastAsia="en-US" w:bidi="ar-SA"/>
        </w:rPr>
        <w:cr/>
      </w:r>
    </w:p>
    <w:p>
      <w:pPr>
        <w:numPr>
          <w:numId w:val="79"/>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Breach of fiduciary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436</w:t>
      </w:r>
      <w:r>
        <w:rPr>
          <w:rFonts w:ascii="arial" w:eastAsia="arial" w:hAnsi="arial" w:cs="arial"/>
          <w:color w:val="000000"/>
          <w:sz w:val="20"/>
          <w:lang w:val="en-US" w:eastAsia="en-US" w:bidi="ar-SA"/>
        </w:rPr>
        <w:t>  Alex also argued that Viviane had a fiduciary duty to her mother and breached that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437</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Gladstone v. Canada (Attorney General)</w:t>
      </w:r>
      <w:r>
        <w:rPr>
          <w:rFonts w:ascii="arial" w:eastAsia="arial" w:hAnsi="arial" w:cs="arial"/>
          <w:color w:val="000000"/>
          <w:sz w:val="20"/>
          <w:lang w:val="en-US" w:eastAsia="en-US" w:bidi="ar-SA"/>
        </w:rPr>
        <w:t xml:space="preserve">, </w:t>
      </w:r>
      <w:hyperlink r:id="rId63" w:history="1">
        <w:r>
          <w:rPr>
            <w:rFonts w:ascii="arial" w:eastAsia="arial" w:hAnsi="arial" w:cs="arial"/>
            <w:i/>
            <w:color w:val="0077CC"/>
            <w:sz w:val="20"/>
            <w:u w:val="single"/>
            <w:shd w:val="clear" w:color="auto" w:fill="FFFFFF"/>
            <w:lang w:val="en-US" w:eastAsia="en-US" w:bidi="ar-SA"/>
          </w:rPr>
          <w:t>[2005] 1 S.C.R. 325</w:t>
        </w:r>
      </w:hyperlink>
      <w:r>
        <w:rPr>
          <w:rFonts w:ascii="arial" w:eastAsia="arial" w:hAnsi="arial" w:cs="arial"/>
          <w:color w:val="000000"/>
          <w:sz w:val="20"/>
          <w:lang w:val="en-US" w:eastAsia="en-US" w:bidi="ar-SA"/>
        </w:rPr>
        <w:t xml:space="preserve"> at para. 26, </w:t>
      </w:r>
      <w:hyperlink r:id="rId63" w:history="1">
        <w:r>
          <w:rPr>
            <w:rFonts w:ascii="arial" w:eastAsia="arial" w:hAnsi="arial" w:cs="arial"/>
            <w:i/>
            <w:color w:val="0077CC"/>
            <w:sz w:val="20"/>
            <w:u w:val="single"/>
            <w:shd w:val="clear" w:color="auto" w:fill="FFFFFF"/>
            <w:lang w:val="en-US" w:eastAsia="en-US" w:bidi="ar-SA"/>
          </w:rPr>
          <w:t>2005 SCC 21</w:t>
        </w:r>
      </w:hyperlink>
      <w:r>
        <w:rPr>
          <w:rFonts w:ascii="arial" w:eastAsia="arial" w:hAnsi="arial" w:cs="arial"/>
          <w:color w:val="000000"/>
          <w:sz w:val="20"/>
          <w:lang w:val="en-US" w:eastAsia="en-US" w:bidi="ar-SA"/>
        </w:rPr>
        <w:t xml:space="preserve"> the Supreme Court of Canada observed that fiduciary relationships generally have the following characteristics:</w:t>
      </w:r>
      <w:r>
        <w:rPr>
          <w:rFonts w:ascii="arial" w:eastAsia="arial" w:hAnsi="arial" w:cs="arial"/>
          <w:sz w:val="20"/>
          <w:lang w:val="en-US" w:eastAsia="en-US" w:bidi="ar-SA"/>
        </w:rPr>
        <w:cr/>
      </w:r>
    </w:p>
    <w:p>
      <w:pPr>
        <w:numPr>
          <w:numId w:val="8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fiduciary has scope for the exercise of some discretion or power;</w:t>
      </w:r>
    </w:p>
    <w:p>
      <w:pPr>
        <w:numPr>
          <w:numId w:val="8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fiduciary can unilaterally exercise that power or discretion so as to affect the beneficiary's legal or practical interests; and</w:t>
      </w:r>
    </w:p>
    <w:p>
      <w:pPr>
        <w:numPr>
          <w:numId w:val="8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beneficiary is peculiarly vulnerable to or at the mercy of the fiduciary holding the discretion or power.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438</w:t>
      </w:r>
      <w:r>
        <w:rPr>
          <w:rFonts w:ascii="arial" w:eastAsia="arial" w:hAnsi="arial" w:cs="arial"/>
          <w:color w:val="000000"/>
          <w:sz w:val="20"/>
          <w:lang w:val="en-US" w:eastAsia="en-US" w:bidi="ar-SA"/>
        </w:rPr>
        <w:t xml:space="preserve">  These characteristics were originally enumerated by Wilson J. (dissenting) in </w:t>
      </w:r>
      <w:r>
        <w:rPr>
          <w:rFonts w:ascii="arial" w:eastAsia="arial" w:hAnsi="arial" w:cs="arial"/>
          <w:b/>
          <w:i/>
          <w:color w:val="000000"/>
          <w:sz w:val="20"/>
          <w:lang w:val="en-US" w:eastAsia="en-US" w:bidi="ar-SA"/>
        </w:rPr>
        <w:t>Frame v. Smith</w:t>
      </w:r>
      <w:r>
        <w:rPr>
          <w:rFonts w:ascii="arial" w:eastAsia="arial" w:hAnsi="arial" w:cs="arial"/>
          <w:color w:val="000000"/>
          <w:sz w:val="20"/>
          <w:lang w:val="en-US" w:eastAsia="en-US" w:bidi="ar-SA"/>
        </w:rPr>
        <w:t xml:space="preserve">, </w:t>
      </w:r>
      <w:hyperlink r:id="rId64" w:history="1">
        <w:r>
          <w:rPr>
            <w:rFonts w:ascii="arial" w:eastAsia="arial" w:hAnsi="arial" w:cs="arial"/>
            <w:i/>
            <w:color w:val="0077CC"/>
            <w:sz w:val="20"/>
            <w:u w:val="single"/>
            <w:shd w:val="clear" w:color="auto" w:fill="FFFFFF"/>
            <w:lang w:val="en-US" w:eastAsia="en-US" w:bidi="ar-SA"/>
          </w:rPr>
          <w:t>[1987] 2 S.C.R. 99</w:t>
        </w:r>
      </w:hyperlink>
      <w:r>
        <w:rPr>
          <w:rFonts w:ascii="arial" w:eastAsia="arial" w:hAnsi="arial" w:cs="arial"/>
          <w:color w:val="000000"/>
          <w:sz w:val="20"/>
          <w:lang w:val="en-US" w:eastAsia="en-US" w:bidi="ar-SA"/>
        </w:rPr>
        <w:t xml:space="preserve"> at 136. With respect to the issue of vulnerability, in </w:t>
      </w:r>
      <w:r>
        <w:rPr>
          <w:rFonts w:ascii="arial" w:eastAsia="arial" w:hAnsi="arial" w:cs="arial"/>
          <w:b/>
          <w:i/>
          <w:color w:val="000000"/>
          <w:sz w:val="20"/>
          <w:lang w:val="en-US" w:eastAsia="en-US" w:bidi="ar-SA"/>
        </w:rPr>
        <w:t>Hodgkinson v. Simms</w:t>
      </w:r>
      <w:r>
        <w:rPr>
          <w:rFonts w:ascii="arial" w:eastAsia="arial" w:hAnsi="arial" w:cs="arial"/>
          <w:color w:val="000000"/>
          <w:sz w:val="20"/>
          <w:lang w:val="en-US" w:eastAsia="en-US" w:bidi="ar-SA"/>
        </w:rPr>
        <w:t xml:space="preserve">, </w:t>
      </w:r>
      <w:hyperlink r:id="rId65" w:history="1">
        <w:r>
          <w:rPr>
            <w:rFonts w:ascii="arial" w:eastAsia="arial" w:hAnsi="arial" w:cs="arial"/>
            <w:i/>
            <w:color w:val="0077CC"/>
            <w:sz w:val="20"/>
            <w:u w:val="single"/>
            <w:shd w:val="clear" w:color="auto" w:fill="FFFFFF"/>
            <w:lang w:val="en-US" w:eastAsia="en-US" w:bidi="ar-SA"/>
          </w:rPr>
          <w:t>[1994] 3 S.C.R. 377</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Hodgkinson</w:t>
      </w:r>
      <w:r>
        <w:rPr>
          <w:rFonts w:ascii="arial" w:eastAsia="arial" w:hAnsi="arial" w:cs="arial"/>
          <w:color w:val="000000"/>
          <w:sz w:val="20"/>
          <w:lang w:val="en-US" w:eastAsia="en-US" w:bidi="ar-SA"/>
        </w:rPr>
        <w:t>], McLachlin J. (as she then was), dissenting (writing for herself, Sopinka and Major JJ.),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Vulnerability is the one feature which is considered to be indispensable to the existence of [a fiduciary] relationship (McLachlin J. at para. 119 citing Sopinka J. dissenting in </w:t>
      </w:r>
      <w:r>
        <w:rPr>
          <w:rFonts w:ascii="arial" w:eastAsia="arial" w:hAnsi="arial" w:cs="arial"/>
          <w:b/>
          <w:i/>
          <w:color w:val="000000"/>
          <w:sz w:val="20"/>
          <w:lang w:val="en-US" w:eastAsia="en-US" w:bidi="ar-SA"/>
        </w:rPr>
        <w:t>Lac Minerals Ltd. v. International Corona Resources Ltd.</w:t>
      </w:r>
      <w:r>
        <w:rPr>
          <w:rFonts w:ascii="arial" w:eastAsia="arial" w:hAnsi="arial" w:cs="arial"/>
          <w:color w:val="000000"/>
          <w:sz w:val="20"/>
          <w:lang w:val="en-US" w:eastAsia="en-US" w:bidi="ar-SA"/>
        </w:rPr>
        <w:t xml:space="preserve">, </w:t>
      </w:r>
      <w:hyperlink r:id="rId66" w:history="1">
        <w:r>
          <w:rPr>
            <w:rFonts w:ascii="arial" w:eastAsia="arial" w:hAnsi="arial" w:cs="arial"/>
            <w:i/>
            <w:color w:val="0077CC"/>
            <w:sz w:val="20"/>
            <w:u w:val="single"/>
            <w:shd w:val="clear" w:color="auto" w:fill="FFFFFF"/>
            <w:lang w:val="en-US" w:eastAsia="en-US" w:bidi="ar-SA"/>
          </w:rPr>
          <w:t>[1989] 2 S.C.R. 574</w:t>
        </w:r>
      </w:hyperlink>
      <w:r>
        <w:rPr>
          <w:rFonts w:ascii="arial" w:eastAsia="arial" w:hAnsi="arial" w:cs="arial"/>
          <w:color w:val="000000"/>
          <w:sz w:val="20"/>
          <w:lang w:val="en-US" w:eastAsia="en-US" w:bidi="ar-SA"/>
        </w:rPr>
        <w:t xml:space="preserve"> at 599).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439</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Hodgkinson</w:t>
      </w:r>
      <w:r>
        <w:rPr>
          <w:rFonts w:ascii="arial" w:eastAsia="arial" w:hAnsi="arial" w:cs="arial"/>
          <w:color w:val="000000"/>
          <w:sz w:val="20"/>
          <w:lang w:val="en-US" w:eastAsia="en-US" w:bidi="ar-SA"/>
        </w:rPr>
        <w:t>, LaForest J., writing for the majority, did not agree that vulnerability was an essential feature of fiduciary relationships.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440</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Hodgkinson,</w:t>
      </w:r>
      <w:r>
        <w:rPr>
          <w:rFonts w:ascii="arial" w:eastAsia="arial" w:hAnsi="arial" w:cs="arial"/>
          <w:color w:val="000000"/>
          <w:sz w:val="20"/>
          <w:lang w:val="en-US" w:eastAsia="en-US" w:bidi="ar-SA"/>
        </w:rPr>
        <w:t xml:space="preserve"> McLachlin J. said the following about vulnerability: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[Vulnerability] comports the notion, not only of weakness in the dependent party, but of a relationship in which one party is in the power of the other. To use the phrase of Professor Weinrib, "The Fiduciary Obligation" (1975), 25 U.T.L.J. 1, at p. 7, quoted in </w:t>
      </w:r>
      <w:r>
        <w:rPr>
          <w:rFonts w:ascii="arial" w:eastAsia="arial" w:hAnsi="arial" w:cs="arial"/>
          <w:b/>
          <w:i/>
          <w:color w:val="000000"/>
          <w:sz w:val="20"/>
          <w:lang w:val="en-US" w:eastAsia="en-US" w:bidi="ar-SA"/>
        </w:rPr>
        <w:t>Guerin</w:t>
      </w:r>
      <w:r>
        <w:rPr>
          <w:rFonts w:ascii="arial" w:eastAsia="arial" w:hAnsi="arial" w:cs="arial"/>
          <w:color w:val="000000"/>
          <w:sz w:val="20"/>
          <w:lang w:val="en-US" w:eastAsia="en-US" w:bidi="ar-SA"/>
        </w:rPr>
        <w:t xml:space="preserve">, </w:t>
      </w:r>
      <w:hyperlink r:id="rId67" w:history="1">
        <w:r>
          <w:rPr>
            <w:rFonts w:ascii="arial" w:eastAsia="arial" w:hAnsi="arial" w:cs="arial"/>
            <w:i/>
            <w:color w:val="0077CC"/>
            <w:sz w:val="20"/>
            <w:u w:val="single"/>
            <w:shd w:val="clear" w:color="auto" w:fill="FFFFFF"/>
            <w:lang w:val="en-US" w:eastAsia="en-US" w:bidi="ar-SA"/>
          </w:rPr>
          <w:t>[1984] 2 S.C.R. 335</w:t>
        </w:r>
      </w:hyperlink>
      <w:r>
        <w:rPr>
          <w:rFonts w:ascii="arial" w:eastAsia="arial" w:hAnsi="arial" w:cs="arial"/>
          <w:color w:val="000000"/>
          <w:sz w:val="20"/>
          <w:lang w:val="en-US" w:eastAsia="en-US" w:bidi="ar-SA"/>
        </w:rPr>
        <w:t xml:space="preserve"> at p. 384 and in </w:t>
      </w:r>
      <w:r>
        <w:rPr>
          <w:rFonts w:ascii="arial" w:eastAsia="arial" w:hAnsi="arial" w:cs="arial"/>
          <w:b/>
          <w:i/>
          <w:color w:val="000000"/>
          <w:sz w:val="20"/>
          <w:lang w:val="en-US" w:eastAsia="en-US" w:bidi="ar-SA"/>
        </w:rPr>
        <w:t>Lac Minerals</w:t>
      </w:r>
      <w:r>
        <w:rPr>
          <w:rFonts w:ascii="arial" w:eastAsia="arial" w:hAnsi="arial" w:cs="arial"/>
          <w:color w:val="000000"/>
          <w:sz w:val="20"/>
          <w:lang w:val="en-US" w:eastAsia="en-US" w:bidi="ar-SA"/>
        </w:rPr>
        <w:t xml:space="preserve"> at p. 600, ". . . the hallmark of a fiduciary relation is that the relative legal positions are such that one party is at the mercy of the other's discretion" (</w:t>
      </w:r>
      <w:r>
        <w:rPr>
          <w:rFonts w:ascii="arial" w:eastAsia="arial" w:hAnsi="arial" w:cs="arial"/>
          <w:b/>
          <w:i/>
          <w:color w:val="000000"/>
          <w:sz w:val="20"/>
          <w:lang w:val="en-US" w:eastAsia="en-US" w:bidi="ar-SA"/>
        </w:rPr>
        <w:t>Hodgkinson</w:t>
      </w:r>
      <w:r>
        <w:rPr>
          <w:rFonts w:ascii="arial" w:eastAsia="arial" w:hAnsi="arial" w:cs="arial"/>
          <w:color w:val="000000"/>
          <w:sz w:val="20"/>
          <w:lang w:val="en-US" w:eastAsia="en-US" w:bidi="ar-SA"/>
        </w:rPr>
        <w:t xml:space="preserve"> at para. 129).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Vulnerability does not mean merely "weak" or "weaker". It connotes a relationship of dependency, an "implicit dependency" by the beneficiary on the fiduciary (D.S.K. Ong, "Fiduciaries: Identification and Remedies" (1984), 8 U. of Tasm. L. Rev. 311, at p. 315); a relationship where one party has ceded power to the other and is, hence, literally "at the mercy" of the other (</w:t>
      </w:r>
      <w:r>
        <w:rPr>
          <w:rFonts w:ascii="arial" w:eastAsia="arial" w:hAnsi="arial" w:cs="arial"/>
          <w:b/>
          <w:i/>
          <w:color w:val="000000"/>
          <w:sz w:val="20"/>
          <w:lang w:val="en-US" w:eastAsia="en-US" w:bidi="ar-SA"/>
        </w:rPr>
        <w:t>Hodgkinson</w:t>
      </w:r>
      <w:r>
        <w:rPr>
          <w:rFonts w:ascii="arial" w:eastAsia="arial" w:hAnsi="arial" w:cs="arial"/>
          <w:color w:val="000000"/>
          <w:sz w:val="20"/>
          <w:lang w:val="en-US" w:eastAsia="en-US" w:bidi="ar-SA"/>
        </w:rPr>
        <w:t xml:space="preserve"> at para. 129).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441</w:t>
      </w:r>
      <w:r>
        <w:rPr>
          <w:rFonts w:ascii="arial" w:eastAsia="arial" w:hAnsi="arial" w:cs="arial"/>
          <w:color w:val="000000"/>
          <w:sz w:val="20"/>
          <w:lang w:val="en-US" w:eastAsia="en-US" w:bidi="ar-SA"/>
        </w:rPr>
        <w:t>  Whether vulnerability is an essential feature of fiduciary relationships, or is merely an important one, it is clear that Eida was not in a position of vulnerability with respect to her relationship with Viviane. As noted earlier, Eida was a strong-willed, independent and mentally acute woman. Viviane did not exercise control over Eida and there is no basis for imposing a general fiduciary relationship in this context. Viviane owed Eida a fiduciary duty only when acting as her attorney under the power of attorney. There was no evidence to suggest that Viviane used the power of attorney improperly. It was not used to purchase the Condominium, establish the joint accounts or create the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 regarding fiduciary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442</w:t>
      </w:r>
      <w:r>
        <w:rPr>
          <w:rFonts w:ascii="arial" w:eastAsia="arial" w:hAnsi="arial" w:cs="arial"/>
          <w:color w:val="000000"/>
          <w:sz w:val="20"/>
          <w:lang w:val="en-US" w:eastAsia="en-US" w:bidi="ar-SA"/>
        </w:rPr>
        <w:t>  All of the steps taken by Eida concerning the disposition of her assets were taken after seeking independent legal advice. Viviane did not give instructions to Eida's legal counsel in any capacity. Both Mr. Wilson and Ms. Richter were clear that Eida was their client and that the instructions they received were from Eida. Accordingly, Alex's argument concerning breach of fiduciary duty fails.</w:t>
      </w:r>
      <w:r>
        <w:rPr>
          <w:rFonts w:ascii="arial" w:eastAsia="arial" w:hAnsi="arial" w:cs="arial"/>
          <w:sz w:val="20"/>
          <w:lang w:val="en-US" w:eastAsia="en-US" w:bidi="ar-SA"/>
        </w:rPr>
        <w:cr/>
      </w:r>
    </w:p>
    <w:p>
      <w:pPr>
        <w:numPr>
          <w:numId w:val="81"/>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The WVA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443</w:t>
      </w:r>
      <w:r>
        <w:rPr>
          <w:rFonts w:ascii="arial" w:eastAsia="arial" w:hAnsi="arial" w:cs="arial"/>
          <w:color w:val="000000"/>
          <w:sz w:val="20"/>
          <w:lang w:val="en-US" w:eastAsia="en-US" w:bidi="ar-SA"/>
        </w:rPr>
        <w:t>  I have concluded that none of Eida's assets passed by her will. As there are no assets in the estate, any variance of the will to provide a gift to Alex can have no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444</w:t>
      </w:r>
      <w:r>
        <w:rPr>
          <w:rFonts w:ascii="arial" w:eastAsia="arial" w:hAnsi="arial" w:cs="arial"/>
          <w:color w:val="000000"/>
          <w:sz w:val="20"/>
          <w:lang w:val="en-US" w:eastAsia="en-US" w:bidi="ar-SA"/>
        </w:rPr>
        <w:t xml:space="preserve">  Alex claimed that the Will (and Codicil) should be varied to provide him with a bequest in the range of 25% to 33% of the estate. I will address that claim in the event that my conclusions concerning the </w:t>
      </w:r>
      <w:r>
        <w:rPr>
          <w:rFonts w:ascii="arial" w:eastAsia="arial" w:hAnsi="arial" w:cs="arial"/>
          <w:i/>
          <w:color w:val="000000"/>
          <w:sz w:val="20"/>
          <w:lang w:val="en-US" w:eastAsia="en-US" w:bidi="ar-SA"/>
        </w:rPr>
        <w:t>inter vivos</w:t>
      </w:r>
      <w:r>
        <w:rPr>
          <w:rFonts w:ascii="arial" w:eastAsia="arial" w:hAnsi="arial" w:cs="arial"/>
          <w:color w:val="000000"/>
          <w:sz w:val="20"/>
          <w:lang w:val="en-US" w:eastAsia="en-US" w:bidi="ar-SA"/>
        </w:rPr>
        <w:t xml:space="preserve"> nature of Eida's dispositions are wrong.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law under the WVA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445</w:t>
      </w:r>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WVA</w:t>
      </w:r>
      <w:r>
        <w:rPr>
          <w:rFonts w:ascii="arial" w:eastAsia="arial" w:hAnsi="arial" w:cs="arial"/>
          <w:color w:val="000000"/>
          <w:sz w:val="20"/>
          <w:lang w:val="en-US" w:eastAsia="en-US" w:bidi="ar-SA"/>
        </w:rPr>
        <w:t xml:space="preserve"> provides that if adequate provision for the proper maintenance and support of the testator's children has not been made, a court may order provision that is adequate, just and equitable in the circumstances (</w:t>
      </w:r>
      <w:r>
        <w:rPr>
          <w:rFonts w:ascii="arial" w:eastAsia="arial" w:hAnsi="arial" w:cs="arial"/>
          <w:b/>
          <w:i/>
          <w:color w:val="000000"/>
          <w:sz w:val="20"/>
          <w:lang w:val="en-US" w:eastAsia="en-US" w:bidi="ar-SA"/>
        </w:rPr>
        <w:t>WVA</w:t>
      </w:r>
      <w:r>
        <w:rPr>
          <w:rFonts w:ascii="arial" w:eastAsia="arial" w:hAnsi="arial" w:cs="arial"/>
          <w:color w:val="000000"/>
          <w:sz w:val="20"/>
          <w:lang w:val="en-US" w:eastAsia="en-US" w:bidi="ar-SA"/>
        </w:rPr>
        <w:t>, s.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446</w:t>
      </w:r>
      <w:r>
        <w:rPr>
          <w:rFonts w:ascii="arial" w:eastAsia="arial" w:hAnsi="arial" w:cs="arial"/>
          <w:color w:val="000000"/>
          <w:sz w:val="20"/>
          <w:lang w:val="en-US" w:eastAsia="en-US" w:bidi="ar-SA"/>
        </w:rPr>
        <w:t xml:space="preserve">  Subsections 5(1) and (2) of the </w:t>
      </w:r>
      <w:r>
        <w:rPr>
          <w:rFonts w:ascii="arial" w:eastAsia="arial" w:hAnsi="arial" w:cs="arial"/>
          <w:b/>
          <w:i/>
          <w:color w:val="000000"/>
          <w:sz w:val="20"/>
          <w:lang w:val="en-US" w:eastAsia="en-US" w:bidi="ar-SA"/>
        </w:rPr>
        <w:t>WVA</w:t>
      </w:r>
      <w:r>
        <w:rPr>
          <w:rFonts w:ascii="arial" w:eastAsia="arial" w:hAnsi="arial" w:cs="arial"/>
          <w:color w:val="000000"/>
          <w:sz w:val="20"/>
          <w:lang w:val="en-US" w:eastAsia="en-US" w:bidi="ar-SA"/>
        </w:rPr>
        <w:t xml:space="preserve"> provide:</w:t>
      </w:r>
      <w:r>
        <w:rPr>
          <w:rFonts w:ascii="arial" w:eastAsia="arial" w:hAnsi="arial" w:cs="arial"/>
          <w:sz w:val="20"/>
          <w:lang w:val="en-US" w:eastAsia="en-US" w:bidi="ar-SA"/>
        </w:rPr>
        <w:cr/>
      </w:r>
    </w:p>
    <w:p>
      <w:pPr>
        <w:numPr>
          <w:numId w:val="8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an action under section 2 [for maintenance from the estate] the court may accept the evidence it considers proper of the testator's reasons, so far as ascertainable,</w:t>
      </w:r>
    </w:p>
    <w:p>
      <w:pPr>
        <w:numPr>
          <w:numId w:val="8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making the dispositions made in the will, or</w:t>
      </w:r>
    </w:p>
    <w:p>
      <w:pPr>
        <w:numPr>
          <w:numId w:val="8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not making adequate provision for the spouse or children,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including any written statement signed by the testator.</w:t>
      </w:r>
    </w:p>
    <w:p>
      <w:pPr>
        <w:numPr>
          <w:numId w:val="8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estimating the weight to be given to a statement referred to in subsection (1), the court must have regard to all the circumstances from which an inference may reasonably be drawn about the accuracy or otherwise of the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447</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Bell v. Roy Estate</w:t>
      </w:r>
      <w:r>
        <w:rPr>
          <w:rFonts w:ascii="arial" w:eastAsia="arial" w:hAnsi="arial" w:cs="arial"/>
          <w:color w:val="000000"/>
          <w:sz w:val="20"/>
          <w:lang w:val="en-US" w:eastAsia="en-US" w:bidi="ar-SA"/>
        </w:rPr>
        <w:t xml:space="preserve"> </w:t>
      </w:r>
      <w:hyperlink r:id="rId68" w:history="1">
        <w:r>
          <w:rPr>
            <w:rFonts w:ascii="arial" w:eastAsia="arial" w:hAnsi="arial" w:cs="arial"/>
            <w:i/>
            <w:color w:val="0077CC"/>
            <w:sz w:val="20"/>
            <w:u w:val="single"/>
            <w:shd w:val="clear" w:color="auto" w:fill="FFFFFF"/>
            <w:lang w:val="en-US" w:eastAsia="en-US" w:bidi="ar-SA"/>
          </w:rPr>
          <w:t>(1993), 75 B.C.L.R. (2d) 213</w:t>
        </w:r>
      </w:hyperlink>
      <w:r>
        <w:rPr>
          <w:rFonts w:ascii="arial" w:eastAsia="arial" w:hAnsi="arial" w:cs="arial"/>
          <w:color w:val="000000"/>
          <w:sz w:val="20"/>
          <w:lang w:val="en-US" w:eastAsia="en-US" w:bidi="ar-SA"/>
        </w:rPr>
        <w:t xml:space="preserve"> (C.A.) [</w:t>
      </w:r>
      <w:r>
        <w:rPr>
          <w:rFonts w:ascii="arial" w:eastAsia="arial" w:hAnsi="arial" w:cs="arial"/>
          <w:b/>
          <w:i/>
          <w:color w:val="000000"/>
          <w:sz w:val="20"/>
          <w:lang w:val="en-US" w:eastAsia="en-US" w:bidi="ar-SA"/>
        </w:rPr>
        <w:t>Bell</w:t>
      </w:r>
      <w:r>
        <w:rPr>
          <w:rFonts w:ascii="arial" w:eastAsia="arial" w:hAnsi="arial" w:cs="arial"/>
          <w:color w:val="000000"/>
          <w:sz w:val="20"/>
          <w:lang w:val="en-US" w:eastAsia="en-US" w:bidi="ar-SA"/>
        </w:rPr>
        <w:t xml:space="preserve">], aff'g </w:t>
      </w:r>
      <w:hyperlink r:id="rId69" w:history="1">
        <w:r>
          <w:rPr>
            <w:rFonts w:ascii="arial" w:eastAsia="arial" w:hAnsi="arial" w:cs="arial"/>
            <w:i/>
            <w:color w:val="0077CC"/>
            <w:sz w:val="20"/>
            <w:u w:val="single"/>
            <w:shd w:val="clear" w:color="auto" w:fill="FFFFFF"/>
            <w:lang w:val="en-US" w:eastAsia="en-US" w:bidi="ar-SA"/>
          </w:rPr>
          <w:t>[1989] B.C.J. No. 1130</w:t>
        </w:r>
      </w:hyperlink>
      <w:r>
        <w:rPr>
          <w:rFonts w:ascii="arial" w:eastAsia="arial" w:hAnsi="arial" w:cs="arial"/>
          <w:color w:val="000000"/>
          <w:sz w:val="20"/>
          <w:lang w:val="en-US" w:eastAsia="en-US" w:bidi="ar-SA"/>
        </w:rPr>
        <w:t>, Goldie J.A. said the following with respect to provisions not significantly different to the above sections: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clear the legislature wished to ensure that otherwise inadmissible evidence was before the court and an aid to the court in the exercise of its discretion (</w:t>
      </w:r>
      <w:r>
        <w:rPr>
          <w:rFonts w:ascii="arial" w:eastAsia="arial" w:hAnsi="arial" w:cs="arial"/>
          <w:b/>
          <w:i/>
          <w:color w:val="000000"/>
          <w:sz w:val="20"/>
          <w:lang w:val="en-US" w:eastAsia="en-US" w:bidi="ar-SA"/>
        </w:rPr>
        <w:t>Bell</w:t>
      </w:r>
      <w:r>
        <w:rPr>
          <w:rFonts w:ascii="arial" w:eastAsia="arial" w:hAnsi="arial" w:cs="arial"/>
          <w:color w:val="000000"/>
          <w:sz w:val="20"/>
          <w:lang w:val="en-US" w:eastAsia="en-US" w:bidi="ar-SA"/>
        </w:rPr>
        <w:t xml:space="preserve"> at para. 37).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Moreover, it is apparent from subs. (4) [now s. 5(2)] that the weight to be given evidence of the testator's reasons is affected by its accuracy and not by morally acceptable or unacceptable content (</w:t>
      </w:r>
      <w:r>
        <w:rPr>
          <w:rFonts w:ascii="arial" w:eastAsia="arial" w:hAnsi="arial" w:cs="arial"/>
          <w:b/>
          <w:i/>
          <w:color w:val="000000"/>
          <w:sz w:val="20"/>
          <w:lang w:val="en-US" w:eastAsia="en-US" w:bidi="ar-SA"/>
        </w:rPr>
        <w:t>Bell</w:t>
      </w:r>
      <w:r>
        <w:rPr>
          <w:rFonts w:ascii="arial" w:eastAsia="arial" w:hAnsi="arial" w:cs="arial"/>
          <w:color w:val="000000"/>
          <w:sz w:val="20"/>
          <w:lang w:val="en-US" w:eastAsia="en-US" w:bidi="ar-SA"/>
        </w:rPr>
        <w:t xml:space="preserve"> at para. 38).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448</w:t>
      </w:r>
      <w:r>
        <w:rPr>
          <w:rFonts w:ascii="arial" w:eastAsia="arial" w:hAnsi="arial" w:cs="arial"/>
          <w:color w:val="000000"/>
          <w:sz w:val="20"/>
          <w:lang w:val="en-US" w:eastAsia="en-US" w:bidi="ar-SA"/>
        </w:rPr>
        <w:t xml:space="preserve">  The trial judge in </w:t>
      </w:r>
      <w:r>
        <w:rPr>
          <w:rFonts w:ascii="arial" w:eastAsia="arial" w:hAnsi="arial" w:cs="arial"/>
          <w:b/>
          <w:i/>
          <w:color w:val="000000"/>
          <w:sz w:val="20"/>
          <w:lang w:val="en-US" w:eastAsia="en-US" w:bidi="ar-SA"/>
        </w:rPr>
        <w:t>Bell</w:t>
      </w:r>
      <w:r>
        <w:rPr>
          <w:rFonts w:ascii="arial" w:eastAsia="arial" w:hAnsi="arial" w:cs="arial"/>
          <w:color w:val="000000"/>
          <w:sz w:val="20"/>
          <w:lang w:val="en-US" w:eastAsia="en-US" w:bidi="ar-SA"/>
        </w:rPr>
        <w:t xml:space="preserve"> held that the burden fell upon the claimant to show that the testator acted, when making the will, upon reasons that were false or unwarranted. Goldie J.A. endorsed that approach: "This places more emphasis on the intentions of the testatrix and less on those which might be imputed to her by reference to the reasonable testator" (</w:t>
      </w:r>
      <w:r>
        <w:rPr>
          <w:rFonts w:ascii="arial" w:eastAsia="arial" w:hAnsi="arial" w:cs="arial"/>
          <w:b/>
          <w:i/>
          <w:color w:val="000000"/>
          <w:sz w:val="20"/>
          <w:lang w:val="en-US" w:eastAsia="en-US" w:bidi="ar-SA"/>
        </w:rPr>
        <w:t>Bell</w:t>
      </w:r>
      <w:r>
        <w:rPr>
          <w:rFonts w:ascii="arial" w:eastAsia="arial" w:hAnsi="arial" w:cs="arial"/>
          <w:color w:val="000000"/>
          <w:sz w:val="20"/>
          <w:lang w:val="en-US" w:eastAsia="en-US" w:bidi="ar-SA"/>
        </w:rPr>
        <w:t xml:space="preserve"> at para. 36).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449</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Tataryn v. Tataryn Estate</w:t>
      </w:r>
      <w:r>
        <w:rPr>
          <w:rFonts w:ascii="arial" w:eastAsia="arial" w:hAnsi="arial" w:cs="arial"/>
          <w:color w:val="000000"/>
          <w:sz w:val="20"/>
          <w:lang w:val="en-US" w:eastAsia="en-US" w:bidi="ar-SA"/>
        </w:rPr>
        <w:t xml:space="preserve">, </w:t>
      </w:r>
      <w:hyperlink r:id="rId70" w:history="1">
        <w:r>
          <w:rPr>
            <w:rFonts w:ascii="arial" w:eastAsia="arial" w:hAnsi="arial" w:cs="arial"/>
            <w:i/>
            <w:color w:val="0077CC"/>
            <w:sz w:val="20"/>
            <w:u w:val="single"/>
            <w:shd w:val="clear" w:color="auto" w:fill="FFFFFF"/>
            <w:lang w:val="en-US" w:eastAsia="en-US" w:bidi="ar-SA"/>
          </w:rPr>
          <w:t>[1994] 2 S.C.R. 807</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Tataryn</w:t>
      </w:r>
      <w:r>
        <w:rPr>
          <w:rFonts w:ascii="arial" w:eastAsia="arial" w:hAnsi="arial" w:cs="arial"/>
          <w:color w:val="000000"/>
          <w:sz w:val="20"/>
          <w:lang w:val="en-US" w:eastAsia="en-US" w:bidi="ar-SA"/>
        </w:rPr>
        <w:t xml:space="preserve">] the Supreme Court of Canada clarified the law of wills variations and held that a will may be varied under the </w:t>
      </w:r>
      <w:r>
        <w:rPr>
          <w:rFonts w:ascii="arial" w:eastAsia="arial" w:hAnsi="arial" w:cs="arial"/>
          <w:b/>
          <w:i/>
          <w:color w:val="000000"/>
          <w:sz w:val="20"/>
          <w:lang w:val="en-US" w:eastAsia="en-US" w:bidi="ar-SA"/>
        </w:rPr>
        <w:t>WVA</w:t>
      </w:r>
      <w:r>
        <w:rPr>
          <w:rFonts w:ascii="arial" w:eastAsia="arial" w:hAnsi="arial" w:cs="arial"/>
          <w:color w:val="000000"/>
          <w:sz w:val="20"/>
          <w:lang w:val="en-US" w:eastAsia="en-US" w:bidi="ar-SA"/>
        </w:rPr>
        <w:t xml:space="preserve"> where there are legal or moral obligations to provide maintenance and support for a spouse or child. To place the statements of law made in </w:t>
      </w:r>
      <w:r>
        <w:rPr>
          <w:rFonts w:ascii="arial" w:eastAsia="arial" w:hAnsi="arial" w:cs="arial"/>
          <w:b/>
          <w:i/>
          <w:color w:val="000000"/>
          <w:sz w:val="20"/>
          <w:lang w:val="en-US" w:eastAsia="en-US" w:bidi="ar-SA"/>
        </w:rPr>
        <w:t>Tataryn</w:t>
      </w:r>
      <w:r>
        <w:rPr>
          <w:rFonts w:ascii="arial" w:eastAsia="arial" w:hAnsi="arial" w:cs="arial"/>
          <w:color w:val="000000"/>
          <w:sz w:val="20"/>
          <w:lang w:val="en-US" w:eastAsia="en-US" w:bidi="ar-SA"/>
        </w:rPr>
        <w:t xml:space="preserve"> in context, I will outline the facts of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450</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Tataryn</w:t>
      </w:r>
      <w:r>
        <w:rPr>
          <w:rFonts w:ascii="arial" w:eastAsia="arial" w:hAnsi="arial" w:cs="arial"/>
          <w:color w:val="000000"/>
          <w:sz w:val="20"/>
          <w:lang w:val="en-US" w:eastAsia="en-US" w:bidi="ar-SA"/>
        </w:rPr>
        <w:t>, the testator husband and his wife had been married 43 years and, through their joint efforts, had amassed a home (in the testator's name), a rental property and bank funds. There were two adult sons, J. and E. The testator disliked J. (for reasons that were not apparent). He feared that if he left his estate to his wife, she would pass it on to J. By his will, the testator gave E. full title to the rental property and created a discretionary trust dealing with the residue of the estate, including the home. Under the trust the wife was the beneficiary of a life interest in the home. E. was the trustee and residuary beneficiary taking full title to the home upon the wife's death. J. received nothing under the will or the trust it created.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451</w:t>
      </w:r>
      <w:r>
        <w:rPr>
          <w:rFonts w:ascii="arial" w:eastAsia="arial" w:hAnsi="arial" w:cs="arial"/>
          <w:color w:val="000000"/>
          <w:sz w:val="20"/>
          <w:lang w:val="en-US" w:eastAsia="en-US" w:bidi="ar-SA"/>
        </w:rPr>
        <w:t xml:space="preserve">  The trial judge in </w:t>
      </w:r>
      <w:r>
        <w:rPr>
          <w:rFonts w:ascii="arial" w:eastAsia="arial" w:hAnsi="arial" w:cs="arial"/>
          <w:b/>
          <w:i/>
          <w:color w:val="000000"/>
          <w:sz w:val="20"/>
          <w:lang w:val="en-US" w:eastAsia="en-US" w:bidi="ar-SA"/>
        </w:rPr>
        <w:t>Tataryn</w:t>
      </w:r>
      <w:r>
        <w:rPr>
          <w:rFonts w:ascii="arial" w:eastAsia="arial" w:hAnsi="arial" w:cs="arial"/>
          <w:color w:val="000000"/>
          <w:sz w:val="20"/>
          <w:lang w:val="en-US" w:eastAsia="en-US" w:bidi="ar-SA"/>
        </w:rPr>
        <w:t xml:space="preserve"> revoked the bequest of the rental property to E. and granted the wife a life interest in that property; directed that J. and E. each receive an immediate gift of $10,000 out of the residue of the estate. The trial judge also directed that when the wife died the residue of the estate, including the home and the rental property, was to be divided one-third to J. and two-thirds to 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452</w:t>
      </w:r>
      <w:r>
        <w:rPr>
          <w:rFonts w:ascii="arial" w:eastAsia="arial" w:hAnsi="arial" w:cs="arial"/>
          <w:color w:val="000000"/>
          <w:sz w:val="20"/>
          <w:lang w:val="en-US" w:eastAsia="en-US" w:bidi="ar-SA"/>
        </w:rPr>
        <w:t xml:space="preserve">  The wife's appeal was dismissed by the British Columbia Court of Appeal: </w:t>
      </w:r>
      <w:r>
        <w:rPr>
          <w:rFonts w:ascii="arial" w:eastAsia="arial" w:hAnsi="arial" w:cs="arial"/>
          <w:b/>
          <w:i/>
          <w:color w:val="000000"/>
          <w:sz w:val="20"/>
          <w:lang w:val="en-US" w:eastAsia="en-US" w:bidi="ar-SA"/>
        </w:rPr>
        <w:t>Tataryn v. Tataryn Estate</w:t>
      </w:r>
      <w:r>
        <w:rPr>
          <w:rFonts w:ascii="arial" w:eastAsia="arial" w:hAnsi="arial" w:cs="arial"/>
          <w:color w:val="000000"/>
          <w:sz w:val="20"/>
          <w:lang w:val="en-US" w:eastAsia="en-US" w:bidi="ar-SA"/>
        </w:rPr>
        <w:t xml:space="preserve"> </w:t>
      </w:r>
      <w:hyperlink r:id="rId71" w:history="1">
        <w:r>
          <w:rPr>
            <w:rFonts w:ascii="arial" w:eastAsia="arial" w:hAnsi="arial" w:cs="arial"/>
            <w:i/>
            <w:color w:val="0077CC"/>
            <w:sz w:val="20"/>
            <w:u w:val="single"/>
            <w:shd w:val="clear" w:color="auto" w:fill="FFFFFF"/>
            <w:lang w:val="en-US" w:eastAsia="en-US" w:bidi="ar-SA"/>
          </w:rPr>
          <w:t>(1992), 74 B.C.L.R. (2d) 211</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453</w:t>
      </w:r>
      <w:r>
        <w:rPr>
          <w:rFonts w:ascii="arial" w:eastAsia="arial" w:hAnsi="arial" w:cs="arial"/>
          <w:color w:val="000000"/>
          <w:sz w:val="20"/>
          <w:lang w:val="en-US" w:eastAsia="en-US" w:bidi="ar-SA"/>
        </w:rPr>
        <w:t>  The wife successfully appealed to the Supreme Court of Canada. The court granted the sons an immediate gift of $10,000 each. The wife was granted title to the family home, a life interest in the rental property and the entire residue of the estate after payment of the immediate gifts to the sons. Upon the death of the wife, the sons were entitled to the rental property (one-third to J.; two-thirds to 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454</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Tataryn</w:t>
      </w:r>
      <w:r>
        <w:rPr>
          <w:rFonts w:ascii="arial" w:eastAsia="arial" w:hAnsi="arial" w:cs="arial"/>
          <w:color w:val="000000"/>
          <w:sz w:val="20"/>
          <w:lang w:val="en-US" w:eastAsia="en-US" w:bidi="ar-SA"/>
        </w:rPr>
        <w:t xml:space="preserve">, McLachlin J. (as she then was) discussed the twin interests protected by the </w:t>
      </w:r>
      <w:r>
        <w:rPr>
          <w:rFonts w:ascii="arial" w:eastAsia="arial" w:hAnsi="arial" w:cs="arial"/>
          <w:b/>
          <w:i/>
          <w:color w:val="000000"/>
          <w:sz w:val="20"/>
          <w:lang w:val="en-US" w:eastAsia="en-US" w:bidi="ar-SA"/>
        </w:rPr>
        <w:t>WVA</w:t>
      </w:r>
      <w:r>
        <w:rPr>
          <w:rFonts w:ascii="arial" w:eastAsia="arial" w:hAnsi="arial" w:cs="arial"/>
          <w:color w:val="000000"/>
          <w:sz w:val="20"/>
          <w:lang w:val="en-US" w:eastAsia="en-US" w:bidi="ar-SA"/>
        </w:rPr>
        <w:t>. McLachlin J. described the "main aim" as the "adequate, just and equitable provision for the spouses and children of testators" and that at the very least, that means preventing spouses and children from becoming a charge on the state (</w:t>
      </w:r>
      <w:r>
        <w:rPr>
          <w:rFonts w:ascii="arial" w:eastAsia="arial" w:hAnsi="arial" w:cs="arial"/>
          <w:b/>
          <w:i/>
          <w:color w:val="000000"/>
          <w:sz w:val="20"/>
          <w:lang w:val="en-US" w:eastAsia="en-US" w:bidi="ar-SA"/>
        </w:rPr>
        <w:t>Tataryn</w:t>
      </w:r>
      <w:r>
        <w:rPr>
          <w:rFonts w:ascii="arial" w:eastAsia="arial" w:hAnsi="arial" w:cs="arial"/>
          <w:color w:val="000000"/>
          <w:sz w:val="20"/>
          <w:lang w:val="en-US" w:eastAsia="en-US" w:bidi="ar-SA"/>
        </w:rPr>
        <w:t xml:space="preserve"> at 815). However, said McLachlin J., it is equally reasonable to suppose that the legislators were concerned with wives and children receiving a just and equitable share of the family wealth even in the absence of demonstrated need.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455</w:t>
      </w:r>
      <w:r>
        <w:rPr>
          <w:rFonts w:ascii="arial" w:eastAsia="arial" w:hAnsi="arial" w:cs="arial"/>
          <w:color w:val="000000"/>
          <w:sz w:val="20"/>
          <w:lang w:val="en-US" w:eastAsia="en-US" w:bidi="ar-SA"/>
        </w:rPr>
        <w:t xml:space="preserve">  The second interest protected by the </w:t>
      </w:r>
      <w:r>
        <w:rPr>
          <w:rFonts w:ascii="arial" w:eastAsia="arial" w:hAnsi="arial" w:cs="arial"/>
          <w:b/>
          <w:i/>
          <w:color w:val="000000"/>
          <w:sz w:val="20"/>
          <w:lang w:val="en-US" w:eastAsia="en-US" w:bidi="ar-SA"/>
        </w:rPr>
        <w:t>WVA</w:t>
      </w:r>
      <w:r>
        <w:rPr>
          <w:rFonts w:ascii="arial" w:eastAsia="arial" w:hAnsi="arial" w:cs="arial"/>
          <w:color w:val="000000"/>
          <w:sz w:val="20"/>
          <w:lang w:val="en-US" w:eastAsia="en-US" w:bidi="ar-SA"/>
        </w:rPr>
        <w:t xml:space="preserve"> is testamentary autonomy: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Act did not remove the right of the legal owner of property to dispose of it upon death. Rather, it </w:t>
      </w:r>
      <w:r>
        <w:rPr>
          <w:rFonts w:ascii="arial" w:eastAsia="arial" w:hAnsi="arial" w:cs="arial"/>
          <w:color w:val="000000"/>
          <w:sz w:val="20"/>
          <w:u w:val="single"/>
          <w:lang w:val="en-US" w:eastAsia="en-US" w:bidi="ar-SA"/>
        </w:rPr>
        <w:t>limited</w:t>
      </w:r>
      <w:r>
        <w:rPr>
          <w:rFonts w:ascii="arial" w:eastAsia="arial" w:hAnsi="arial" w:cs="arial"/>
          <w:color w:val="000000"/>
          <w:sz w:val="20"/>
          <w:lang w:val="en-US" w:eastAsia="en-US" w:bidi="ar-SA"/>
        </w:rPr>
        <w:t xml:space="preserve"> that right. The absolute testamentary autonomy of the 19th century was required to yield to the interests of spouses and children to the extent, and only to the extent, that this was necessary to provide the latter with what was "adequate, just and equitable in the circumstances" (</w:t>
      </w:r>
      <w:r>
        <w:rPr>
          <w:rFonts w:ascii="arial" w:eastAsia="arial" w:hAnsi="arial" w:cs="arial"/>
          <w:b/>
          <w:i/>
          <w:color w:val="000000"/>
          <w:sz w:val="20"/>
          <w:lang w:val="en-US" w:eastAsia="en-US" w:bidi="ar-SA"/>
        </w:rPr>
        <w:t>Tataryn</w:t>
      </w:r>
      <w:r>
        <w:rPr>
          <w:rFonts w:ascii="arial" w:eastAsia="arial" w:hAnsi="arial" w:cs="arial"/>
          <w:color w:val="000000"/>
          <w:sz w:val="20"/>
          <w:lang w:val="en-US" w:eastAsia="en-US" w:bidi="ar-SA"/>
        </w:rPr>
        <w:t xml:space="preserve"> at 815).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456</w:t>
      </w:r>
      <w:r>
        <w:rPr>
          <w:rFonts w:ascii="arial" w:eastAsia="arial" w:hAnsi="arial" w:cs="arial"/>
          <w:color w:val="000000"/>
          <w:sz w:val="20"/>
          <w:lang w:val="en-US" w:eastAsia="en-US" w:bidi="ar-SA"/>
        </w:rPr>
        <w:t>  The court went on to note that what is "adequate, just and equitable" must be judged by contemporary standards. Current standards require that both legal and moral societal norms be considered: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the phrase "adequate, just and equitable" is viewed in light of current societal norms, much of the uncertainly disappears. Furthermore, two sorts of norms are available and both must be addressed. The first are the obligations which the law would impose on a person during his or her life were the question of provision for the claimant to arise. These might be described as legal obligations. The second type of norms are found in society's reasonable expectations of what a judicious person would do in the circumstances, by reference to contemporary community standards. These might be called moral obligations, following the language traditionally used by the courts. Together, these two norms provide a guide to what is "adequate, just and equitable" in the circumstances of the case (</w:t>
      </w:r>
      <w:r>
        <w:rPr>
          <w:rFonts w:ascii="arial" w:eastAsia="arial" w:hAnsi="arial" w:cs="arial"/>
          <w:b/>
          <w:i/>
          <w:color w:val="000000"/>
          <w:sz w:val="20"/>
          <w:lang w:val="en-US" w:eastAsia="en-US" w:bidi="ar-SA"/>
        </w:rPr>
        <w:t>Tataryn</w:t>
      </w:r>
      <w:r>
        <w:rPr>
          <w:rFonts w:ascii="arial" w:eastAsia="arial" w:hAnsi="arial" w:cs="arial"/>
          <w:color w:val="000000"/>
          <w:sz w:val="20"/>
          <w:lang w:val="en-US" w:eastAsia="en-US" w:bidi="ar-SA"/>
        </w:rPr>
        <w:t xml:space="preserve"> at 820-821).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457</w:t>
      </w:r>
      <w:r>
        <w:rPr>
          <w:rFonts w:ascii="arial" w:eastAsia="arial" w:hAnsi="arial" w:cs="arial"/>
          <w:color w:val="000000"/>
          <w:sz w:val="20"/>
          <w:lang w:val="en-US" w:eastAsia="en-US" w:bidi="ar-SA"/>
        </w:rPr>
        <w:t xml:space="preserve">  With respect to variation on moral grounds, the court in </w:t>
      </w:r>
      <w:r>
        <w:rPr>
          <w:rFonts w:ascii="arial" w:eastAsia="arial" w:hAnsi="arial" w:cs="arial"/>
          <w:b/>
          <w:i/>
          <w:color w:val="000000"/>
          <w:sz w:val="20"/>
          <w:lang w:val="en-US" w:eastAsia="en-US" w:bidi="ar-SA"/>
        </w:rPr>
        <w:t>Tataryn</w:t>
      </w:r>
      <w:r>
        <w:rPr>
          <w:rFonts w:ascii="arial" w:eastAsia="arial" w:hAnsi="arial" w:cs="arial"/>
          <w:color w:val="000000"/>
          <w:sz w:val="20"/>
          <w:lang w:val="en-US" w:eastAsia="en-US" w:bidi="ar-SA"/>
        </w:rPr>
        <w:t xml:space="preserve"> observed that </w:t>
      </w:r>
      <w:r>
        <w:rPr>
          <w:rFonts w:ascii="arial" w:eastAsia="arial" w:hAnsi="arial" w:cs="arial"/>
          <w:i/>
          <w:color w:val="000000"/>
          <w:sz w:val="20"/>
          <w:lang w:val="en-US" w:eastAsia="en-US" w:bidi="ar-SA"/>
        </w:rPr>
        <w:t>dependent</w:t>
      </w:r>
      <w:r>
        <w:rPr>
          <w:rFonts w:ascii="arial" w:eastAsia="arial" w:hAnsi="arial" w:cs="arial"/>
          <w:color w:val="000000"/>
          <w:sz w:val="20"/>
          <w:lang w:val="en-US" w:eastAsia="en-US" w:bidi="ar-SA"/>
        </w:rPr>
        <w:t xml:space="preserve"> adult children are entitled to such consideration as the size of the estate and the testator's other obligations may allow. With respect to </w:t>
      </w:r>
      <w:r>
        <w:rPr>
          <w:rFonts w:ascii="arial" w:eastAsia="arial" w:hAnsi="arial" w:cs="arial"/>
          <w:i/>
          <w:color w:val="000000"/>
          <w:sz w:val="20"/>
          <w:lang w:val="en-US" w:eastAsia="en-US" w:bidi="ar-SA"/>
        </w:rPr>
        <w:t>independent</w:t>
      </w:r>
      <w:r>
        <w:rPr>
          <w:rFonts w:ascii="arial" w:eastAsia="arial" w:hAnsi="arial" w:cs="arial"/>
          <w:color w:val="000000"/>
          <w:sz w:val="20"/>
          <w:lang w:val="en-US" w:eastAsia="en-US" w:bidi="ar-SA"/>
        </w:rPr>
        <w:t xml:space="preserve"> adult children, the court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While the moral claim of independent adult children may be more tenuous, a large body of case law exists suggesting that, if the size of the estate permits </w:t>
      </w:r>
      <w:r>
        <w:rPr>
          <w:rFonts w:ascii="arial" w:eastAsia="arial" w:hAnsi="arial" w:cs="arial"/>
          <w:i/>
          <w:color w:val="000000"/>
          <w:sz w:val="20"/>
          <w:lang w:val="en-US" w:eastAsia="en-US" w:bidi="ar-SA"/>
        </w:rPr>
        <w:t>and in the absence of circumstances which negate the existence of such an obligation,</w:t>
      </w:r>
      <w:r>
        <w:rPr>
          <w:rFonts w:ascii="arial" w:eastAsia="arial" w:hAnsi="arial" w:cs="arial"/>
          <w:color w:val="000000"/>
          <w:sz w:val="20"/>
          <w:lang w:val="en-US" w:eastAsia="en-US" w:bidi="ar-SA"/>
        </w:rPr>
        <w:t xml:space="preserve"> some provision for such children should be made ... (</w:t>
      </w:r>
      <w:r>
        <w:rPr>
          <w:rFonts w:ascii="arial" w:eastAsia="arial" w:hAnsi="arial" w:cs="arial"/>
          <w:b/>
          <w:i/>
          <w:color w:val="000000"/>
          <w:sz w:val="20"/>
          <w:lang w:val="en-US" w:eastAsia="en-US" w:bidi="ar-SA"/>
        </w:rPr>
        <w:t>Tataryn</w:t>
      </w:r>
      <w:r>
        <w:rPr>
          <w:rFonts w:ascii="arial" w:eastAsia="arial" w:hAnsi="arial" w:cs="arial"/>
          <w:color w:val="000000"/>
          <w:sz w:val="20"/>
          <w:lang w:val="en-US" w:eastAsia="en-US" w:bidi="ar-SA"/>
        </w:rPr>
        <w:t xml:space="preserve"> at 822-823) (emphasis added).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How are conflicting claims to be balanced against each other? Where the estate permits, all should be met. </w:t>
      </w:r>
      <w:r>
        <w:rPr>
          <w:rFonts w:ascii="arial" w:eastAsia="arial" w:hAnsi="arial" w:cs="arial"/>
          <w:i/>
          <w:color w:val="000000"/>
          <w:sz w:val="20"/>
          <w:lang w:val="en-US" w:eastAsia="en-US" w:bidi="ar-SA"/>
        </w:rPr>
        <w:t>Where priorities must be considered, it seems to me that claims which would have been recognized during the testator's life - i.e., claims based upon not only moral obligation but legal obligations - should generally take precedence over moral claims. As between moral claims, some may be stronger than others.</w:t>
      </w:r>
      <w:r>
        <w:rPr>
          <w:rFonts w:ascii="arial" w:eastAsia="arial" w:hAnsi="arial" w:cs="arial"/>
          <w:color w:val="000000"/>
          <w:sz w:val="20"/>
          <w:lang w:val="en-US" w:eastAsia="en-US" w:bidi="ar-SA"/>
        </w:rPr>
        <w:t xml:space="preserve"> It falls to the court to weigh the strength of each claim and assign to each its proper priority. .... Any moral duty should be assessed in the light of the deceased's legitimate concerns which, where the assets of the estate permit, may go beyond providing for the surviving spouse and children (</w:t>
      </w:r>
      <w:r>
        <w:rPr>
          <w:rFonts w:ascii="arial" w:eastAsia="arial" w:hAnsi="arial" w:cs="arial"/>
          <w:b/>
          <w:i/>
          <w:color w:val="000000"/>
          <w:sz w:val="20"/>
          <w:lang w:val="en-US" w:eastAsia="en-US" w:bidi="ar-SA"/>
        </w:rPr>
        <w:t>Tataryn</w:t>
      </w:r>
      <w:r>
        <w:rPr>
          <w:rFonts w:ascii="arial" w:eastAsia="arial" w:hAnsi="arial" w:cs="arial"/>
          <w:color w:val="000000"/>
          <w:sz w:val="20"/>
          <w:lang w:val="en-US" w:eastAsia="en-US" w:bidi="ar-SA"/>
        </w:rPr>
        <w:t xml:space="preserve"> at 823) (emphasis added).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add this. In many cases, there will be a number of ways of dividing the assets which are adequate, just and equitable. </w:t>
      </w:r>
      <w:r>
        <w:rPr>
          <w:rFonts w:ascii="arial" w:eastAsia="arial" w:hAnsi="arial" w:cs="arial"/>
          <w:i/>
          <w:color w:val="000000"/>
          <w:sz w:val="20"/>
          <w:lang w:val="en-US" w:eastAsia="en-US" w:bidi="ar-SA"/>
        </w:rPr>
        <w:t>In other words, there will be a wide range of options, any of which might be considered appropriate in the circumstances. Provided that the testator has chosen an option within this range, the will should not be disturbed. Only where the testator has chosen an option which falls below his or her obligations as defined by reference to legal and moral norms, should the court make an order which achieves the justice the testator failed to achieve</w:t>
      </w:r>
      <w:r>
        <w:rPr>
          <w:rFonts w:ascii="arial" w:eastAsia="arial" w:hAnsi="arial" w:cs="arial"/>
          <w:color w:val="000000"/>
          <w:sz w:val="20"/>
          <w:lang w:val="en-US" w:eastAsia="en-US" w:bidi="ar-SA"/>
        </w:rPr>
        <w:t xml:space="preserve">. In the absence of other evidence a will should be seen as reflecting the means chosen by the testator to meet his legitimate concerns and provide for an ordered administration and distribution of his estate in the best interests of the persons and institutions closest to him. </w:t>
      </w:r>
      <w:r>
        <w:rPr>
          <w:rFonts w:ascii="arial" w:eastAsia="arial" w:hAnsi="arial" w:cs="arial"/>
          <w:i/>
          <w:color w:val="000000"/>
          <w:sz w:val="20"/>
          <w:lang w:val="en-US" w:eastAsia="en-US" w:bidi="ar-SA"/>
        </w:rPr>
        <w:t>It is the exercise by the testator of his freedom to dispose of his property and is to be interfered with not lightly but only in so far as the statute requires.</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Tataryn</w:t>
      </w:r>
      <w:r>
        <w:rPr>
          <w:rFonts w:ascii="arial" w:eastAsia="arial" w:hAnsi="arial" w:cs="arial"/>
          <w:color w:val="000000"/>
          <w:sz w:val="20"/>
          <w:lang w:val="en-US" w:eastAsia="en-US" w:bidi="ar-SA"/>
        </w:rPr>
        <w:t xml:space="preserve"> at 824)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458</w:t>
      </w:r>
      <w:r>
        <w:rPr>
          <w:rFonts w:ascii="arial" w:eastAsia="arial" w:hAnsi="arial" w:cs="arial"/>
          <w:color w:val="000000"/>
          <w:sz w:val="20"/>
          <w:lang w:val="en-US" w:eastAsia="en-US" w:bidi="ar-SA"/>
        </w:rPr>
        <w:t>  McLachlin J. concluded that the testator's only legal obligation was to his wife. Further, the wife had the highest moral claim on the testator. Both claims were very strong. By contrast, the claims of the sons were not strong: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remaining moral claims on the testator are those of the two grown and independent sons. The testator gave nothing to one, everything to the other, subject to his provision of money to Mrs. Tataryn. The moral claims of the sons cannot be put very high. There is no evidence that either contributed much to the estate (</w:t>
      </w:r>
      <w:r>
        <w:rPr>
          <w:rFonts w:ascii="arial" w:eastAsia="arial" w:hAnsi="arial" w:cs="arial"/>
          <w:b/>
          <w:i/>
          <w:color w:val="000000"/>
          <w:sz w:val="20"/>
          <w:lang w:val="en-US" w:eastAsia="en-US" w:bidi="ar-SA"/>
        </w:rPr>
        <w:t>Tataryn</w:t>
      </w:r>
      <w:r>
        <w:rPr>
          <w:rFonts w:ascii="arial" w:eastAsia="arial" w:hAnsi="arial" w:cs="arial"/>
          <w:color w:val="000000"/>
          <w:sz w:val="20"/>
          <w:lang w:val="en-US" w:eastAsia="en-US" w:bidi="ar-SA"/>
        </w:rPr>
        <w:t xml:space="preserve"> at 825).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459</w:t>
      </w:r>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Tataryn</w:t>
      </w:r>
      <w:r>
        <w:rPr>
          <w:rFonts w:ascii="arial" w:eastAsia="arial" w:hAnsi="arial" w:cs="arial"/>
          <w:color w:val="000000"/>
          <w:sz w:val="20"/>
          <w:lang w:val="en-US" w:eastAsia="en-US" w:bidi="ar-SA"/>
        </w:rPr>
        <w:t xml:space="preserve"> decision was discussed by the British Columbia Court of Appeal in </w:t>
      </w:r>
      <w:r>
        <w:rPr>
          <w:rFonts w:ascii="arial" w:eastAsia="arial" w:hAnsi="arial" w:cs="arial"/>
          <w:b/>
          <w:i/>
          <w:color w:val="000000"/>
          <w:sz w:val="20"/>
          <w:lang w:val="en-US" w:eastAsia="en-US" w:bidi="ar-SA"/>
        </w:rPr>
        <w:t>Kelly v. Baker</w:t>
      </w:r>
      <w:r>
        <w:rPr>
          <w:rFonts w:ascii="arial" w:eastAsia="arial" w:hAnsi="arial" w:cs="arial"/>
          <w:color w:val="000000"/>
          <w:sz w:val="20"/>
          <w:lang w:val="en-US" w:eastAsia="en-US" w:bidi="ar-SA"/>
        </w:rPr>
        <w:t xml:space="preserve"> </w:t>
      </w:r>
      <w:hyperlink r:id="rId72" w:history="1">
        <w:r>
          <w:rPr>
            <w:rFonts w:ascii="arial" w:eastAsia="arial" w:hAnsi="arial" w:cs="arial"/>
            <w:i/>
            <w:color w:val="0077CC"/>
            <w:sz w:val="20"/>
            <w:u w:val="single"/>
            <w:shd w:val="clear" w:color="auto" w:fill="FFFFFF"/>
            <w:lang w:val="en-US" w:eastAsia="en-US" w:bidi="ar-SA"/>
          </w:rPr>
          <w:t>(1996), 15 E.T.R. (2d) 219</w:t>
        </w:r>
      </w:hyperlink>
      <w:r>
        <w:rPr>
          <w:rFonts w:ascii="arial" w:eastAsia="arial" w:hAnsi="arial" w:cs="arial"/>
          <w:color w:val="000000"/>
          <w:sz w:val="20"/>
          <w:lang w:val="en-US" w:eastAsia="en-US" w:bidi="ar-SA"/>
        </w:rPr>
        <w:t xml:space="preserve"> (B.C.C.A.) [</w:t>
      </w:r>
      <w:r>
        <w:rPr>
          <w:rFonts w:ascii="arial" w:eastAsia="arial" w:hAnsi="arial" w:cs="arial"/>
          <w:b/>
          <w:i/>
          <w:color w:val="000000"/>
          <w:sz w:val="20"/>
          <w:lang w:val="en-US" w:eastAsia="en-US" w:bidi="ar-SA"/>
        </w:rPr>
        <w:t>Kelly</w:t>
      </w:r>
      <w:r>
        <w:rPr>
          <w:rFonts w:ascii="arial" w:eastAsia="arial" w:hAnsi="arial" w:cs="arial"/>
          <w:color w:val="000000"/>
          <w:sz w:val="20"/>
          <w:lang w:val="en-US" w:eastAsia="en-US" w:bidi="ar-SA"/>
        </w:rPr>
        <w:t xml:space="preserve">]. Mr. Justice Finch (as he then was) noted that </w:t>
      </w:r>
      <w:r>
        <w:rPr>
          <w:rFonts w:ascii="arial" w:eastAsia="arial" w:hAnsi="arial" w:cs="arial"/>
          <w:b/>
          <w:i/>
          <w:color w:val="000000"/>
          <w:sz w:val="20"/>
          <w:lang w:val="en-US" w:eastAsia="en-US" w:bidi="ar-SA"/>
        </w:rPr>
        <w:t>Tataryn</w:t>
      </w:r>
      <w:r>
        <w:rPr>
          <w:rFonts w:ascii="arial" w:eastAsia="arial" w:hAnsi="arial" w:cs="arial"/>
          <w:color w:val="000000"/>
          <w:sz w:val="20"/>
          <w:lang w:val="en-US" w:eastAsia="en-US" w:bidi="ar-SA"/>
        </w:rPr>
        <w:t xml:space="preserve"> did not change the rule that testators may be justified on moral grounds in disinheriting an independent adult child so long as their reasons are valid and rational: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latter two cases cited [by the court in </w:t>
      </w:r>
      <w:r>
        <w:rPr>
          <w:rFonts w:ascii="arial" w:eastAsia="arial" w:hAnsi="arial" w:cs="arial"/>
          <w:b/>
          <w:i/>
          <w:color w:val="000000"/>
          <w:sz w:val="20"/>
          <w:lang w:val="en-US" w:eastAsia="en-US" w:bidi="ar-SA"/>
        </w:rPr>
        <w:t>Tataryn</w:t>
      </w:r>
      <w:r>
        <w:rPr>
          <w:rFonts w:ascii="arial" w:eastAsia="arial" w:hAnsi="arial" w:cs="arial"/>
          <w:color w:val="000000"/>
          <w:sz w:val="20"/>
          <w:lang w:val="en-US" w:eastAsia="en-US" w:bidi="ar-SA"/>
        </w:rPr>
        <w:t>] are examples of factual circumstances where the testator was held to be justified, for valid and rational reasons, in disinheriting the claimant (</w:t>
      </w:r>
      <w:r>
        <w:rPr>
          <w:rFonts w:ascii="arial" w:eastAsia="arial" w:hAnsi="arial" w:cs="arial"/>
          <w:b/>
          <w:i/>
          <w:color w:val="000000"/>
          <w:sz w:val="20"/>
          <w:lang w:val="en-US" w:eastAsia="en-US" w:bidi="ar-SA"/>
        </w:rPr>
        <w:t>Kelly</w:t>
      </w:r>
      <w:r>
        <w:rPr>
          <w:rFonts w:ascii="arial" w:eastAsia="arial" w:hAnsi="arial" w:cs="arial"/>
          <w:color w:val="000000"/>
          <w:sz w:val="20"/>
          <w:lang w:val="en-US" w:eastAsia="en-US" w:bidi="ar-SA"/>
        </w:rPr>
        <w:t xml:space="preserve"> at para. 57).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460</w:t>
      </w:r>
      <w:r>
        <w:rPr>
          <w:rFonts w:ascii="arial" w:eastAsia="arial" w:hAnsi="arial" w:cs="arial"/>
          <w:color w:val="000000"/>
          <w:sz w:val="20"/>
          <w:lang w:val="en-US" w:eastAsia="en-US" w:bidi="ar-SA"/>
        </w:rPr>
        <w:t>  Finch J.A. described the requirement for valid and rational reasons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deciding a claim under s. 2(1) [now s. 2] of the [Wills Variation] Act, the task of the court is to decide whether, at the date of the testator's death, her will was consistent with the discharge by a good parent of her duties to her family: </w:t>
      </w:r>
      <w:r>
        <w:rPr>
          <w:rFonts w:ascii="arial" w:eastAsia="arial" w:hAnsi="arial" w:cs="arial"/>
          <w:b/>
          <w:i/>
          <w:color w:val="000000"/>
          <w:sz w:val="20"/>
          <w:lang w:val="en-US" w:eastAsia="en-US" w:bidi="ar-SA"/>
        </w:rPr>
        <w:t>Landy v. Landy Estate</w:t>
      </w:r>
      <w:r>
        <w:rPr>
          <w:rFonts w:ascii="arial" w:eastAsia="arial" w:hAnsi="arial" w:cs="arial"/>
          <w:color w:val="000000"/>
          <w:sz w:val="20"/>
          <w:lang w:val="en-US" w:eastAsia="en-US" w:bidi="ar-SA"/>
        </w:rPr>
        <w:t xml:space="preserve"> </w:t>
      </w:r>
      <w:hyperlink r:id="rId73" w:history="1">
        <w:r>
          <w:rPr>
            <w:rFonts w:ascii="arial" w:eastAsia="arial" w:hAnsi="arial" w:cs="arial"/>
            <w:i/>
            <w:color w:val="0077CC"/>
            <w:sz w:val="20"/>
            <w:u w:val="single"/>
            <w:shd w:val="clear" w:color="auto" w:fill="FFFFFF"/>
            <w:lang w:val="en-US" w:eastAsia="en-US" w:bidi="ar-SA"/>
          </w:rPr>
          <w:t>(1991), 60 B.C.L.R. (2d) 282</w:t>
        </w:r>
      </w:hyperlink>
      <w:r>
        <w:rPr>
          <w:rFonts w:ascii="arial" w:eastAsia="arial" w:hAnsi="arial" w:cs="arial"/>
          <w:color w:val="000000"/>
          <w:sz w:val="20"/>
          <w:lang w:val="en-US" w:eastAsia="en-US" w:bidi="ar-SA"/>
        </w:rPr>
        <w:t xml:space="preserve"> (C.A.), </w:t>
      </w:r>
      <w:r>
        <w:rPr>
          <w:rFonts w:ascii="arial" w:eastAsia="arial" w:hAnsi="arial" w:cs="arial"/>
          <w:b/>
          <w:i/>
          <w:color w:val="000000"/>
          <w:sz w:val="20"/>
          <w:lang w:val="en-US" w:eastAsia="en-US" w:bidi="ar-SA"/>
        </w:rPr>
        <w:t>Morris v. Morris</w:t>
      </w:r>
      <w:r>
        <w:rPr>
          <w:rFonts w:ascii="arial" w:eastAsia="arial" w:hAnsi="arial" w:cs="arial"/>
          <w:color w:val="000000"/>
          <w:sz w:val="20"/>
          <w:lang w:val="en-US" w:eastAsia="en-US" w:bidi="ar-SA"/>
        </w:rPr>
        <w:t xml:space="preserve"> </w:t>
      </w:r>
      <w:hyperlink r:id="rId74" w:history="1">
        <w:r>
          <w:rPr>
            <w:rFonts w:ascii="arial" w:eastAsia="arial" w:hAnsi="arial" w:cs="arial"/>
            <w:i/>
            <w:color w:val="0077CC"/>
            <w:sz w:val="20"/>
            <w:u w:val="single"/>
            <w:shd w:val="clear" w:color="auto" w:fill="FFFFFF"/>
            <w:lang w:val="en-US" w:eastAsia="en-US" w:bidi="ar-SA"/>
          </w:rPr>
          <w:t>(1982), 41 B.C.L.R. 239</w:t>
        </w:r>
      </w:hyperlink>
      <w:r>
        <w:rPr>
          <w:rFonts w:ascii="arial" w:eastAsia="arial" w:hAnsi="arial" w:cs="arial"/>
          <w:color w:val="000000"/>
          <w:sz w:val="20"/>
          <w:lang w:val="en-US" w:eastAsia="en-US" w:bidi="ar-SA"/>
        </w:rPr>
        <w:t xml:space="preserve"> (C.A.), and </w:t>
      </w:r>
      <w:r>
        <w:rPr>
          <w:rFonts w:ascii="arial" w:eastAsia="arial" w:hAnsi="arial" w:cs="arial"/>
          <w:b/>
          <w:i/>
          <w:color w:val="000000"/>
          <w:sz w:val="20"/>
          <w:lang w:val="en-US" w:eastAsia="en-US" w:bidi="ar-SA"/>
        </w:rPr>
        <w:t>Lukie v. Helgason</w:t>
      </w:r>
      <w:r>
        <w:rPr>
          <w:rFonts w:ascii="arial" w:eastAsia="arial" w:hAnsi="arial" w:cs="arial"/>
          <w:color w:val="000000"/>
          <w:sz w:val="20"/>
          <w:lang w:val="en-US" w:eastAsia="en-US" w:bidi="ar-SA"/>
        </w:rPr>
        <w:t xml:space="preserve"> </w:t>
      </w:r>
      <w:hyperlink r:id="rId75" w:history="1">
        <w:r>
          <w:rPr>
            <w:rFonts w:ascii="arial" w:eastAsia="arial" w:hAnsi="arial" w:cs="arial"/>
            <w:i/>
            <w:color w:val="0077CC"/>
            <w:sz w:val="20"/>
            <w:u w:val="single"/>
            <w:shd w:val="clear" w:color="auto" w:fill="FFFFFF"/>
            <w:lang w:val="en-US" w:eastAsia="en-US" w:bidi="ar-SA"/>
          </w:rPr>
          <w:t>(1976), 1 B.C.L.R. 1</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The law does not require that the reason expressed by the testator in her will, or elsewhere, for disinheriting the appellant be justifiable. It is sufficient if there were valid and rational reasons at the time of her death - valid in the sense of being based on fact; rational in the sense that there is a logical connection between the reasons and the act of disinheritance</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Kelly</w:t>
      </w:r>
      <w:r>
        <w:rPr>
          <w:rFonts w:ascii="arial" w:eastAsia="arial" w:hAnsi="arial" w:cs="arial"/>
          <w:color w:val="000000"/>
          <w:sz w:val="20"/>
          <w:lang w:val="en-US" w:eastAsia="en-US" w:bidi="ar-SA"/>
        </w:rPr>
        <w:t xml:space="preserve"> at para. 58) (emphasis added).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Here there was ample evidence to support the trial judge's conclusions. There was good reason for the testator to believe that the plaintiff had abandoned the family, and good reason for her to feel that the plaintiff had treated her and her husband in a hateful and hurtful way. Both reasons afford logical explanations for the testator's decision to disinherit the plaintiff (</w:t>
      </w:r>
      <w:r>
        <w:rPr>
          <w:rFonts w:ascii="arial" w:eastAsia="arial" w:hAnsi="arial" w:cs="arial"/>
          <w:b/>
          <w:i/>
          <w:color w:val="000000"/>
          <w:sz w:val="20"/>
          <w:lang w:val="en-US" w:eastAsia="en-US" w:bidi="ar-SA"/>
        </w:rPr>
        <w:t>Kelly</w:t>
      </w:r>
      <w:r>
        <w:rPr>
          <w:rFonts w:ascii="arial" w:eastAsia="arial" w:hAnsi="arial" w:cs="arial"/>
          <w:color w:val="000000"/>
          <w:sz w:val="20"/>
          <w:lang w:val="en-US" w:eastAsia="en-US" w:bidi="ar-SA"/>
        </w:rPr>
        <w:t xml:space="preserve"> at para. 59).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Application of the law to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461</w:t>
      </w:r>
      <w:r>
        <w:rPr>
          <w:rFonts w:ascii="arial" w:eastAsia="arial" w:hAnsi="arial" w:cs="arial"/>
          <w:color w:val="000000"/>
          <w:sz w:val="20"/>
          <w:lang w:val="en-US" w:eastAsia="en-US" w:bidi="ar-SA"/>
        </w:rPr>
        <w:t>  In the present case, Alex seeks reapportionment on moral grounds. He did not suggest there was any legal obligation on Eida's part to leave him part of her estate. He repeatedly advised the court that the litigation was not about money. He argued that Eida's decision to leave none of her estate to him was an option falling below her moral obligation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462</w:t>
      </w:r>
      <w:r>
        <w:rPr>
          <w:rFonts w:ascii="arial" w:eastAsia="arial" w:hAnsi="arial" w:cs="arial"/>
          <w:color w:val="000000"/>
          <w:sz w:val="20"/>
          <w:lang w:val="en-US" w:eastAsia="en-US" w:bidi="ar-SA"/>
        </w:rPr>
        <w:t>  As noted earlier, Eida's stated reason for making the disposition as she did is contained in paragraph 4.2 of her 2000 will. She stated that she had not made any provision for Alex "for the reason that he is financially secure." She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daughter is deserving of the entirety of my estate in recognition of her many years of devotion, love and care for both myself and her late father. She has been of immeasurable help to me at great sacrifice of her own personal time and without ever asking for or accepting financial reward from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463</w:t>
      </w:r>
      <w:r>
        <w:rPr>
          <w:rFonts w:ascii="arial" w:eastAsia="arial" w:hAnsi="arial" w:cs="arial"/>
          <w:color w:val="000000"/>
          <w:sz w:val="20"/>
          <w:lang w:val="en-US" w:eastAsia="en-US" w:bidi="ar-SA"/>
        </w:rPr>
        <w:t>  Alex pointed to the many diary notes kept by Eida over the years in which she recounted, often in colourful and exaggerated terms, the misdeeds she perceived Alex to have committed against her and Gabriel during their lives. Eida from time to time delivered her notes to Ms. Richter and asked her to keep them in her file. It was Alex's submission that these notes reveal the true, and unsubstantiated, reasons underlying Eida's decision to disinherit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464</w:t>
      </w:r>
      <w:r>
        <w:rPr>
          <w:rFonts w:ascii="arial" w:eastAsia="arial" w:hAnsi="arial" w:cs="arial"/>
          <w:color w:val="000000"/>
          <w:sz w:val="20"/>
          <w:lang w:val="en-US" w:eastAsia="en-US" w:bidi="ar-SA"/>
        </w:rPr>
        <w:t>  I cannot accept that submission. First, Eida did not discuss the contents of the diary notes with either Ms. Richter or Mr. Wilson. She did not even refer to their existence when meeting with Mr. Wilson. When Eida made her 1996 will, she discussed the reasons for disinheriting Alex with Ms. Richter. She stated her reasons in her will, and supplemented them with a statutory declaration.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465</w:t>
      </w:r>
      <w:r>
        <w:rPr>
          <w:rFonts w:ascii="arial" w:eastAsia="arial" w:hAnsi="arial" w:cs="arial"/>
          <w:color w:val="000000"/>
          <w:sz w:val="20"/>
          <w:lang w:val="en-US" w:eastAsia="en-US" w:bidi="ar-SA"/>
        </w:rPr>
        <w:t>  Second, Eida swore another statutory declaration in 1999, reiterating her reasons for the dispositions in the 1996 will. In the declaration, she described the conduct on the part of Alex that caused her "heartache" over the years. However, the central, ongoing and unchanging reasons for not providing for Alex in her will was his financial status relative to that of Viviane, and Viviane's unflagging devotion to her parents in the last 30 years of their lives.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466</w:t>
      </w:r>
      <w:r>
        <w:rPr>
          <w:rFonts w:ascii="arial" w:eastAsia="arial" w:hAnsi="arial" w:cs="arial"/>
          <w:color w:val="000000"/>
          <w:sz w:val="20"/>
          <w:lang w:val="en-US" w:eastAsia="en-US" w:bidi="ar-SA"/>
        </w:rPr>
        <w:t>  In any event, the 1996 will was not Eida's last will. It appears her notes stopped at about the time she swore the statutory declaration in 1999. The notes were retained on the advice of her legal counsel. The will under challenge is the one drawn by Mr. Wilson in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467</w:t>
      </w:r>
      <w:r>
        <w:rPr>
          <w:rFonts w:ascii="arial" w:eastAsia="arial" w:hAnsi="arial" w:cs="arial"/>
          <w:color w:val="000000"/>
          <w:sz w:val="20"/>
          <w:lang w:val="en-US" w:eastAsia="en-US" w:bidi="ar-SA"/>
        </w:rPr>
        <w:t>  In August of 2000, the relationship between Eida and Alex had been somewhat restored. Eida was pleased by the gesture of the car and chauffeur, and felt that Alex was being good to her at the time. However, that gesture did not change Eida's mind about the disposition of her estate. Before signing her will in September of 2000, Eida reiterated to Mr. Wilson and Mr. Frith the reasons underlying her decision to leave her estate to Viviane. She confirmed those reasons in paragraph 4.2 of the Will. Those reasons were Alex's financial security and Viviane's care and devotion. On the evidence, they are valid in the sense that they are based on fact. The reasons are also rational; there is a logical connection between the reasons and the act of disinheritance.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468</w:t>
      </w:r>
      <w:r>
        <w:rPr>
          <w:rFonts w:ascii="arial" w:eastAsia="arial" w:hAnsi="arial" w:cs="arial"/>
          <w:color w:val="000000"/>
          <w:sz w:val="20"/>
          <w:lang w:val="en-US" w:eastAsia="en-US" w:bidi="ar-SA"/>
        </w:rPr>
        <w:t>  The evidence of Viviane's dedication to her parents was considerable. From the time they moved to Vancouver in 1971, she gave them constant assistance and attention. The level of her devotion to her parents was extraordinary.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469</w:t>
      </w:r>
      <w:r>
        <w:rPr>
          <w:rFonts w:ascii="arial" w:eastAsia="arial" w:hAnsi="arial" w:cs="arial"/>
          <w:color w:val="000000"/>
          <w:sz w:val="20"/>
          <w:lang w:val="en-US" w:eastAsia="en-US" w:bidi="ar-SA"/>
        </w:rPr>
        <w:t>  Although employed by the Vancouver Chamber Choir, Viviane was available to her parents whenever they needed her. She saw them in the morning before work and at the end of the day. She had dinner with them every Friday and brunch with them every Sunday. She took them to their medical appointments and ran errands for them. She provided them with emotional support and companionship, and cared for them when they were ill. Viviane managed the Warehouse from the time of her separation from Max in about 1979. She refused any remuneration for that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470</w:t>
      </w:r>
      <w:r>
        <w:rPr>
          <w:rFonts w:ascii="arial" w:eastAsia="arial" w:hAnsi="arial" w:cs="arial"/>
          <w:color w:val="000000"/>
          <w:sz w:val="20"/>
          <w:lang w:val="en-US" w:eastAsia="en-US" w:bidi="ar-SA"/>
        </w:rPr>
        <w:t>  Eida's Will was, in my view, consistent with Eida's moral obligation to provide for Viviane.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471</w:t>
      </w:r>
      <w:r>
        <w:rPr>
          <w:rFonts w:ascii="arial" w:eastAsia="arial" w:hAnsi="arial" w:cs="arial"/>
          <w:color w:val="000000"/>
          <w:sz w:val="20"/>
          <w:lang w:val="en-US" w:eastAsia="en-US" w:bidi="ar-SA"/>
        </w:rPr>
        <w:t>  There can be no doubt that Alex is financially secure. His net worth is approximately $8 million. The Company has consistently performed well. Alex's income in 2001 was $369,000, which is typical of what he earns. Alex has purchased his son a home and an apartment. Gabby has a job with the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472</w:t>
      </w:r>
      <w:r>
        <w:rPr>
          <w:rFonts w:ascii="arial" w:eastAsia="arial" w:hAnsi="arial" w:cs="arial"/>
          <w:color w:val="000000"/>
          <w:sz w:val="20"/>
          <w:lang w:val="en-US" w:eastAsia="en-US" w:bidi="ar-SA"/>
        </w:rPr>
        <w:t>  Alex's evidence was that he is not in need and does not require any money from his mother's estate for his maintenance or support.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473</w:t>
      </w:r>
      <w:r>
        <w:rPr>
          <w:rFonts w:ascii="arial" w:eastAsia="arial" w:hAnsi="arial" w:cs="arial"/>
          <w:color w:val="000000"/>
          <w:sz w:val="20"/>
          <w:lang w:val="en-US" w:eastAsia="en-US" w:bidi="ar-SA"/>
        </w:rPr>
        <w:t xml:space="preserve">  The standard of living and relative financial situation of the testator's children are relevant when considering their moral claims: </w:t>
      </w:r>
      <w:r>
        <w:rPr>
          <w:rFonts w:ascii="arial" w:eastAsia="arial" w:hAnsi="arial" w:cs="arial"/>
          <w:b/>
          <w:i/>
          <w:color w:val="000000"/>
          <w:sz w:val="20"/>
          <w:lang w:val="en-US" w:eastAsia="en-US" w:bidi="ar-SA"/>
        </w:rPr>
        <w:t>Griffin v. McCarthy Estate</w:t>
      </w:r>
      <w:hyperlink r:id="rId76" w:history="1">
        <w:r>
          <w:rPr>
            <w:rFonts w:ascii="arial" w:eastAsia="arial" w:hAnsi="arial" w:cs="arial"/>
            <w:i/>
            <w:color w:val="0077CC"/>
            <w:sz w:val="20"/>
            <w:u w:val="single"/>
            <w:shd w:val="clear" w:color="auto" w:fill="FFFFFF"/>
            <w:lang w:val="en-US" w:eastAsia="en-US" w:bidi="ar-SA"/>
          </w:rPr>
          <w:t>(1989), 36 E.T.R. 129</w:t>
        </w:r>
      </w:hyperlink>
      <w:r>
        <w:rPr>
          <w:rFonts w:ascii="arial" w:eastAsia="arial" w:hAnsi="arial" w:cs="arial"/>
          <w:color w:val="000000"/>
          <w:sz w:val="20"/>
          <w:lang w:val="en-US" w:eastAsia="en-US" w:bidi="ar-SA"/>
        </w:rPr>
        <w:t xml:space="preserve"> at 136 (B.C.S.C.). After she was fired by Alex in 1984, Viviane returned to school and obtained an accounting certification. Her employment with the charity since 1987 has earned her, on average, $38,000 to $39,000 per year. She has lived in the same house for 35 years. At the time of Eida's death, Viviane's house was worth about $600,000, and was her only asset. The estate was worth approximately $1.8 million.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474</w:t>
      </w:r>
      <w:r>
        <w:rPr>
          <w:rFonts w:ascii="arial" w:eastAsia="arial" w:hAnsi="arial" w:cs="arial"/>
          <w:color w:val="000000"/>
          <w:sz w:val="20"/>
          <w:lang w:val="en-US" w:eastAsia="en-US" w:bidi="ar-SA"/>
        </w:rPr>
        <w:t>  Alex's net worth is at least three times the value of the estate and many times that of Viviane's.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475</w:t>
      </w:r>
      <w:r>
        <w:rPr>
          <w:rFonts w:ascii="arial" w:eastAsia="arial" w:hAnsi="arial" w:cs="arial"/>
          <w:color w:val="000000"/>
          <w:sz w:val="20"/>
          <w:lang w:val="en-US" w:eastAsia="en-US" w:bidi="ar-SA"/>
        </w:rPr>
        <w:t xml:space="preserve">  As noted in </w:t>
      </w:r>
      <w:r>
        <w:rPr>
          <w:rFonts w:ascii="arial" w:eastAsia="arial" w:hAnsi="arial" w:cs="arial"/>
          <w:b/>
          <w:i/>
          <w:color w:val="000000"/>
          <w:sz w:val="20"/>
          <w:lang w:val="en-US" w:eastAsia="en-US" w:bidi="ar-SA"/>
        </w:rPr>
        <w:t>Tataryn</w:t>
      </w:r>
      <w:r>
        <w:rPr>
          <w:rFonts w:ascii="arial" w:eastAsia="arial" w:hAnsi="arial" w:cs="arial"/>
          <w:color w:val="000000"/>
          <w:sz w:val="20"/>
          <w:lang w:val="en-US" w:eastAsia="en-US" w:bidi="ar-SA"/>
        </w:rPr>
        <w:t xml:space="preserve">, the moral claims of independent adult children are more tenuous, but should be recognized so long as the size of the estate permits and there are no negating factors. The conduct of the child toward his or her parent can be a negating factor: see </w:t>
      </w:r>
      <w:r>
        <w:rPr>
          <w:rFonts w:ascii="arial" w:eastAsia="arial" w:hAnsi="arial" w:cs="arial"/>
          <w:b/>
          <w:i/>
          <w:color w:val="000000"/>
          <w:sz w:val="20"/>
          <w:lang w:val="en-US" w:eastAsia="en-US" w:bidi="ar-SA"/>
        </w:rPr>
        <w:t>Kelly</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476</w:t>
      </w:r>
      <w:r>
        <w:rPr>
          <w:rFonts w:ascii="arial" w:eastAsia="arial" w:hAnsi="arial" w:cs="arial"/>
          <w:color w:val="000000"/>
          <w:sz w:val="20"/>
          <w:lang w:val="en-US" w:eastAsia="en-US" w:bidi="ar-SA"/>
        </w:rPr>
        <w:t>  As is sometimes the case with children and their parents, Alex's relationship with his parents varied at different times. It was often not a happy one. It was seldom a close one, particularly after Alex gained control of the Company and terminated Viviane. Significant conflicts marred the relationship. Those conflicts permanently changed the feelings of Gabriel and Eida toward their 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477</w:t>
      </w:r>
      <w:r>
        <w:rPr>
          <w:rFonts w:ascii="arial" w:eastAsia="arial" w:hAnsi="arial" w:cs="arial"/>
          <w:color w:val="000000"/>
          <w:sz w:val="20"/>
          <w:lang w:val="en-US" w:eastAsia="en-US" w:bidi="ar-SA"/>
        </w:rPr>
        <w:t>  Alex blamed Viviane for his poor relationship with his parents. For example, he argued that with Viviane constantly at the family dinner table, there was no room for him. Yet he testified that he decided not to attend the Friday dinners for other reasons. He did not like the way his family treated his first wife, Erika. He was busy with his business and his family. He acknowledged that family and religious holidays meant nothing to him and he did not observe them for that reason. In my view, there was ample opportunity for Alex to involve himself in his parents' lives, had he chosen to do so. He chose instead to devote his time to his business and other pursuits. A consequence of that choice was the lack of a relationship with his parents in their later years, and, in particular, the lack of a relationship with his mother following Gabriel's death.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478</w:t>
      </w:r>
      <w:r>
        <w:rPr>
          <w:rFonts w:ascii="arial" w:eastAsia="arial" w:hAnsi="arial" w:cs="arial"/>
          <w:color w:val="000000"/>
          <w:sz w:val="20"/>
          <w:lang w:val="en-US" w:eastAsia="en-US" w:bidi="ar-SA"/>
        </w:rPr>
        <w:t>  Alex pointed to the slapping incident and its aftermath, which occurred sometime in the early 1980s, as evidence of Viviane's attempts to undermine him in the eyes of his parents. He said that Viviane admitted, in the presence of Levant Semiramis, of attempting to alienate Gabriel and Eida from Alex in order to deprive him of his inheritance. Viviane denied the encounter.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479</w:t>
      </w:r>
      <w:r>
        <w:rPr>
          <w:rFonts w:ascii="arial" w:eastAsia="arial" w:hAnsi="arial" w:cs="arial"/>
          <w:color w:val="000000"/>
          <w:sz w:val="20"/>
          <w:lang w:val="en-US" w:eastAsia="en-US" w:bidi="ar-SA"/>
        </w:rPr>
        <w:t>  In my view, it is unlikely that the confrontation occurred. It is the only direct evidence advanced by Alex of a deliberate effort on his sister's behalf to have him disinherited, yet he first described the confrontation at trial. He did not mention the incident in his examination for discovery two weeks before trial or in answer to a request following his discovery that he provide Viviane's counsel with a description of any major incidents between himself and Viviane.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480</w:t>
      </w:r>
      <w:r>
        <w:rPr>
          <w:rFonts w:ascii="arial" w:eastAsia="arial" w:hAnsi="arial" w:cs="arial"/>
          <w:color w:val="000000"/>
          <w:sz w:val="20"/>
          <w:lang w:val="en-US" w:eastAsia="en-US" w:bidi="ar-SA"/>
        </w:rPr>
        <w:t>  Alex said he had decided the previous day to confront Viviane as soon as he arrived at work. In other words, the confrontation was planned and not spontaneous. In my view, it is most unlikely that he would carry out his plan in the presence of two warehouse workers, one of whom was not even employed by the Company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481</w:t>
      </w:r>
      <w:r>
        <w:rPr>
          <w:rFonts w:ascii="arial" w:eastAsia="arial" w:hAnsi="arial" w:cs="arial"/>
          <w:color w:val="000000"/>
          <w:sz w:val="20"/>
          <w:lang w:val="en-US" w:eastAsia="en-US" w:bidi="ar-SA"/>
        </w:rPr>
        <w:t>  Levant Semiramis was employed by a company occupying space next to the Company. He said he did not recall Alex and Viviane arguing about personal matters, but did recall a conversation in which Alex told Viviane there were rumours Viviane was trying to have him disinherited and that Viviane said words to the effect of, "So what?" or "What can you do about it?" He did not explain how he recalled a conversation he overheard more than twenty years earlier, or why he would be present in the Company warehouse at the time (which was first thing in the morning, according to Alex).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482</w:t>
      </w:r>
      <w:r>
        <w:rPr>
          <w:rFonts w:ascii="arial" w:eastAsia="arial" w:hAnsi="arial" w:cs="arial"/>
          <w:color w:val="000000"/>
          <w:sz w:val="20"/>
          <w:lang w:val="en-US" w:eastAsia="en-US" w:bidi="ar-SA"/>
        </w:rPr>
        <w:t>  The relationship between the Semiramis brothers and Viviane was not a good one. Alex had made them aware that Viviane suspected them of taking goods from the warehouse. It defies common sense that Viviane would admit to the alleged misconduct in the presence of other persons, particularly the Semiramis brothers whom she distrusted.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483</w:t>
      </w:r>
      <w:r>
        <w:rPr>
          <w:rFonts w:ascii="arial" w:eastAsia="arial" w:hAnsi="arial" w:cs="arial"/>
          <w:color w:val="000000"/>
          <w:sz w:val="20"/>
          <w:lang w:val="en-US" w:eastAsia="en-US" w:bidi="ar-SA"/>
        </w:rPr>
        <w:t>  Levant Semiramis was not a convincing witness on this and other matters. I do not accept his evidence concerning this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484</w:t>
      </w:r>
      <w:r>
        <w:rPr>
          <w:rFonts w:ascii="arial" w:eastAsia="arial" w:hAnsi="arial" w:cs="arial"/>
          <w:color w:val="000000"/>
          <w:sz w:val="20"/>
          <w:lang w:val="en-US" w:eastAsia="en-US" w:bidi="ar-SA"/>
        </w:rPr>
        <w:t xml:space="preserve">  In any event, this exchange is alleged to have occurred almost two decades before Eida made her last Will in September of 2000. If it did occur, it preceded many of the difficulties that occurred in the relationship between Alex and his parents. Furthermore, for purposes of determining the reapportionment claim under the </w:t>
      </w:r>
      <w:r>
        <w:rPr>
          <w:rFonts w:ascii="arial" w:eastAsia="arial" w:hAnsi="arial" w:cs="arial"/>
          <w:b/>
          <w:i/>
          <w:color w:val="000000"/>
          <w:sz w:val="20"/>
          <w:lang w:val="en-US" w:eastAsia="en-US" w:bidi="ar-SA"/>
        </w:rPr>
        <w:t>WVA</w:t>
      </w:r>
      <w:r>
        <w:rPr>
          <w:rFonts w:ascii="arial" w:eastAsia="arial" w:hAnsi="arial" w:cs="arial"/>
          <w:color w:val="000000"/>
          <w:sz w:val="20"/>
          <w:lang w:val="en-US" w:eastAsia="en-US" w:bidi="ar-SA"/>
        </w:rPr>
        <w:t>, the central inquiry concerns the circumstances existing at the time the testator made her last will and immediately before her death.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485</w:t>
      </w:r>
      <w:r>
        <w:rPr>
          <w:rFonts w:ascii="arial" w:eastAsia="arial" w:hAnsi="arial" w:cs="arial"/>
          <w:color w:val="000000"/>
          <w:sz w:val="20"/>
          <w:lang w:val="en-US" w:eastAsia="en-US" w:bidi="ar-SA"/>
        </w:rPr>
        <w:t>  There was ample evidence on which to base the conclusion that responsibility for the difficulties between Alex and his parents must be laid at Alex's feet.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486</w:t>
      </w:r>
      <w:r>
        <w:rPr>
          <w:rFonts w:ascii="arial" w:eastAsia="arial" w:hAnsi="arial" w:cs="arial"/>
          <w:color w:val="000000"/>
          <w:sz w:val="20"/>
          <w:lang w:val="en-US" w:eastAsia="en-US" w:bidi="ar-SA"/>
        </w:rPr>
        <w:t>  Gabriel and Eida were unhappy throughout Alex's adult life with some of his lifestyle choices. They disagreed with his spending habits. They disliked what they viewed as his excessively confrontational style.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487</w:t>
      </w:r>
      <w:r>
        <w:rPr>
          <w:rFonts w:ascii="arial" w:eastAsia="arial" w:hAnsi="arial" w:cs="arial"/>
          <w:color w:val="000000"/>
          <w:sz w:val="20"/>
          <w:lang w:val="en-US" w:eastAsia="en-US" w:bidi="ar-SA"/>
        </w:rPr>
        <w:t>  It is evident that the buyout by Alex of his father's interest in the Company significantly affected Gabriel and Eida, and permanently altered their view of him. During the years Gabriel was majority shareholder, a creditor of the Company and guarantor of its loans, he received no dividends or remuneration. When Alex decided he did not want family involved in the business, he told his father he would apply for liquidation of the Company if an agreement on the buyout could not be reached. Mediation was required. In the end, Alex drove a hard bargain for the purchase of Gabriel's shares. As evidenced by Eida's comment to Alex about the purchase of his home on Selkirk Street (to the effect that the home had been bought with Gabriel's money), she did not believe Alex had been fair to Gabriel.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488</w:t>
      </w:r>
      <w:r>
        <w:rPr>
          <w:rFonts w:ascii="arial" w:eastAsia="arial" w:hAnsi="arial" w:cs="arial"/>
          <w:color w:val="000000"/>
          <w:sz w:val="20"/>
          <w:lang w:val="en-US" w:eastAsia="en-US" w:bidi="ar-SA"/>
        </w:rPr>
        <w:t>  Alex's termination of Viviane from her employment with the Company caused an enormous rift in the family. Alex testified that his father called him a "monster" and a "thief", and told him he was "despicable". There was little evidence to suggest that Viviane's firing was for cause. Alex said he was unhappy with Viviane's interactions with clients who owed the Company money, but acknowledged Viviane was under considerable pressure from Gabriel to pursue outstanding accounts receivable. He also acknowledged that he never told Viviane her position with the Company was in jeopardy. However, he refused to pay her severance until Gabriel sought the intervention of other family members and friends.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489</w:t>
      </w:r>
      <w:r>
        <w:rPr>
          <w:rFonts w:ascii="arial" w:eastAsia="arial" w:hAnsi="arial" w:cs="arial"/>
          <w:color w:val="000000"/>
          <w:sz w:val="20"/>
          <w:lang w:val="en-US" w:eastAsia="en-US" w:bidi="ar-SA"/>
        </w:rPr>
        <w:t>  Alex had ongoing disputes with his parents about their estate planning. He made it clear to them he would engage in a legal battle with Viviane if he was not satisfied with his inheritance. The 1992 dispute arising from the decision of Gabriel and Eida to include only Viviane as a joint holder of their investment account caused a huge rift. Gabriel and Eida heard their son threatening to "burn them" as a result of their decision. Alex said the expression he shouted was, "He (God) will burn you". Another dispute occurred a year later when Alex discovered, by searching the title of the Condominium, that it was held by his parents in joint tenancy with Viviane.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490</w:t>
      </w:r>
      <w:r>
        <w:rPr>
          <w:rFonts w:ascii="arial" w:eastAsia="arial" w:hAnsi="arial" w:cs="arial"/>
          <w:color w:val="000000"/>
          <w:sz w:val="20"/>
          <w:lang w:val="en-US" w:eastAsia="en-US" w:bidi="ar-SA"/>
        </w:rPr>
        <w:t>  In 1993, Alex complained to his visiting childhood friend, Mr. Minasyan, that he suspected his parents would disinherit him. According to Mr. Minasyan, he attempted to intervene on Alex's behalf by speaking to Gabriel about Alex's inheritance. He did so with Alex's knowledge. According to Mr. Minasyan, Gabriel told him he had provided equally for his children. It is odd, in my view, that Mr. Minasyan would feel comfortable raising such a personal issue with Alex's father after many years of little or no contact with the family. However, if the topic was discussed, it is not surprising that Gabriel would mislead Alex's friend. Gabriel knew of Alex's willingness to fight Viviane over the estate, and had expressed his fear of such a fight to Ms. Richter.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491</w:t>
      </w:r>
      <w:r>
        <w:rPr>
          <w:rFonts w:ascii="arial" w:eastAsia="arial" w:hAnsi="arial" w:cs="arial"/>
          <w:color w:val="000000"/>
          <w:sz w:val="20"/>
          <w:lang w:val="en-US" w:eastAsia="en-US" w:bidi="ar-SA"/>
        </w:rPr>
        <w:t>  Alex had a different relationship with his father than he did with his mother. Despite their many differences, Alex respected his father. It was apparent from his evidence that he did not hold his mother in the same regard. He made several disparaging remarks about her at trial. After Gabriel's death, Alex saw Eida only sporadically. He had no real involvement in Eida's life. He occasionally had her over to his home for dinner, or took her to a restaurant. One of the caregivers who spent a great deal of time with Eida never saw Alex. Another caregiver saw him only two or three times in the two years she spent as Eida's companion.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492</w:t>
      </w:r>
      <w:r>
        <w:rPr>
          <w:rFonts w:ascii="arial" w:eastAsia="arial" w:hAnsi="arial" w:cs="arial"/>
          <w:color w:val="000000"/>
          <w:sz w:val="20"/>
          <w:lang w:val="en-US" w:eastAsia="en-US" w:bidi="ar-SA"/>
        </w:rPr>
        <w:t>  When Alex remarried in 1997, he did not ask his mother to attend the ceremony.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493</w:t>
      </w:r>
      <w:r>
        <w:rPr>
          <w:rFonts w:ascii="arial" w:eastAsia="arial" w:hAnsi="arial" w:cs="arial"/>
          <w:color w:val="000000"/>
          <w:sz w:val="20"/>
          <w:lang w:val="en-US" w:eastAsia="en-US" w:bidi="ar-SA"/>
        </w:rPr>
        <w:t>  The incident involving Gabriel's will is a telling example of Alex's attitude toward his mother. Gabriel had been dead only a matter of weeks when Alex demanded to see his father's will. He instructed his lawyer to write his mother demanding to see the will at a time when she was still struggling with the recent loss of her husband. Alex showed little regard or love for his mother at a time she particularly required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494</w:t>
      </w:r>
      <w:r>
        <w:rPr>
          <w:rFonts w:ascii="arial" w:eastAsia="arial" w:hAnsi="arial" w:cs="arial"/>
          <w:color w:val="000000"/>
          <w:sz w:val="20"/>
          <w:lang w:val="en-US" w:eastAsia="en-US" w:bidi="ar-SA"/>
        </w:rPr>
        <w:t>  The dispute over the car and driver is also reflective of Alex's relationship with Eida. Alex did not hesitate to send his mother a letter in January of 2002 alleging that she was no longer competent. He did so in an effort to obtain reimbursement for expenses that were, at the time, being claimed as Company expenses.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495</w:t>
      </w:r>
      <w:r>
        <w:rPr>
          <w:rFonts w:ascii="arial" w:eastAsia="arial" w:hAnsi="arial" w:cs="arial"/>
          <w:color w:val="000000"/>
          <w:sz w:val="20"/>
          <w:lang w:val="en-US" w:eastAsia="en-US" w:bidi="ar-SA"/>
        </w:rPr>
        <w:t>  Although Alex did not see his mother often, he made no secret of his ongoing and intense interest in her estate. He repeatedly made clear his intention to fight with Viviane over Eida's will if Eida did not divide her estate in a manner that satisfied him. He offered Eida "peace" in the family so long as she acquiesced to his position. That, in my view, was not the action of a son who had the best interests of his elderly mother in mind. It was a threat designed to influence Eida with respect to the division of her estate.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496</w:t>
      </w:r>
      <w:r>
        <w:rPr>
          <w:rFonts w:ascii="arial" w:eastAsia="arial" w:hAnsi="arial" w:cs="arial"/>
          <w:color w:val="000000"/>
          <w:sz w:val="20"/>
          <w:lang w:val="en-US" w:eastAsia="en-US" w:bidi="ar-SA"/>
        </w:rPr>
        <w:t>  Eida expressed her fear to Ms. Richter and Mr. Wilson concerning her son's stated intention to fight with Viviane over the estate. She also feared Alex would dispute her mental capacity. She took the unusual step of obtaining a mental competency examination. In light of the comments made by Alex in his letter to Eida in January of 2002 about her competence, it appears those fears were well-founded.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497</w:t>
      </w:r>
      <w:r>
        <w:rPr>
          <w:rFonts w:ascii="arial" w:eastAsia="arial" w:hAnsi="arial" w:cs="arial"/>
          <w:color w:val="000000"/>
          <w:sz w:val="20"/>
          <w:lang w:val="en-US" w:eastAsia="en-US" w:bidi="ar-SA"/>
        </w:rPr>
        <w:t>  Alex did not visit Eida again after the dispute over the car and driver in January of 2002. He said he thought he spoke to her by telephone at some point before her death, urging her to use the car and driver. Eida died three months later. Alex did not attend her funeral due to business commitments abroad.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 on the WVA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498</w:t>
      </w:r>
      <w:r>
        <w:rPr>
          <w:rFonts w:ascii="arial" w:eastAsia="arial" w:hAnsi="arial" w:cs="arial"/>
          <w:color w:val="000000"/>
          <w:sz w:val="20"/>
          <w:lang w:val="en-US" w:eastAsia="en-US" w:bidi="ar-SA"/>
        </w:rPr>
        <w:t>  In all of the circumstances, I have concluded that it would not be equitable to vary Eida's will.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V. SUMMARY OF CONCLUSIONS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499</w:t>
      </w:r>
      <w:r>
        <w:rPr>
          <w:rFonts w:ascii="arial" w:eastAsia="arial" w:hAnsi="arial" w:cs="arial"/>
          <w:color w:val="000000"/>
          <w:sz w:val="20"/>
          <w:lang w:val="en-US" w:eastAsia="en-US" w:bidi="ar-SA"/>
        </w:rPr>
        <w:t>  In summary, I have concluded the following:</w:t>
      </w:r>
      <w:r>
        <w:rPr>
          <w:rFonts w:ascii="arial" w:eastAsia="arial" w:hAnsi="arial" w:cs="arial"/>
          <w:sz w:val="20"/>
          <w:lang w:val="en-US" w:eastAsia="en-US" w:bidi="ar-SA"/>
        </w:rPr>
        <w:cr/>
      </w:r>
    </w:p>
    <w:p>
      <w:pPr>
        <w:numPr>
          <w:numId w:val="8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Viviane made no admission in her pleadings that the transfers of the joint assets were not </w:t>
      </w:r>
      <w:r>
        <w:rPr>
          <w:rFonts w:ascii="arial" w:eastAsia="arial" w:hAnsi="arial" w:cs="arial"/>
          <w:i/>
          <w:color w:val="000000"/>
          <w:sz w:val="20"/>
          <w:lang w:val="en-US" w:eastAsia="en-US" w:bidi="ar-SA"/>
        </w:rPr>
        <w:t>inter vivos</w:t>
      </w:r>
      <w:r>
        <w:rPr>
          <w:rFonts w:ascii="arial" w:eastAsia="arial" w:hAnsi="arial" w:cs="arial"/>
          <w:color w:val="000000"/>
          <w:sz w:val="20"/>
          <w:lang w:val="en-US" w:eastAsia="en-US" w:bidi="ar-SA"/>
        </w:rPr>
        <w:t xml:space="preserve"> in nature.</w:t>
      </w:r>
    </w:p>
    <w:p>
      <w:pPr>
        <w:numPr>
          <w:numId w:val="8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transfers of the joint assets (specifically, the Condominium and the joint accounts) to Viviane were valid </w:t>
      </w:r>
      <w:r>
        <w:rPr>
          <w:rFonts w:ascii="arial" w:eastAsia="arial" w:hAnsi="arial" w:cs="arial"/>
          <w:i/>
          <w:color w:val="000000"/>
          <w:sz w:val="20"/>
          <w:lang w:val="en-US" w:eastAsia="en-US" w:bidi="ar-SA"/>
        </w:rPr>
        <w:t>inter vivos</w:t>
      </w:r>
      <w:r>
        <w:rPr>
          <w:rFonts w:ascii="arial" w:eastAsia="arial" w:hAnsi="arial" w:cs="arial"/>
          <w:color w:val="000000"/>
          <w:sz w:val="20"/>
          <w:lang w:val="en-US" w:eastAsia="en-US" w:bidi="ar-SA"/>
        </w:rPr>
        <w:t xml:space="preserve"> transfers.</w:t>
      </w:r>
    </w:p>
    <w:p>
      <w:pPr>
        <w:numPr>
          <w:numId w:val="8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Deed of Gift resulted in a valid </w:t>
      </w:r>
      <w:r>
        <w:rPr>
          <w:rFonts w:ascii="arial" w:eastAsia="arial" w:hAnsi="arial" w:cs="arial"/>
          <w:i/>
          <w:color w:val="000000"/>
          <w:sz w:val="20"/>
          <w:lang w:val="en-US" w:eastAsia="en-US" w:bidi="ar-SA"/>
        </w:rPr>
        <w:t>inter vivos</w:t>
      </w:r>
      <w:r>
        <w:rPr>
          <w:rFonts w:ascii="arial" w:eastAsia="arial" w:hAnsi="arial" w:cs="arial"/>
          <w:color w:val="000000"/>
          <w:sz w:val="20"/>
          <w:lang w:val="en-US" w:eastAsia="en-US" w:bidi="ar-SA"/>
        </w:rPr>
        <w:t xml:space="preserve"> gift.</w:t>
      </w:r>
    </w:p>
    <w:p>
      <w:pPr>
        <w:numPr>
          <w:numId w:val="8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Trust was a valid </w:t>
      </w:r>
      <w:r>
        <w:rPr>
          <w:rFonts w:ascii="arial" w:eastAsia="arial" w:hAnsi="arial" w:cs="arial"/>
          <w:i/>
          <w:color w:val="000000"/>
          <w:sz w:val="20"/>
          <w:lang w:val="en-US" w:eastAsia="en-US" w:bidi="ar-SA"/>
        </w:rPr>
        <w:t>inter vivos</w:t>
      </w:r>
      <w:r>
        <w:rPr>
          <w:rFonts w:ascii="arial" w:eastAsia="arial" w:hAnsi="arial" w:cs="arial"/>
          <w:color w:val="000000"/>
          <w:sz w:val="20"/>
          <w:lang w:val="en-US" w:eastAsia="en-US" w:bidi="ar-SA"/>
        </w:rPr>
        <w:t xml:space="preserve"> trust.</w:t>
      </w:r>
    </w:p>
    <w:p>
      <w:pPr>
        <w:numPr>
          <w:numId w:val="8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was no undue influence or breach of fiduciary duty with respect to transfer of the joint assets or the creation of the Trust.</w:t>
      </w:r>
    </w:p>
    <w:p>
      <w:pPr>
        <w:numPr>
          <w:numId w:val="8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provision of the car and driver was an unconditional gift from Alex to Eida. Accordingly, Alex cannot claim reimbursement for the expenses he incurred.</w:t>
      </w:r>
    </w:p>
    <w:p>
      <w:pPr>
        <w:numPr>
          <w:numId w:val="8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Alex does not have a claim on moral grounds to a share of Eida's estate pursuant to the </w:t>
      </w:r>
      <w:r>
        <w:rPr>
          <w:rFonts w:ascii="arial" w:eastAsia="arial" w:hAnsi="arial" w:cs="arial"/>
          <w:b/>
          <w:i/>
          <w:color w:val="000000"/>
          <w:sz w:val="20"/>
          <w:lang w:val="en-US" w:eastAsia="en-US" w:bidi="ar-SA"/>
        </w:rPr>
        <w:t>WVA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500</w:t>
      </w:r>
      <w:r>
        <w:rPr>
          <w:rFonts w:ascii="arial" w:eastAsia="arial" w:hAnsi="arial" w:cs="arial"/>
          <w:color w:val="000000"/>
          <w:sz w:val="20"/>
          <w:lang w:val="en-US" w:eastAsia="en-US" w:bidi="ar-SA"/>
        </w:rPr>
        <w:t>  The issue of costs was deferred at the request of the parties, and may now be addressed if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WEDGE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APPENDIX "A"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1. </w:t>
      </w:r>
      <w:r>
        <w:rPr>
          <w:rFonts w:ascii="arial" w:eastAsia="arial" w:hAnsi="arial" w:cs="arial"/>
          <w:b/>
          <w:color w:val="000000"/>
          <w:sz w:val="20"/>
          <w:u w:val="single"/>
          <w:lang w:val="en-US" w:eastAsia="en-US" w:bidi="ar-SA"/>
        </w:rPr>
        <w:t>SETTLEMENT OF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1.2 </w:t>
      </w:r>
      <w:r>
        <w:rPr>
          <w:rFonts w:ascii="arial" w:eastAsia="arial" w:hAnsi="arial" w:cs="arial"/>
          <w:color w:val="000000"/>
          <w:sz w:val="20"/>
          <w:lang w:val="en-US" w:eastAsia="en-US" w:bidi="ar-SA"/>
        </w:rPr>
        <w:t>The Settlor hereby settles upon the Original Trustee and the Original Trustee acknowledges the receipt of the property described in Schedule A hereto. No further property may be contributed to the Trust or otherwise given to the Trustees for the purpose of the Trust without the acceptance of the Trustees.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1.3 </w:t>
      </w:r>
      <w:r>
        <w:rPr>
          <w:rFonts w:ascii="arial" w:eastAsia="arial" w:hAnsi="arial" w:cs="arial"/>
          <w:color w:val="000000"/>
          <w:sz w:val="20"/>
          <w:lang w:val="en-US" w:eastAsia="en-US" w:bidi="ar-SA"/>
        </w:rPr>
        <w:t>The Original Trustee hereby accepts the Trust and the duties and powers contained herein.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1.4 </w:t>
      </w:r>
      <w:r>
        <w:rPr>
          <w:rFonts w:ascii="arial" w:eastAsia="arial" w:hAnsi="arial" w:cs="arial"/>
          <w:color w:val="000000"/>
          <w:sz w:val="20"/>
          <w:lang w:val="en-US" w:eastAsia="en-US" w:bidi="ar-SA"/>
        </w:rPr>
        <w:t>The Trust shall be irrevocable by the Settlor.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b/>
          <w:color w:val="000000"/>
          <w:sz w:val="20"/>
          <w:u w:val="single"/>
          <w:lang w:val="en-US" w:eastAsia="en-US" w:bidi="ar-SA"/>
        </w:rPr>
        <w:t xml:space="preserve"> DEFINITIONS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 "Beneficiaries"</w:t>
      </w:r>
      <w:r>
        <w:rPr>
          <w:rFonts w:ascii="arial" w:eastAsia="arial" w:hAnsi="arial" w:cs="arial"/>
          <w:color w:val="000000"/>
          <w:sz w:val="20"/>
          <w:lang w:val="en-US" w:eastAsia="en-US" w:bidi="ar-SA"/>
        </w:rPr>
        <w:t xml:space="preserve"> means Eida Mordo and her daughter Viviane Nitting and </w:t>
      </w:r>
      <w:r>
        <w:rPr>
          <w:rFonts w:ascii="arial" w:eastAsia="arial" w:hAnsi="arial" w:cs="arial"/>
          <w:b/>
          <w:color w:val="000000"/>
          <w:sz w:val="20"/>
          <w:lang w:val="en-US" w:eastAsia="en-US" w:bidi="ar-SA"/>
        </w:rPr>
        <w:t>"Beneficiary"</w:t>
      </w:r>
      <w:r>
        <w:rPr>
          <w:rFonts w:ascii="arial" w:eastAsia="arial" w:hAnsi="arial" w:cs="arial"/>
          <w:color w:val="000000"/>
          <w:sz w:val="20"/>
          <w:lang w:val="en-US" w:eastAsia="en-US" w:bidi="ar-SA"/>
        </w:rPr>
        <w:t xml:space="preserve"> means any one of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 "Income"</w:t>
      </w:r>
      <w:r>
        <w:rPr>
          <w:rFonts w:ascii="arial" w:eastAsia="arial" w:hAnsi="arial" w:cs="arial"/>
          <w:color w:val="000000"/>
          <w:sz w:val="20"/>
          <w:lang w:val="en-US" w:eastAsia="en-US" w:bidi="ar-SA"/>
        </w:rPr>
        <w:t xml:space="preserve"> means the income of the Trust for a fiscal period determined without reference to the Income Tax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 "Issue"</w:t>
      </w:r>
      <w:r>
        <w:rPr>
          <w:rFonts w:ascii="arial" w:eastAsia="arial" w:hAnsi="arial" w:cs="arial"/>
          <w:color w:val="000000"/>
          <w:sz w:val="20"/>
          <w:lang w:val="en-US" w:eastAsia="en-US" w:bidi="ar-SA"/>
        </w:rPr>
        <w:t xml:space="preserve"> means all lineal descendants of every degree of consanguinity and when used with the phrase </w:t>
      </w:r>
      <w:r>
        <w:rPr>
          <w:rFonts w:ascii="arial" w:eastAsia="arial" w:hAnsi="arial" w:cs="arial"/>
          <w:b/>
          <w:color w:val="000000"/>
          <w:sz w:val="20"/>
          <w:lang w:val="en-US" w:eastAsia="en-US" w:bidi="ar-SA"/>
        </w:rPr>
        <w:t>"in equal shares per stirpes"</w:t>
      </w:r>
      <w:r>
        <w:rPr>
          <w:rFonts w:ascii="arial" w:eastAsia="arial" w:hAnsi="arial" w:cs="arial"/>
          <w:color w:val="000000"/>
          <w:sz w:val="20"/>
          <w:lang w:val="en-US" w:eastAsia="en-US" w:bidi="ar-SA"/>
        </w:rPr>
        <w:t xml:space="preserve"> means that the descendants of any degree of consanguinity only take the share which their deceased ancestor would have been entitled to and thus by representing such ancestor;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 "Net Income"</w:t>
      </w:r>
      <w:r>
        <w:rPr>
          <w:rFonts w:ascii="arial" w:eastAsia="arial" w:hAnsi="arial" w:cs="arial"/>
          <w:color w:val="000000"/>
          <w:sz w:val="20"/>
          <w:lang w:val="en-US" w:eastAsia="en-US" w:bidi="ar-SA"/>
        </w:rPr>
        <w:t xml:space="preserve"> means the Income less all costs, disbursements, expenses, commissions, charges and outgoings incurred or payable in connection with the management and administration of the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 "Trust Property"</w:t>
      </w:r>
      <w:r>
        <w:rPr>
          <w:rFonts w:ascii="arial" w:eastAsia="arial" w:hAnsi="arial" w:cs="arial"/>
          <w:color w:val="000000"/>
          <w:sz w:val="20"/>
          <w:lang w:val="en-US" w:eastAsia="en-US" w:bidi="ar-SA"/>
        </w:rPr>
        <w:t xml:space="preserve"> means the property settled upon the Original Trustees in paragraph 1.2 and all property which may from time to time with the consent of the Trustees be paid, assigned, transferred, conveyed, delivered, loaned or bequeathed to the Trustees for the purpose of the Trust, and any property in or into which the foregoing may from time to time be invested or converted, and the proceeds of any redemption or repurchase of stocks or shares held as part of the Trust Property, and all Income accumulated by the Trustees as herein provided;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b/>
          <w:color w:val="000000"/>
          <w:sz w:val="20"/>
          <w:u w:val="single"/>
          <w:lang w:val="en-US" w:eastAsia="en-US" w:bidi="ar-SA"/>
        </w:rPr>
        <w:t xml:space="preserve"> ADMINISTRATION OF THE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3.1 </w:t>
      </w:r>
      <w:r>
        <w:rPr>
          <w:rFonts w:ascii="arial" w:eastAsia="arial" w:hAnsi="arial" w:cs="arial"/>
          <w:color w:val="000000"/>
          <w:sz w:val="20"/>
          <w:lang w:val="en-US" w:eastAsia="en-US" w:bidi="ar-SA"/>
        </w:rPr>
        <w:t>The Trustees shall invest and keep invested the Trust Property in any investments of any kind whatsoever and wheresoever which the Trustees consider advisable ... without being limited to investments authorized by law for investment by trustees.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b/>
          <w:color w:val="000000"/>
          <w:sz w:val="20"/>
          <w:u w:val="single"/>
          <w:lang w:val="en-US" w:eastAsia="en-US" w:bidi="ar-SA"/>
        </w:rPr>
        <w:t xml:space="preserve"> BENEFIT ENTITLEMENT AND DISTRIBUTION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4.2 </w:t>
      </w:r>
      <w:r>
        <w:rPr>
          <w:rFonts w:ascii="arial" w:eastAsia="arial" w:hAnsi="arial" w:cs="arial"/>
          <w:color w:val="000000"/>
          <w:sz w:val="20"/>
          <w:lang w:val="en-US" w:eastAsia="en-US" w:bidi="ar-SA"/>
        </w:rPr>
        <w:t>Until Eida Mordo's death, Eida Mordo shall be entitled to receive all of the Net Income and the Trust Property and the Trustees shall pay, transfer or apply such amount or amounts thereof to or for the benefit of Eida Mordo at such time or times and in such manner as Eida Mordo shall request or, if Eida Mordo should become incompetent, as the Trustees in their discretion shall determine to be required for Eida Mordo's maintenance, care and comfort. Any Net Income not paid to or for the benefit of Eida Mordo in any fiscal period shall be accumulated. No person except Eida Mordo may, before Eida Mordo's death, receive or otherwise obtain the use of any of the Net Income or the Trust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4.3.2 </w:t>
      </w:r>
      <w:r>
        <w:rPr>
          <w:rFonts w:ascii="arial" w:eastAsia="arial" w:hAnsi="arial" w:cs="arial"/>
          <w:color w:val="000000"/>
          <w:sz w:val="20"/>
          <w:lang w:val="en-US" w:eastAsia="en-US" w:bidi="ar-SA"/>
        </w:rPr>
        <w:t>Upon Eida Mordo's death, the Trustees shall distribute the Trust Property to Viviane Nitting. If Viviane Nitting should die before Eida Mordo leaving issue living at the death of Eida Mordo, the remaining Trust Property shall be distributed to the issue of Viviane Nitting, and if more than one, in equal shares per stirpes.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b/>
          <w:color w:val="000000"/>
          <w:sz w:val="20"/>
          <w:u w:val="single"/>
          <w:lang w:val="en-US" w:eastAsia="en-US" w:bidi="ar-SA"/>
        </w:rPr>
        <w:t xml:space="preserve"> POWERS OF THE TRUSTEES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5.1 </w:t>
      </w:r>
      <w:r>
        <w:rPr>
          <w:rFonts w:ascii="arial" w:eastAsia="arial" w:hAnsi="arial" w:cs="arial"/>
          <w:color w:val="000000"/>
          <w:sz w:val="20"/>
          <w:lang w:val="en-US" w:eastAsia="en-US" w:bidi="ar-SA"/>
        </w:rPr>
        <w:t>Subject to any limitations imposed by law, the Trustees shall have, without other or further authorization and free from any power or control on the part of the Beneficiaries, the exclusive and absolute power, control and authority over the Trust Property and the administration of the Trust to the same extent as if the Trustees were the absolute owners of the Trust Property in their own right including, without limiting the generality of the foregoing, the specific powers enumerated in Schedule B hereto.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b/>
          <w:color w:val="000000"/>
          <w:sz w:val="20"/>
          <w:u w:val="single"/>
          <w:lang w:val="en-US" w:eastAsia="en-US" w:bidi="ar-SA"/>
        </w:rPr>
        <w:t xml:space="preserve"> INTERPRETATION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8.1 </w:t>
      </w:r>
      <w:r>
        <w:rPr>
          <w:rFonts w:ascii="arial" w:eastAsia="arial" w:hAnsi="arial" w:cs="arial"/>
          <w:color w:val="000000"/>
          <w:sz w:val="20"/>
          <w:lang w:val="en-US" w:eastAsia="en-US" w:bidi="ar-SA"/>
        </w:rPr>
        <w:t>The words "discretion of the Trustees" or "Trustees' discretion" and other words of like import, wherever used herein, shall be read and construed as vesting in the Trustees the absolute and unfettered discretion to dispose of the matter or matters in good faith in respect of which they have been vested with discretion.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SCHEDULE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b/>
          <w:color w:val="000000"/>
          <w:sz w:val="20"/>
          <w:u w:val="single"/>
          <w:lang w:val="en-US" w:eastAsia="en-US" w:bidi="ar-SA"/>
        </w:rPr>
        <w:t xml:space="preserve"> SELL TRUST PROPERTY</w:t>
      </w:r>
      <w:r>
        <w:rPr>
          <w:rFonts w:ascii="arial" w:eastAsia="arial" w:hAnsi="arial" w:cs="arial"/>
          <w:color w:val="000000"/>
          <w:sz w:val="20"/>
          <w:lang w:val="en-US" w:eastAsia="en-US" w:bidi="ar-SA"/>
        </w:rPr>
        <w:t xml:space="preserve"> The Trustees may sell (whether by public or private sale or with or without notice, for cash or on credit, or partly for cash and partly on credit), assign, transfer, exchange, pledge, convey, lease, mortgage or otherwise dispose of or encumber and Trust Property or any part thereof at any time or from time to time as the Trustees in their discretion may deem advisable, and at such price or prices and on such terms as they may consider advisable, which terms may extend beyond the duration of the Trust hereby created.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b/>
          <w:color w:val="000000"/>
          <w:sz w:val="20"/>
          <w:u w:val="single"/>
          <w:lang w:val="en-US" w:eastAsia="en-US" w:bidi="ar-SA"/>
        </w:rPr>
        <w:t xml:space="preserve"> REAL PROPERTY</w:t>
      </w:r>
      <w:r>
        <w:rPr>
          <w:rFonts w:ascii="arial" w:eastAsia="arial" w:hAnsi="arial" w:cs="arial"/>
          <w:color w:val="000000"/>
          <w:sz w:val="20"/>
          <w:lang w:val="en-US" w:eastAsia="en-US" w:bidi="ar-SA"/>
        </w:rPr>
        <w:t xml:space="preserve"> The Trustees may manage real or leasehold property entrusted to them or from time to time held by them hereunder and make ordinary and extraordinary repairs and alterations and improvements as the Trustees in their discretion deem advisable ... make any payment for repairs, alterations and improvements to the Trust Property out of capital or out of income or partly out of capital and partly out of income, as the Trustees in their discretion deem proper ... and generally manage any real or leasehold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34" style="position:absolute;z-index:25183846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7"/>
          <w:headerReference w:type="default" r:id="rId78"/>
          <w:footerReference w:type="even" r:id="rId79"/>
          <w:footerReference w:type="default" r:id="rId80"/>
          <w:headerReference w:type="first" r:id="rId81"/>
          <w:footerReference w:type="first" r:id="rId8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3" w:history="1">
        <w:r>
          <w:rPr>
            <w:rFonts w:ascii="arial" w:eastAsia="arial" w:hAnsi="arial" w:cs="arial"/>
            <w:b/>
            <w:bCs/>
            <w:i/>
            <w:color w:val="0077CC"/>
            <w:kern w:val="32"/>
            <w:sz w:val="28"/>
            <w:szCs w:val="32"/>
            <w:u w:val="single"/>
            <w:shd w:val="clear" w:color="auto" w:fill="FFFFFF"/>
            <w:lang w:val="en-US" w:eastAsia="en-US" w:bidi="ar-SA"/>
          </w:rPr>
          <w:t>Pearson v. Boliden Ltd., [2001] B.C.J. No. 1525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Burnyeat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31 and February 1 - 3,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25,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C985348</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[2001] B.C.J. No. 1525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2001 BCSC 1054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94 B.C.L.R. (3d) 133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107 A.C.W.S. (3d) 738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Donald Pearson, Elizabeth Matus and Kenneth Elliott as representative plaintiffs, plaintiffs, and Boliden Limited, Trelleborg International BV, Trelleborg AB, Anders Bulow, Jan Peter Traaholt, Kjell Nilsson, Lars Olof Nilsson, Alex G. Balogh, Robert K. McDermott, Robert R. Stone, Frederick H. Telmer and Nesbitt Burns, Inc.,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(94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35" style="position:absolute;z-index:2516602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2" w:name="Keywords_1"/>
      <w:bookmarkEnd w:id="12"/>
      <w:r>
        <w:rPr>
          <w:rFonts w:ascii="arial" w:eastAsia="arial" w:hAnsi="arial" w:cs="arial"/>
          <w:b/>
          <w:color w:val="000000"/>
          <w:sz w:val="20"/>
          <w:lang w:val="en-US" w:eastAsia="en-US" w:bidi="ar-SA"/>
        </w:rPr>
        <w:t>Practice — Persons who can sue and be sued — Individuals and corporations, status or standing — Class action, certification, considerations — Members of class.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3" w:name="Case Summary_1"/>
            <w:bookmarkEnd w:id="1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under the Class Proceedings Act for certification of the action against all of the defendants, Boliden and entities involved in the issuance of Boliden shares. The plaintiff class claimed damages for breach of a statutory duty in the issuance of a prospectus in relation to the initial public offering of Boliden shares. The defendants agreed that the plaintiff had met the minimum requirements for certification. At issue was the definition of subclasses. Boliden was engaged in mining. A dam used in conjunction with the mine suffered structural damage. That damage led to the leaking of toxic materials into the environment. The plaintiff class claimed that the defendants were aware of the structural defects and should have included the information in the initial public offering document. The plaintiff class stated that there should be two sub-classes, residents and non-residents of British Columbia. The defendants stated that the substantive law depended on the province of residence of class members. They stated that there was no statutory cause of action in New Brunswick or Quebec and that Alberta claims were statute-barred. They also stated that there should be a non- resident subclass for each province in which a cause of action existed, as the limitation periods were different. The defendants stated that subclasses should be created for each province. Over half of the shares were sold to Ontario residents.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4" w:name="Holdings of Court_0"/>
            <w:bookmarkEnd w:id="14"/>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However, the non-resident subclass was divided. A separate class was created for Alberta residents, as there was a limitation issue. A separate subclass was created for New Brunswick residents, as there was a real issue as to the viability of their claim. It was inappropriate to determine the existence of Quebec claims on the basis of existing material. Parties could apply for the creation of a Quebec subclass. An Ontario subclass was created. Further non-resident subclasses were not necessary. A class was designated as the remaining non-resident subclass including purchasers from outside of Canada. It was not necessary to have representative plaintiffs for each subclass.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5" w:name="Legislation Cited_1"/>
      <w:bookmarkEnd w:id="1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36" style="position:absolute;z-index:2517114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Alberta Securities Act, s. 175.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British Columbia Supreme Court Rules, Rule 18A.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Class Proceedings Act, </w:t>
      </w:r>
      <w:hyperlink r:id="rId84" w:history="1">
        <w:r>
          <w:rPr>
            <w:rFonts w:ascii="arial" w:eastAsia="arial" w:hAnsi="arial" w:cs="arial"/>
            <w:i/>
            <w:color w:val="0077CC"/>
            <w:sz w:val="20"/>
            <w:u w:val="single"/>
            <w:shd w:val="clear" w:color="auto" w:fill="FFFFFF"/>
            <w:lang w:val="en-US" w:eastAsia="en-US" w:bidi="ar-SA"/>
          </w:rPr>
          <w:t>R.S.B.C. 1996, c. 50, ss. 3</w:t>
        </w:r>
      </w:hyperlink>
      <w:r>
        <w:rPr>
          <w:rFonts w:ascii="arial" w:eastAsia="arial" w:hAnsi="arial" w:cs="arial"/>
          <w:color w:val="000000"/>
          <w:sz w:val="20"/>
          <w:lang w:val="en-US" w:eastAsia="en-US" w:bidi="ar-SA"/>
        </w:rPr>
        <w:t>, 4(1), 6, 6(1), 6(2), 8(2), 19, 39.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Manitoba Limitation of Actions Act, s. 2(1)(b).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Newfoundland Securities Act, s. 138.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Nova Scotia Securities Act, s. 141(4).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Prince Edward Island Securities Act, s. 16.2.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Quebec Securities Act, ss. 218, 220, 235, 236.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Saskatchewan Securities Act, s. 147.</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6" w:name="Counsel_1"/>
      <w:bookmarkEnd w:id="16"/>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37" style="position:absolute;z-index:2517626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D.A. Klein, J. Pearce and B.M.R. Nayer, for the plaintiff. D.A. Webster, Q.C., E.M. Myers and D.A. Goult, for the defendants, Boliden Limited, Trelleborg International, Trelleborg AB, Jan Peter Traaholt, Kjell Nilsson, Lars Olof Nilson and Robert K. McDermott. R.J.R. Hordo, for the defendants, Alex G. Balogh, Robert R. Stone and Frederick H. Telmer. D.G.S. Rae, Q.C., and A. Borrell, for Nesbitt Burns Inc.</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7" w:name="Judgment_1"/>
      <w:bookmarkEnd w:id="17"/>
      <w:r>
        <w:pict>
          <v:line id="_x0000_s1038" style="position:absolute;z-index:251813888"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8" w:name="BURNYEAT J."/>
            <w:bookmarkEnd w:id="18"/>
            <w:r>
              <w:rPr>
                <w:rFonts w:ascii="arial" w:eastAsia="arial" w:hAnsi="arial" w:cs="arial"/>
                <w:b/>
                <w:color w:val="000000"/>
                <w:sz w:val="30"/>
                <w:lang w:val="en-US" w:eastAsia="en-US" w:bidi="ar-SA"/>
              </w:rPr>
              <w:t>BURNYEAT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application pursuant to the Class Proceedings Act, R.S.B.C., 1996, c. 50 (the "Act") for certification of the action as a class proceeding against all of the Defendants. The Plaintiff Class claims damages for the breach of a statutory duty relating to a prospectus dated June 10, 1997 ("Prospectus") issued in connection with the initial public offering ("IPO") of shares of Boliden Limited. ("Boliden")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Defendants agree that the Plaintiff Class has met the minimum threshold requirements for certification contained in ss. 4(1)(a) through (d) of the Act so this application dealt with the issues of how the subclasses would be defined. The common issues to be certified were as agreed by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Under s. 39 of the Act, if an action is not certified, limitation periods continue to run. In this case, there was some danger that the claims of some members of the Plaintiff Class would expire. Accordingly, I made an Order on February 24, 2000 certifying the action as a class proceeding, dividing the Plaintiff Class into Resident and Non-Resident Subclasses, appointing Kenneth Elliott as the representative plaintiff for all resident and non-resident subclasses and establishing the common issues for all Subclasses. The Order made is attached as Appendix "A". These Reasons set out the rationale for the Subclasses created and the common issues certified.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Boliden is incorporated under the Canada Business Corporations Act. The Common stock of Boliden is now traded on the Toronto Stock Exchange and the Montreal Exchange. Trelleborg International BV ("Trelleborg BV") is a company incorporated under the laws of the Netherlands with its principle corporate offices located in Trelleborg, Sweden. Prior to June 10, 1997, Trelleborg BV owned all of the acquired shares of Boliden.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Trelleborg AB is a company incorporated under the laws of Sweden having its principal corporate offices located at Trelleborg, Sweden. Trelleborg AB owns all of the shares of Trelleborg BV.</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Anders Bulow was the President and Chief Executive Officer of Boliden. Jan Peter Traaholt was the Senior Vice President and Chief Financial Officer of Boliden. Kjell Nilsson was the President and Chief Executive Officer of Trelleborg AB as well as a member of the Board of Directors of Boliden. Lars Olof Nilsson was Senior Vice President and Group Treasurer of Trelleborg AB and a member of the Board of Directors of Boliden. Alex G. Balogh was a member of the Board of Directors of Boliden. Robert K. McDermott was a Director and the Secretary of Boliden. Robert R. Stone was a member of the Board of Directors of Boliden. Frederick H. Telmer was the Chair of the Board of Directors of Boliden. Messrs. Bulow, Traaholt, Balough, McDermitt, Stone and Telmer are all residents of Canada. Messrs. Nilsson are residents of Sweden.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 Class is composed of all of those who acquired Boliden shares pursuant to the IPO other than those defendants, members of the defendants' immediate families and any entity in which a defendant has a controlling interest who also required Boliden shares during the IPO.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Nesbitt Burns Inc. ("Nesbitt Burns") is a Canadian Company and was the primary underwriter for the IPO.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Boliden is a company engaged in the mining, processing and sale of metals and mineral products. Boliden Ipirsa SL ("Boliden SL") is a company incorporated pursuant to the laws of Spain and is a wholly owned subsidiary of Boliden. In 1987, Boliden SL acquired a mine in the south western part of Spain. By 1996, the zinc and silver production from that mine was almost depleted. In 1988, Boliden SL discovered a further ore body approximately one kilometre to the east of the first mine. Boliden, Trelleborg BV, Trelleborg AB and Boliden SL placed this second mine into production in February, 1997 so it could replace the first mine.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order to operate the two mines, Boliden was required to maintain a tailings dam near the second mine (the "Tailings Dam"). The Tailings Dam was an earthen structure built to hold toxic bi-products created during the mining process. During 1996, the area around the two mines and the Tailings Dam experienced unusually heavy rain fall. The Plaintiff Class alleges that a number of the Defendants were advised by their engineering consultants and internal engineering staff that the heavy rainfall aggravated structural defects in the Tailings Dam. During 1996, the Tailings Dam suffered from what the Plaintiff Class refers to as "substantial structural infirmities". As a result, toxins leaked into the surrounding country 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 Class says that some of the Defendants realized or should have realized that closing the mine or properly accounting for its impaired value would severely impair the balance sheets of Boliden, Trelleborg AB and Trelleborg BV and that a "proper accounting" would also have "derailed" the plans to sell Boliden shares to the public pursuant to the IPO. Despite what was known by some of the Defendants, the IPO proceeded.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purchase price for the shares under the IPO were payable in two instalments. The first instalment of $8.00 per share was payable upon closing and the final instalment of $8.00 per share was payable on or before June 17, 1998. Before full payment of the final instalment was received, the beneficial ownership of the shares was subject to a pledge of the shares in favour of Trelleborg BV, the selling shareholder.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On the basis of the receipts received from the Ontario and Quebec Securities Commissions by 9:55 a.m. on June 11, 1997 and the receipts from the other provinces which were to be shortly received, Nesbitt Burns considered itself out of distribution. Nesbitt Burns then issued a telex to ll members of the Investment Dealers Association advising them to that effect and wrote to the Canadian Depository for Securities ("CDS") to request that the CDS accept the Boliden offering for distribution utilizing the electronic transfer of securities between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As lead underwriter, Nesbitt Burns obtained an instalment receipt in relation to 50,816,560 Common Shares of Boliden and the subsequent delivery of these instalment receipts to the other underwriters was effected through CDS which allocated the instalment receipts to the underwiters on the basis of the allocations determined by Nesbitt Burns. The underwriters then allocated the shares to their respective clients.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Because Nesbitt Burns had committed to distribute 60,917,216 instalment receipts but had only received 50,816,560, Nesbitt Burns took a short position in the instalment receipts which meant that they borrowed 10,118,656 instalment receipts. As part of the underwriting agreement, Nesbitt Burns had an "over-allotment option" which allowed them to purchase an additional 5,081,656 instalment receipts to cover over-allotments. As the short position was greater than the over-allotment option, Nesbitt Burns on behalf of the underwriters acquired additional instalment receipts in the market to make up the difference between 50,816,560 and 60,917,216. The short position was covered by a combination of market purchases of 6,016,900 instalment receipts and of the exercise of the over-allotment option for 4,083,756 instalment receipts.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trading records relating to instalment receipts show that approximately 67,000,000 instalment receipts were traded on the Toronto Stock Exchange and 9,400,000 instalment receipts were traded on the Montreal Exchange between June 11, 1997 and April 24,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Distribution Certificate in relation to the IPO instalment receipts sets out the residence of the purchasers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3241"/>
        <w:gridCol w:w="2301"/>
        <w:gridCol w:w="355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317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British Columbia</w:t>
            </w:r>
          </w:p>
        </w:tc>
        <w:tc>
          <w:tcPr>
            <w:tcW w:w="225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1,383,700</w:t>
            </w:r>
          </w:p>
        </w:tc>
        <w:tc>
          <w:tcPr>
            <w:tcW w:w="348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3"/>
        <w:gridCol w:w="2614"/>
        <w:gridCol w:w="2927"/>
        <w:gridCol w:w="355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w:t>
            </w:r>
          </w:p>
        </w:tc>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Ontario</w:t>
            </w:r>
          </w:p>
        </w:tc>
        <w:tc>
          <w:tcPr>
            <w:tcW w:w="2867"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30,501,734</w:t>
            </w:r>
          </w:p>
        </w:tc>
        <w:tc>
          <w:tcPr>
            <w:tcW w:w="3482"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w:t>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Quebec</w:t>
            </w:r>
          </w:p>
        </w:tc>
        <w:tc>
          <w:tcPr>
            <w:tcW w:w="286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5,720,900</w:t>
            </w:r>
          </w:p>
        </w:tc>
        <w:tc>
          <w:tcPr>
            <w:tcW w:w="348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3"/>
        <w:gridCol w:w="3346"/>
        <w:gridCol w:w="2195"/>
        <w:gridCol w:w="355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w:t>
            </w:r>
          </w:p>
        </w:tc>
        <w:tc>
          <w:tcPr>
            <w:tcW w:w="327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All other Provinces</w:t>
            </w:r>
          </w:p>
        </w:tc>
        <w:tc>
          <w:tcPr>
            <w:tcW w:w="215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1,341,700</w:t>
            </w:r>
          </w:p>
        </w:tc>
        <w:tc>
          <w:tcPr>
            <w:tcW w:w="3482"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w:t>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Europe/United States</w:t>
            </w:r>
          </w:p>
        </w:tc>
        <w:tc>
          <w:tcPr>
            <w:tcW w:w="215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21,969,182</w:t>
            </w:r>
          </w:p>
        </w:tc>
        <w:tc>
          <w:tcPr>
            <w:tcW w:w="348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2405"/>
        <w:gridCol w:w="3137"/>
        <w:gridCol w:w="355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35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w:t>
            </w:r>
          </w:p>
        </w:tc>
        <w:tc>
          <w:tcPr>
            <w:tcW w:w="307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60,917,216</w:t>
            </w:r>
          </w:p>
        </w:tc>
        <w:tc>
          <w:tcPr>
            <w:tcW w:w="348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On April 25, 1998, the Tailings Dam collapsed sending 7,000,000 cubic metres of toxic waste through a 15 metre breach in the reservoir wall and into the Spanish country side. As a result of the collapse of the Tailings Dam, approximately 10,000 hectares of land were contaminated by toxic waste.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As a result of the collapse, the Plaintiff Class states that Boliden has created a reserve of more than $50,000,000 for remediation expenses beyond the amounts already paid by insurance carriers. The Plaintiff Class estimates that Boliden may have to spend up to $250,000,000 for remediation efforts. As well, the Plaintiff Class states that, as a result of the collapse and the disruption of mining activities, Boliden has lost considerable production revenue.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shares purchased by members of the Plaintiff Class for $16.00 have lost considerable value and the Plaintiff Class states that members of the Plaintiff Class have suffered damages. At the close of trading on November 16, 1998, Boliden shares were trading at $5.35 on the Toronto Stock Exchange.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Prospectus to support the IPO was prepared pursuant to the following statutes: The Securities Acts of British Columbia, Alberta, Saskatchewan, Manitoba, Ontario, Nova Scotia, Prince Edward Island, Newfoundland and Quebec and the Securities Fraud Prevention Act of New Brunswick (collectively the "Securities Acts"). The Plaintiff Class says that the Prospectus contains statements indicating that (a) environmental protection and pollution prevention were priorities in all Boliden operations; (b) Boliden believed it would become the fifth largest zinc producer in the Western World once the new mine reached production of approximately 125,000 tons of zinc per annum in 1998; (c) the expected annual production from the new mine would be 4,000,000 tons of ore in 1998 increasing to approximately 4,200,000 tons of ore in 2000; (d) the average ore grades would be approximately 3.8% zinc, 2.2% lead, .3% copper and 60 grams per ton silver; (e) the Prospectus constituted full, true and plain disclosure of all material facts relating to the Boliden shares; and (f) the Prospectus did not contain any misrepresentation likely to affect the value or the market price of Boliden shares.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Plaintiff Class says that these statements were misrepresentations at the time the Plaintiff Class and others purchased Boliden shares as the Prospectus omitted many negative material facts which were known or should have been known to some or all of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Pursuant to the Securities Acts, the Prospectus was required to be accurate, contain no material or omissions or misrepresentations, and constitute full, true and plain disclosure of all material facts relating to Boliden shares. The Plaintiff Class says that the Prospectus did not meet these requirements in view of the misrepresentations alleged. The Plaintiff Class claims that they have suffered damages as a result of these misrepresentations.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Each of Boliden, Trelleborg AB, and Trelleborg BV were issuers of Boliden shares, a selling security holder on whose behalf the distribution was made, and/or a signatory to the Prospectus. Accordingly, the Plaintiff Class says that they have a right of action for damages against those defendants for breach of statutory duty. The Plaintiff Class says that the individual defendants as directors and/or officers of Boliden, Trelleborg AB and Trelleborg BV were personally aware of or had access to non-public information regarding Boliden, the new mine and the Tailings Dam, controlled the information contained in and omitted from the Prospectus and other corporate reports and filings used to sell Boliden shares to the public under the IPO and had the power to direct the course of action of Boliden, Trelleborg AB, and Trelleborg BV.</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As Nesbitt Burns was the primary underwriter of the IPO and was required to sign the certificate in the Prospectus pursuant to the Securities Acts, the Plaintiff Class says that they have a right of action for damages against Nesbitt Burns for the same breach of statutory duties owed by the other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DISCUSSION AND CASE AUTHORITIES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Under s. 4(1) of the Act, the court must certify a proceeding if the pleadings disclose a cause of action, there is an identifiable class, the claims of the class members raise common issues, a class proceeding would be the preferable procedure for the fair and efficient resolution of the common issues, and there is a representative plaintiff who would fairly and adequately represent the interest of the class. The parties agree and I am satisfied that this proceeding should be certified as each of those requirements are met.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order to establish a common law claim for damages arising out of misrepresentations contained in documents such as this Prospectus, plaintiffs would have to prove that they relied on the misrepresentations and that their reliance caused them damages. However, the Plaintiff Class commences this action relying on the breach of a statutory duty and a statutory deemed reliance. In British Columbia, that statutory duty and deemed reliance is created by the following sections of the Securities Act, RSBC, 1996, c.418:</w:t>
      </w:r>
      <w:r>
        <w:rPr>
          <w:rFonts w:ascii="arial" w:eastAsia="arial" w:hAnsi="arial" w:cs="arial"/>
          <w:sz w:val="20"/>
          <w:lang w:val="en-US" w:eastAsia="en-US" w:bidi="ar-SA"/>
        </w:rPr>
        <w:cr/>
      </w:r>
    </w:p>
    <w:p>
      <w:pPr>
        <w:numPr>
          <w:numId w:val="8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"material fact" means, where used in relation to securities issued or proposed to be issued, a fact that significantly affects, or could reasonably be expected to significantly affect, the market price or value of those securities;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"misrepresentation" means</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 untrue statement of a material fact, or</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 omission to state a material fact that is</w:t>
      </w:r>
    </w:p>
    <w:p>
      <w:pPr>
        <w:numPr>
          <w:numId w:val="3"/>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required to be stated, or</w:t>
      </w:r>
    </w:p>
    <w:p>
      <w:pPr>
        <w:numPr>
          <w:numId w:val="4"/>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necessary to prevent a statement that is made from being false or misleading in the circumstances in which it was made;</w:t>
      </w:r>
    </w:p>
    <w:p>
      <w:pPr>
        <w:numPr>
          <w:numId w:val="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prospectus must provide full, true and plain disclosure of all material facts relating to the securities issued or proposed to be distributed.</w:t>
      </w:r>
    </w:p>
    <w:p>
      <w:pPr>
        <w:numPr>
          <w:numId w:val="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a prospectus contains a misrepresentation, a person who purchases a security offered by the prospectus during the period of distribution</w:t>
      </w:r>
    </w:p>
    <w:p>
      <w:pPr>
        <w:numPr>
          <w:numId w:val="7"/>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is deemed to have relied on the misrepresentation if it was a misrepresentation at the time of purchase, and</w:t>
      </w:r>
    </w:p>
    <w:p>
      <w:pPr>
        <w:numPr>
          <w:numId w:val="7"/>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has a right of action for damages against</w:t>
      </w:r>
    </w:p>
    <w:p>
      <w:pPr>
        <w:numPr>
          <w:numId w:val="8"/>
        </w:numPr>
        <w:tabs>
          <w:tab w:val="clear" w:pos="1480"/>
          <w:tab w:val="num" w:pos="2920"/>
        </w:tabs>
        <w:spacing w:before="120" w:line="260" w:lineRule="atLeast"/>
        <w:ind w:left="29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issuer or a selling security holder on whose behalf the distribution is made,</w:t>
      </w:r>
    </w:p>
    <w:p>
      <w:pPr>
        <w:numPr>
          <w:numId w:val="9"/>
        </w:numPr>
        <w:tabs>
          <w:tab w:val="clear" w:pos="1840"/>
          <w:tab w:val="num" w:pos="2920"/>
        </w:tabs>
        <w:spacing w:before="120" w:line="260" w:lineRule="atLeast"/>
        <w:ind w:left="2920"/>
        <w:jc w:val="both"/>
        <w:rPr>
          <w:rFonts w:ascii="arial" w:eastAsia="arial" w:hAnsi="arial" w:cs="arial"/>
          <w:sz w:val="20"/>
          <w:lang w:val="en-US" w:eastAsia="en-US" w:bidi="ar-SA"/>
        </w:rPr>
      </w:pPr>
      <w:r>
        <w:rPr>
          <w:rFonts w:ascii="arial" w:eastAsia="arial" w:hAnsi="arial" w:cs="arial"/>
          <w:color w:val="000000"/>
          <w:sz w:val="20"/>
          <w:lang w:val="en-US" w:eastAsia="en-US" w:bidi="ar-SA"/>
        </w:rPr>
        <w:t>every underwriter of the securities who is required under section 69 to sign the certificate in the prospectus,</w:t>
      </w:r>
    </w:p>
    <w:p>
      <w:pPr>
        <w:numPr>
          <w:numId w:val="10"/>
        </w:numPr>
        <w:tabs>
          <w:tab w:val="clear" w:pos="1480"/>
          <w:tab w:val="num" w:pos="2920"/>
        </w:tabs>
        <w:spacing w:before="120" w:line="260" w:lineRule="atLeast"/>
        <w:ind w:left="2920"/>
        <w:jc w:val="both"/>
        <w:rPr>
          <w:rFonts w:ascii="arial" w:eastAsia="arial" w:hAnsi="arial" w:cs="arial"/>
          <w:sz w:val="20"/>
          <w:lang w:val="en-US" w:eastAsia="en-US" w:bidi="ar-SA"/>
        </w:rPr>
      </w:pPr>
      <w:r>
        <w:rPr>
          <w:rFonts w:ascii="arial" w:eastAsia="arial" w:hAnsi="arial" w:cs="arial"/>
          <w:color w:val="000000"/>
          <w:sz w:val="20"/>
          <w:lang w:val="en-US" w:eastAsia="en-US" w:bidi="ar-SA"/>
        </w:rPr>
        <w:t>every director of the issuer at the time the prospectus was filed,</w:t>
      </w:r>
    </w:p>
    <w:p>
      <w:pPr>
        <w:numPr>
          <w:numId w:val="11"/>
        </w:numPr>
        <w:tabs>
          <w:tab w:val="clear" w:pos="1840"/>
          <w:tab w:val="num" w:pos="2920"/>
        </w:tabs>
        <w:spacing w:before="120" w:line="260" w:lineRule="atLeast"/>
        <w:ind w:left="2920"/>
        <w:jc w:val="both"/>
        <w:rPr>
          <w:rFonts w:ascii="arial" w:eastAsia="arial" w:hAnsi="arial" w:cs="arial"/>
          <w:sz w:val="20"/>
          <w:lang w:val="en-US" w:eastAsia="en-US" w:bidi="ar-SA"/>
        </w:rPr>
      </w:pPr>
      <w:r>
        <w:rPr>
          <w:rFonts w:ascii="arial" w:eastAsia="arial" w:hAnsi="arial" w:cs="arial"/>
          <w:color w:val="000000"/>
          <w:sz w:val="20"/>
          <w:lang w:val="en-US" w:eastAsia="en-US" w:bidi="ar-SA"/>
        </w:rPr>
        <w:t>every person whose consent has been filed as prescribed, and</w:t>
      </w:r>
    </w:p>
    <w:p>
      <w:pPr>
        <w:numPr>
          <w:numId w:val="12"/>
        </w:numPr>
        <w:tabs>
          <w:tab w:val="clear" w:pos="1480"/>
          <w:tab w:val="num" w:pos="2920"/>
        </w:tabs>
        <w:spacing w:before="120" w:line="260" w:lineRule="atLeast"/>
        <w:ind w:left="2920"/>
        <w:jc w:val="both"/>
        <w:rPr>
          <w:rFonts w:ascii="arial" w:eastAsia="arial" w:hAnsi="arial" w:cs="arial"/>
          <w:sz w:val="20"/>
          <w:lang w:val="en-US" w:eastAsia="en-US" w:bidi="ar-SA"/>
        </w:rPr>
      </w:pPr>
      <w:r>
        <w:rPr>
          <w:rFonts w:ascii="arial" w:eastAsia="arial" w:hAnsi="arial" w:cs="arial"/>
          <w:color w:val="000000"/>
          <w:sz w:val="20"/>
          <w:lang w:val="en-US" w:eastAsia="en-US" w:bidi="ar-SA"/>
        </w:rPr>
        <w:t>every person who signed the prospectus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Plaintiff Class relies on similar although not identical provisions in the Securities Acts and submits that only two subclasses should be created: a Resident Class and a Non-Resident Class. The Plaintiff Class submits that the application of a provincial statute to a particular class member is dependant on a determination of the lex loci delecti and that this determination may be decided on the bases of the place of residence of class members at the time of the purchase, the province in which the shares were purchased, the province where the Order was placed, or the place of residence of class members on the date of certification. Alternatively, as most of the directors and the lead underwriter were based in Ontario, it may also be that the principle activities which gave rise to the statutory breaches occurred in Ontario. The Plaintiff Class submits that it is inappropriate at this stage to exclude any class member on the basis of residence or place of purchase and that such determinations can and should be made at the trial of the common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Defendants submit that the applicable provincial statute is from the province of the place of residence of class members at the time of the purchase. Because that is the lex loci delecti, the substantive laws of that province apply including any limitation periods which may be set out in the Securities Acts or in any other Acts of that province. The Defendants submit that there is no statutory cause of action of any nature provided under the securities legislation of New Brunswick, that the Quebec Securities Act contains no provision of "deemed reliance", and that all claims under the Alberta Securities Act are barred by the limitation period set out in that Act. Accordingly, the Defendants submit that residents of those three Provinces should be excluded from any non-resident subclass.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Defendants also submit that there should be a non-resident subclass for each Province in which a cause of action exists as the relevant limitation provisions are different, the securities legislation in the Securities Acts are different and the jurisdiction in each Province with respect to both the statutory cause of action and the relevant limitation period will have to be proved.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Section 6 of the Act states:</w:t>
      </w:r>
      <w:r>
        <w:rPr>
          <w:rFonts w:ascii="arial" w:eastAsia="arial" w:hAnsi="arial" w:cs="arial"/>
          <w:sz w:val="20"/>
          <w:lang w:val="en-US" w:eastAsia="en-US" w:bidi="ar-SA"/>
        </w:rPr>
        <w:cr/>
      </w:r>
    </w:p>
    <w:p>
      <w:pPr>
        <w:numPr>
          <w:numId w:val="1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a class includes a subclass whose members have claims that raise common issues not shared by all the class members so that, in the opinion of the court, the protection of the interests of the subclass members requires that they be separately represented, the court must not certify the proceeding as a class proceeding unless there is, in addition to the representative plaintiff for the class, a representative plaintiff who</w:t>
      </w:r>
    </w:p>
    <w:p>
      <w:pPr>
        <w:numPr>
          <w:numId w:val="1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would fairly and adequately represent the interests of the subclass....</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class that comprises persons resident in British Columbia and persons not resident in British Columbia must be divided into subclasses along those lines.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On the basis of s. 6(2), it is therefore necessary to establish a British Columbia subclass as well as a subclass or subclasses of persons not resident in British Columbia. As to the non-resident subclass category, the Plaintiff Class submits that the Act does not otherwise mandate the creation of subclasses except where the protection of the interests of the subclass requires that they be represented separately. The Plaintiff Class submits that there is no evidence here that there is a subclass whose members require the protection of separate 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The Plaintiff Class cites the decision of McKenzie J (as he then was) in Harrington v. Dow Corning </w:t>
      </w:r>
      <w:hyperlink r:id="rId85" w:history="1">
        <w:r>
          <w:rPr>
            <w:rFonts w:ascii="arial" w:eastAsia="arial" w:hAnsi="arial" w:cs="arial"/>
            <w:i/>
            <w:color w:val="0077CC"/>
            <w:sz w:val="20"/>
            <w:u w:val="single"/>
            <w:shd w:val="clear" w:color="auto" w:fill="FFFFFF"/>
            <w:lang w:val="en-US" w:eastAsia="en-US" w:bidi="ar-SA"/>
          </w:rPr>
          <w:t>(1997), 29 B.C.L.R. (3d) 88</w:t>
        </w:r>
      </w:hyperlink>
      <w:r>
        <w:rPr>
          <w:rFonts w:ascii="arial" w:eastAsia="arial" w:hAnsi="arial" w:cs="arial"/>
          <w:color w:val="000000"/>
          <w:sz w:val="20"/>
          <w:lang w:val="en-US" w:eastAsia="en-US" w:bidi="ar-SA"/>
        </w:rPr>
        <w:t xml:space="preserve"> (B.C.S.C.) where the court certified a single non-resident subclass notwithstanding that the court: "...would be required to apply the limitations and other substantive law of other jurisdictions in determining such claims." (at p. 91).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The Plaintiff Class also relies on the decision of Montgomery J in Bendall v. McGhan Medical Corp. </w:t>
      </w:r>
      <w:hyperlink r:id="rId86" w:history="1">
        <w:r>
          <w:rPr>
            <w:rFonts w:ascii="arial" w:eastAsia="arial" w:hAnsi="arial" w:cs="arial"/>
            <w:i/>
            <w:color w:val="0077CC"/>
            <w:sz w:val="20"/>
            <w:u w:val="single"/>
            <w:shd w:val="clear" w:color="auto" w:fill="FFFFFF"/>
            <w:lang w:val="en-US" w:eastAsia="en-US" w:bidi="ar-SA"/>
          </w:rPr>
          <w:t>(1993), 14 O.R. (3d) 734</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Certification is a fluid, flexible procedural process. It is conditional, always subject to decertification. (at p. 747)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maintains a supervisory role under the Act to ensure a fair and expeditous determination. Subclasses can be determined as the need arises. (at p. 747)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Plaintiff Class submits that, until the issues of substantive law and lex loci delecti are determined, it is not appropriate to create further non-resident subclasses. Rather, those subclasses should be created subsequent to certification if creation of subclasses is appropriate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 am satisfied that it would not be appropriate for all of the members of the Plaintiff Class who were not resident in British Columbia to be grouped into one non-resident subclass. It is important to note that s. 6(1) of the Act requires a further subclass where common issues are raised which are not shared by all and the protection of the interests of those subclass members requires that they be separately represented. Where the financial resources of defendants may be limited, it may well be to the advantage of some members of a subclass to see that claims of other members of a subclass fail so that more resources will be available either to settle the claims of the remaining subclass members or to be sold if execution proceedings are necessary after a judgment is obtained. Because that is the case and because of the issues raised by the Defendants, I am satisfied that the protection of the interests of certain subclass members requires that they be separately represented in a separate subclass.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issues raised by the Defendants relating to members of the Plaintiffs Class who reside in Alberta, and New Brunswick create common issues which would not be shared by class members who reside in other Provinces of Canada. While I do not accede to the submissions of the Defendants that subclasses be created for all Provinces, I am satisfied that the non-resident subclass should be further divided.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SHOULD THERE BE A SEPARATE ALBERTA SUBCLASS?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The test for whether these pleadings disclose a cause of action is described in Abdool v. Anaheim Management Ltd. </w:t>
      </w:r>
      <w:hyperlink r:id="rId87" w:history="1">
        <w:r>
          <w:rPr>
            <w:rFonts w:ascii="arial" w:eastAsia="arial" w:hAnsi="arial" w:cs="arial"/>
            <w:i/>
            <w:color w:val="0077CC"/>
            <w:sz w:val="20"/>
            <w:u w:val="single"/>
            <w:shd w:val="clear" w:color="auto" w:fill="FFFFFF"/>
            <w:lang w:val="en-US" w:eastAsia="en-US" w:bidi="ar-SA"/>
          </w:rPr>
          <w:t>(1995), 21 O.R. (3d) 453</w:t>
        </w:r>
      </w:hyperlink>
      <w:r>
        <w:rPr>
          <w:rFonts w:ascii="arial" w:eastAsia="arial" w:hAnsi="arial" w:cs="arial"/>
          <w:color w:val="000000"/>
          <w:sz w:val="20"/>
          <w:lang w:val="en-US" w:eastAsia="en-US" w:bidi="ar-SA"/>
        </w:rPr>
        <w:t xml:space="preserve"> (Ont. Gen. Div.):</w:t>
      </w:r>
      <w:r>
        <w:rPr>
          <w:rFonts w:ascii="arial" w:eastAsia="arial" w:hAnsi="arial" w:cs="arial"/>
          <w:sz w:val="20"/>
          <w:lang w:val="en-US" w:eastAsia="en-US" w:bidi="ar-SA"/>
        </w:rPr>
        <w:cr/>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 allegations of fact, unless patently ridiculous or incapable of proof, must be accepted as proved;</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in order to succeed, must show that it is plain and obvious beyond doubt that the plaintiffs could not succeed.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The "patently ridiculous or incapable of proof" test was adopted by Carthy JA on behalf of Court in Hollick v. Toronto (City), </w:t>
      </w:r>
      <w:hyperlink r:id="rId88" w:history="1">
        <w:r>
          <w:rPr>
            <w:rFonts w:ascii="arial" w:eastAsia="arial" w:hAnsi="arial" w:cs="arial"/>
            <w:i/>
            <w:color w:val="0077CC"/>
            <w:sz w:val="20"/>
            <w:u w:val="single"/>
            <w:shd w:val="clear" w:color="auto" w:fill="FFFFFF"/>
            <w:lang w:val="en-US" w:eastAsia="en-US" w:bidi="ar-SA"/>
          </w:rPr>
          <w:t>[1999] O.J. No. 4747</w:t>
        </w:r>
      </w:hyperlink>
      <w:r>
        <w:rPr>
          <w:rFonts w:ascii="arial" w:eastAsia="arial" w:hAnsi="arial" w:cs="arial"/>
          <w:color w:val="000000"/>
          <w:sz w:val="20"/>
          <w:lang w:val="en-US" w:eastAsia="en-US" w:bidi="ar-SA"/>
        </w:rPr>
        <w:t xml:space="preserve"> (Ont.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Section 175 of the Securities Act of Alberta establishes a limitation period which is the earlier of 180 days from the day the Plaintiff first had knowledge of a misrepresentation or one year from the date of the transaction that gave rise to the cause of action. Assuming that this period began to run a few days after the Dam collapsed, the Defendants submit that the limitation period would have expired on June 17,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It may well be that members of the Plaintiff Class who purchased common shares in Alberta, have lost their right to claim against the defendants. However, at this point I cannot come to the conclusion that the allegations of fact as it relates to those purchasers are "patently ridiculous or incapable of proof". In Endean v. Canadian Red Cross Society, </w:t>
      </w:r>
      <w:hyperlink r:id="rId89" w:history="1">
        <w:r>
          <w:rPr>
            <w:rFonts w:ascii="arial" w:eastAsia="arial" w:hAnsi="arial" w:cs="arial"/>
            <w:i/>
            <w:color w:val="0077CC"/>
            <w:sz w:val="20"/>
            <w:u w:val="single"/>
            <w:shd w:val="clear" w:color="auto" w:fill="FFFFFF"/>
            <w:lang w:val="en-US" w:eastAsia="en-US" w:bidi="ar-SA"/>
          </w:rPr>
          <w:t>[1997] B.C.J. No. 1209</w:t>
        </w:r>
      </w:hyperlink>
      <w:r>
        <w:rPr>
          <w:rFonts w:ascii="arial" w:eastAsia="arial" w:hAnsi="arial" w:cs="arial"/>
          <w:color w:val="000000"/>
          <w:sz w:val="20"/>
          <w:lang w:val="en-US" w:eastAsia="en-US" w:bidi="ar-SA"/>
        </w:rPr>
        <w:t xml:space="preserve"> (B.C.S.C.) K. Smith J noted: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well, the courts should not attempt to weigh the ultimate merits of the proposed common questions, but should merely ascertain whether they raise triable issues: Campbell v. Flexwatt Corp. </w:t>
      </w:r>
      <w:hyperlink r:id="rId90" w:history="1">
        <w:r>
          <w:rPr>
            <w:rFonts w:ascii="arial" w:eastAsia="arial" w:hAnsi="arial" w:cs="arial"/>
            <w:i/>
            <w:color w:val="0077CC"/>
            <w:sz w:val="20"/>
            <w:u w:val="single"/>
            <w:shd w:val="clear" w:color="auto" w:fill="FFFFFF"/>
            <w:lang w:val="en-US" w:eastAsia="en-US" w:bidi="ar-SA"/>
          </w:rPr>
          <w:t>(1996), 25 B.C.L.R. (3d) 329</w:t>
        </w:r>
      </w:hyperlink>
      <w:r>
        <w:rPr>
          <w:rFonts w:ascii="arial" w:eastAsia="arial" w:hAnsi="arial" w:cs="arial"/>
          <w:color w:val="000000"/>
          <w:sz w:val="20"/>
          <w:lang w:val="en-US" w:eastAsia="en-US" w:bidi="ar-SA"/>
        </w:rPr>
        <w:t xml:space="preserve"> at 343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In Campbell v. Flexwatt Corp., supra, Hutchison J dealt with arguments raised that one of the defendants could not be held responsible for pure economic loss and concluded: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satisfied that the arguments raised ... are no more than that, arguments, not so compelling that certification should be denied. At this stage what must be determined are triable issues. It would be folly for the court to get into a careful analysis of the case law and its applicability to the issues at this preliminary point in the case at bar. (at p. 343)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While Hutchison J did not say so, I am satisfied that the appropriate test would be in accordance with the decisions dealing with Rule 18 of the Rules of Court: is there a "bona fide triable issue": Estaban Mgmt. Corp. v. Eidelweiss Int. Hldg. Corp. </w:t>
      </w:r>
      <w:hyperlink r:id="rId91" w:history="1">
        <w:r>
          <w:rPr>
            <w:rFonts w:ascii="arial" w:eastAsia="arial" w:hAnsi="arial" w:cs="arial"/>
            <w:i/>
            <w:color w:val="0077CC"/>
            <w:sz w:val="20"/>
            <w:u w:val="single"/>
            <w:shd w:val="clear" w:color="auto" w:fill="FFFFFF"/>
            <w:lang w:val="en-US" w:eastAsia="en-US" w:bidi="ar-SA"/>
          </w:rPr>
          <w:t>(1990), 43 B.C.L.R. (2d) 335</w:t>
        </w:r>
      </w:hyperlink>
      <w:r>
        <w:rPr>
          <w:rFonts w:ascii="arial" w:eastAsia="arial" w:hAnsi="arial" w:cs="arial"/>
          <w:color w:val="000000"/>
          <w:sz w:val="20"/>
          <w:lang w:val="en-US" w:eastAsia="en-US" w:bidi="ar-SA"/>
        </w:rPr>
        <w:t xml:space="preserve"> (B.C.S.C.) at p. 339; Golden Gate Seafood (Vancouver) Company v. Osborn &amp; Lange Inc. </w:t>
      </w:r>
      <w:hyperlink r:id="rId92" w:history="1">
        <w:r>
          <w:rPr>
            <w:rFonts w:ascii="arial" w:eastAsia="arial" w:hAnsi="arial" w:cs="arial"/>
            <w:i/>
            <w:color w:val="0077CC"/>
            <w:sz w:val="20"/>
            <w:u w:val="single"/>
            <w:shd w:val="clear" w:color="auto" w:fill="FFFFFF"/>
            <w:lang w:val="en-US" w:eastAsia="en-US" w:bidi="ar-SA"/>
          </w:rPr>
          <w:t>(1986), 1 B.C.L.R. (2d) 145</w:t>
        </w:r>
      </w:hyperlink>
      <w:r>
        <w:rPr>
          <w:rFonts w:ascii="arial" w:eastAsia="arial" w:hAnsi="arial" w:cs="arial"/>
          <w:color w:val="000000"/>
          <w:sz w:val="20"/>
          <w:lang w:val="en-US" w:eastAsia="en-US" w:bidi="ar-SA"/>
        </w:rPr>
        <w:t xml:space="preserve"> (B.C.C.A.); and Memphis Rogues Ltd. v. Skalbania </w:t>
      </w:r>
      <w:hyperlink r:id="rId93" w:history="1">
        <w:r>
          <w:rPr>
            <w:rFonts w:ascii="arial" w:eastAsia="arial" w:hAnsi="arial" w:cs="arial"/>
            <w:i/>
            <w:color w:val="0077CC"/>
            <w:sz w:val="20"/>
            <w:u w:val="single"/>
            <w:shd w:val="clear" w:color="auto" w:fill="FFFFFF"/>
            <w:lang w:val="en-US" w:eastAsia="en-US" w:bidi="ar-SA"/>
          </w:rPr>
          <w:t>(1982) 38 B.C.L.R. 193</w:t>
        </w:r>
      </w:hyperlink>
      <w:r>
        <w:rPr>
          <w:rFonts w:ascii="arial" w:eastAsia="arial" w:hAnsi="arial" w:cs="arial"/>
          <w:color w:val="000000"/>
          <w:sz w:val="20"/>
          <w:lang w:val="en-US" w:eastAsia="en-US" w:bidi="ar-SA"/>
        </w:rPr>
        <w:t xml:space="preserve"> (B.C.C.A.) or the decisions dealing with Rule 12(24) of the Rules of Court dealing with whether no "reasonable claim" is disclosed, a pleading is "frivolous or vexatious", or if a pleading is "otherwise an abuse of the process of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At this stage, I am satisfied that there is a triable issue relating to the claims of residents of Alberta. While the Defendants have raised the issue of s. 175 of the Securities Act of Alberta, I am also mindful of the broader issue of where the purchase of Boliden Common Shares took place. While it may well be the case that Alberta purchasers will be deprived of a cause of action where the lex loci delecti rule establishes that the Alberta Securities Act applies, it is not clear that Alberta residents who purchased the Common Shares of Boliden from a seller in another provincial jurisdiction are disentitled to the statutory cause of action and deemed reliance which is set out in the Securities Act of that other jurisdiction. While it is clear that a non-resident class member who has no connection to British Columbia must have his or her claim determined by the law of a jurisdiction other than British Columbia, it is not clear that the jurisdiction will necessarily be the province where that class member resides that the jurisdiction will necessarily be the Province where that class member resides, where he or she placed the order or where the class member presently resides.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In a tort action, the law to be applied is that of the place where the tort occurred: the lex loci delecti: Tolofson v. Jensen </w:t>
      </w:r>
      <w:hyperlink r:id="rId94" w:history="1">
        <w:r>
          <w:rPr>
            <w:rFonts w:ascii="arial" w:eastAsia="arial" w:hAnsi="arial" w:cs="arial"/>
            <w:i/>
            <w:color w:val="0077CC"/>
            <w:sz w:val="20"/>
            <w:u w:val="single"/>
            <w:shd w:val="clear" w:color="auto" w:fill="FFFFFF"/>
            <w:lang w:val="en-US" w:eastAsia="en-US" w:bidi="ar-SA"/>
          </w:rPr>
          <w:t>(1994), 120 D.L.R. (4th) 289</w:t>
        </w:r>
      </w:hyperlink>
      <w:r>
        <w:rPr>
          <w:rFonts w:ascii="arial" w:eastAsia="arial" w:hAnsi="arial" w:cs="arial"/>
          <w:color w:val="000000"/>
          <w:sz w:val="20"/>
          <w:lang w:val="en-US" w:eastAsia="en-US" w:bidi="ar-SA"/>
        </w:rPr>
        <w:t xml:space="preserve"> (S.C.C.). However, it should be noted that La Forest J stated on behalf of the majority in that decision: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are situations, of course, notably where an act occurs in one place but the consequences are directly felt elsewhere, when the issue of where the tort takes place itself raises thorny issues. In such a case, it may well be that the consequences would be held to constitute the wrong. Difficulties may also arise where the wrong directly arises out of some transnational or inter-provincial activity. There, territorial considerations may become muted; they may conflict and other considerations may play a determining role. (at p. 305)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This is neither a tort action nor a breach of contract action. Rather, it is an action founded on the breach of a statutory provision which creates a deemed reliance on misrepresentations made in documents such as the Prospectus. It remains to be seen whether the "territorial considerations" noted by La Forest J "become muted" so that "other considerations may play a determining role".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As well, both the Act and the various Securities Acts that create statutory causes of action and deemed reliance are remedial legislation. I specifically adopt the statement of Montgomery J in Bendall, supra, in that regard: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the court should err on the side of protecting people who have a right to access to the courts. This [the Ontario Class Proceedings Act] is remedial legislation and it should be addressed with a purposive approach. This is not inconsistent with the duty to look carefully at the facts to see if they meet the requirements of s. 5. (at p. 744)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trite to say that remedial legislation must be given a broad and liberal interpretation. Certification is a fluid, flexible procedural process. It is conditional, always subject to decertification.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However, to deny certification at this juncture would, in my opinion, do a grave injustice to the nameless recipients of implants, who, according to the literature, have had implants removed, suffered complications or are otherwise genuinely worried about their long term health.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Certification is the only way a large number of women can access a legal system that would otherwise be denied to them. The court maintains a supervisory role under the Act to ensure a fair and expeditious determination. Subclasses can be determined as the need arises. (at p. 747)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Act provides great flexibility about how common issues can be decided. While members of the Plaintiff Class who purchased common shares in Alberta share a number of common issues with all other non-resident subclass members, the Defendants have raised an issue which is not common to all in the non-resident subclass.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Because the Act is flexible, the issue of whether the claims of members of the Plaintiff Class who purchased common shares in Alberta are now statute barred can be best tried pursuant to the provisions of Rule 18A of the Rules of Court. Such an application should be set before me as soon as possible. Therefore, I order that the non-resident subclass will be further divided into the "Alberta Subclass".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SHOULD THERE BE A SEPARATE NEW BRUNSWICK SUBCLASS?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Defendents submit that persons who are found to have purchased their shares in New Brunswick at the time of the IPO and who purchased their shares in New Brunswick have no cause of action and must be excluded from the non-resident class as the causes of action pleaded by the Plaintiff Class are not available to them as no New Brunswick legislation creates a statutory cause of action and deemed reliance. The Defendants submit that the Statement of Claim only seeks damages for misrepresentations allegedly made in the Prospectus filed pursuant to the applicable Securities Acts. The non-resident subclass must be restricted to those persons who have claims under the legislation upon which the Plaintiff Class have relied, including the New Brunswick legislation.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Defendants point to the section of the Prospectus Plan of Distribution and the section entitled "Statutory Rights of Withdrawal/Recission" (at p. 82 of the Prospectus) and submit that these provisions all contemplate that the transactions in relation to any particular purchaser will be carried out in accordance with the laws of the place where the purchaser is resident at the date of purchase. Therefore, those who were resident in New Brunswick at the time they acquired securities pursuant to the IPO did not do so pursuant to the Prospectus upon which the statutory causes of action are based.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At this stage, I am not satisfied that the Plan of Distribution under the Prospectus and the section entitled "Statutory Rights of Withdrawal/Rescission" are sufficient to establish that the residency at the time of purchase is the lex loci delecti as the Plaintiff Class argues. It may well be that the statutory breaches occurred in Ontario as that was the location of the principle activities which gave rise to the matters set out in the Statement of Claim. Similarly, it may well be that the statutory breaches occurred where the various underwriters actually allocated the Common Shares of Boliden to their customers. While I may have some doubts that the Plaintiff Class will be successful in advancing such arguments, I cannot presently exclude the potential claims of those who purchased their shares in New Brunswick. As the claim advanced on their behalf is not "patently ridiculous or incapable of proof" or "frivolous and vexatious", I am satisfied that the Plaintiff Class has raised at least a bona fide triable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Accordingly, I am satisfied it would be appropriate for a separate subclass to be created for those who purchased Common Shares in New Brunswick so that the Defendants can fully argue the question of the entitlement of that subclass in an application to be brought before me pursuant to Rule 18A of the Rules of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SHOULD THERE BE A SEPERATE QUEBEC SUBCLASS?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Defendants submit that the Quebec Securities Act does not contain a provision for "deemed reliance". Boliden further submits that, as actual reliance is not pleaded by the Plaintiff Class, the pleadings disclose no cause of action for any Quebec residents who purchased shares as reliance is an essential element of an action for misrepresentation: Linden, Canadian Tort Law, 6th edition, (Toronto: Butterworth's, 1997), at p. 445. In the alternative, even if actual reliance is later pleaded, it would be an issue which would require proof on an individual basis so that class proceedings would be inappropriate.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Defendants also submit that the limitation period applicable in Quebec raises individual issues so that class proceedings would be inappropriate. The Defendants submit that ss. 235 and 236 of the Quebec Securities Act create the issue of prescription depending on individual knowledge. Accordingly, the only common issue would be whether the defendants breached the Quebec Securties Act. Sections 235-236 of that Act state:</w:t>
      </w:r>
      <w:r>
        <w:rPr>
          <w:rFonts w:ascii="arial" w:eastAsia="arial" w:hAnsi="arial" w:cs="arial"/>
          <w:sz w:val="20"/>
          <w:lang w:val="en-US" w:eastAsia="en-US" w:bidi="ar-SA"/>
        </w:rPr>
        <w:cr/>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Any action for damages under this title is prescribed by the lapse of one year from knowledge of the facts giving rise to the action, except on proof that tardy knowledge is imputable to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plaintiff.</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However, the prescriptive periods under section 235 are subordinate to the following limitations:...</w:t>
      </w:r>
    </w:p>
    <w:p>
      <w:pPr>
        <w:numPr>
          <w:numId w:val="1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three years from the date of the filing of the information document with the Commission.....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Plaintiff Class submits that this submission is "inaccurate" as ss. 218 and 220 of the Securities Act of Quebec provide:</w:t>
      </w:r>
      <w:r>
        <w:rPr>
          <w:rFonts w:ascii="arial" w:eastAsia="arial" w:hAnsi="arial" w:cs="arial"/>
          <w:sz w:val="20"/>
          <w:lang w:val="en-US" w:eastAsia="en-US" w:bidi="ar-SA"/>
        </w:rPr>
        <w:cr/>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may claim damages from the issuer or the holder, as the case may be, whose securities were distributed, from its senior executives, or from the dealer under contract to the issuer or holder whose securities were distributed.</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in an action provided for in sections 218 and 219 is responsible for damages unless it is proved that</w:t>
      </w:r>
    </w:p>
    <w:p>
      <w:pPr>
        <w:numPr>
          <w:numId w:val="2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he acted with prudence and diligence, except in an action brought against the issuer or the holder whose securities were distributed, or that</w:t>
      </w:r>
    </w:p>
    <w:p>
      <w:pPr>
        <w:numPr>
          <w:numId w:val="2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knew, at the time of the transaction, of the alleged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Accordingly, the Plaintiff Class submits that these sections create a "rebuttable presumption of reliance" in favour of a person who purchased a security offered by a prospectus and that this presumption can only be rebutted by proof that the purchaser had actual, prior knowledge of the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 am satisfied that it would be inappropriate to determine the entitlement of persons who purchased their Common Shares in Quebec on the basis of the materials which are presently before me. While I am not satisfied that it is appropriate for a Quebec subclass to be created at this time, the parties are at liberty to apply to create such a subclass and to then apply pursuant to Rule 18A of the Rules of Court to determine the questions which have been raised by the Defendants. Any applications regarding the Alberta and New Brunswick subclass or the potential of a Quebec subclass should be set before me prior to any Notice being forwarded pursuant to s. 19 of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WHY A SEPARATE ONTARIO SUBCLASS?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More than half of the IPO instalment receipts were distributed to Ontario residents (30,532,734 out of 60,917,216). As well, if the lex loci delecti subsequently established to be Ontario for all purchasers, then this subclass will have already been established. As well, As well, if I am ultimately found to be incorrect in establishing more than one non-resident subclass, then the Ontario subclass can become the one subclass for all non-residents. I am satisfied that the protection of the interests of those who purchased their Common Shares in Ontario can be best protected if they are separately represented.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SHOULD EACH OF THE OTHER PROVINCES BE A SEPARATE SUBCLASS?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Counsel on behalf of Boliden provided a table which assumes that each individual in a province had knowledge of the failure of the Tailings Dam by April 30, 1998, being a few days after the failure occurred. The part of that table which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is reproduced here represents those provinces other than Alberta, New Brunswick and Quebec.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405"/>
        <w:gridCol w:w="2823"/>
        <w:gridCol w:w="2614"/>
        <w:gridCol w:w="19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35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Jurisdiction</w:t>
            </w:r>
          </w:p>
        </w:tc>
        <w:tc>
          <w:tcPr>
            <w:tcW w:w="276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Limitation Period</w:t>
            </w:r>
          </w:p>
        </w:tc>
        <w:tc>
          <w:tcPr>
            <w:tcW w:w="256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Date of Expiry</w:t>
            </w:r>
          </w:p>
        </w:tc>
        <w:tc>
          <w:tcPr>
            <w:tcW w:w="194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405"/>
        <w:gridCol w:w="3241"/>
        <w:gridCol w:w="313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35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Saskatchewan</w:t>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Earlier of one year</w:t>
            </w:r>
          </w:p>
        </w:tc>
        <w:tc>
          <w:tcPr>
            <w:tcW w:w="307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Apr. 30, 1999*</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35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Securities Act,</w:t>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after plaintiff</w:t>
            </w:r>
          </w:p>
        </w:tc>
        <w:tc>
          <w:tcPr>
            <w:tcW w:w="307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35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 147</w:t>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first had knowledge,</w:t>
            </w:r>
          </w:p>
        </w:tc>
        <w:tc>
          <w:tcPr>
            <w:tcW w:w="307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35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or 6 years after the</w:t>
            </w:r>
          </w:p>
        </w:tc>
        <w:tc>
          <w:tcPr>
            <w:tcW w:w="307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35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date of the trans-</w:t>
            </w:r>
          </w:p>
        </w:tc>
        <w:tc>
          <w:tcPr>
            <w:tcW w:w="307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35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action that gave</w:t>
            </w:r>
          </w:p>
        </w:tc>
        <w:tc>
          <w:tcPr>
            <w:tcW w:w="307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35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rise to the cause</w:t>
            </w:r>
          </w:p>
        </w:tc>
        <w:tc>
          <w:tcPr>
            <w:tcW w:w="307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35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17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of action.</w:t>
            </w:r>
          </w:p>
        </w:tc>
        <w:tc>
          <w:tcPr>
            <w:tcW w:w="307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405"/>
        <w:gridCol w:w="3241"/>
        <w:gridCol w:w="313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35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Newfoundland</w:t>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Earlier of 180 days</w:t>
            </w:r>
          </w:p>
        </w:tc>
        <w:tc>
          <w:tcPr>
            <w:tcW w:w="307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Oct. 30, 1998*</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35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Securities Act,</w:t>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after plaintiff first</w:t>
            </w:r>
          </w:p>
        </w:tc>
        <w:tc>
          <w:tcPr>
            <w:tcW w:w="307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35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 138</w:t>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had knowledge, or 3</w:t>
            </w:r>
          </w:p>
        </w:tc>
        <w:tc>
          <w:tcPr>
            <w:tcW w:w="307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35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years after date of</w:t>
            </w:r>
          </w:p>
        </w:tc>
        <w:tc>
          <w:tcPr>
            <w:tcW w:w="307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35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17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transaction.</w:t>
            </w:r>
          </w:p>
        </w:tc>
        <w:tc>
          <w:tcPr>
            <w:tcW w:w="307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405"/>
        <w:gridCol w:w="3241"/>
        <w:gridCol w:w="313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35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Nova Scotia</w:t>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Three years after date</w:t>
            </w:r>
          </w:p>
        </w:tc>
        <w:tc>
          <w:tcPr>
            <w:tcW w:w="307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Jun. 17, 2000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35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Securities Act,</w:t>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of transaction.</w:t>
            </w:r>
          </w:p>
        </w:tc>
        <w:tc>
          <w:tcPr>
            <w:tcW w:w="307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35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 141(4)</w:t>
            </w:r>
          </w:p>
        </w:tc>
        <w:tc>
          <w:tcPr>
            <w:tcW w:w="317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405"/>
        <w:gridCol w:w="3241"/>
        <w:gridCol w:w="313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35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Prince Edward</w:t>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Earlier of 1 year</w:t>
            </w:r>
          </w:p>
        </w:tc>
        <w:tc>
          <w:tcPr>
            <w:tcW w:w="307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Apr. 30, 1999</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35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Island</w:t>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after plaintiff first</w:t>
            </w:r>
          </w:p>
        </w:tc>
        <w:tc>
          <w:tcPr>
            <w:tcW w:w="307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35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Securities Act,</w:t>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had knowledge, or</w:t>
            </w:r>
          </w:p>
        </w:tc>
        <w:tc>
          <w:tcPr>
            <w:tcW w:w="307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35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 16.2</w:t>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three years after the</w:t>
            </w:r>
          </w:p>
        </w:tc>
        <w:tc>
          <w:tcPr>
            <w:tcW w:w="307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35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date of the</w:t>
            </w:r>
          </w:p>
        </w:tc>
        <w:tc>
          <w:tcPr>
            <w:tcW w:w="307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35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17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transaction.</w:t>
            </w:r>
          </w:p>
        </w:tc>
        <w:tc>
          <w:tcPr>
            <w:tcW w:w="307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405"/>
        <w:gridCol w:w="3241"/>
        <w:gridCol w:w="313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35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Manitoba</w:t>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 years after the</w:t>
            </w:r>
          </w:p>
        </w:tc>
        <w:tc>
          <w:tcPr>
            <w:tcW w:w="307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Jun. 1999**</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35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Limitation of</w:t>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cause of action arose.</w:t>
            </w:r>
          </w:p>
        </w:tc>
        <w:tc>
          <w:tcPr>
            <w:tcW w:w="307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or</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35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Actions Act,</w:t>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Apr. 25,</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35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 2(1)(b)</w:t>
            </w:r>
          </w:p>
        </w:tc>
        <w:tc>
          <w:tcPr>
            <w:tcW w:w="317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2000***</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numPr>
          <w:numId w:val="24"/>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these periods begin running from the assumed date of knowledge, being April 30, 1998, a few days after the dam failure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 years from the filing of the prospectus or from the distribution of the instalment receipts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 years from the date of the dam failure.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Boliden submits that the issue of knowledge is specifically raised in all of the provisions except Nova Scotia and Manitoba. As to Nova Scotia, the limitation period is calculated from the date of the transaction which Boliden submits would be June 17, 1997. For Manitoba, the limitation period begins to run when "the cause of action arose" and Boliden submits that the decision in Weselak v. Beausejour District Hospital No. 29, </w:t>
      </w:r>
      <w:hyperlink r:id="rId95" w:history="1">
        <w:r>
          <w:rPr>
            <w:rFonts w:ascii="arial" w:eastAsia="arial" w:hAnsi="arial" w:cs="arial"/>
            <w:i/>
            <w:color w:val="0077CC"/>
            <w:sz w:val="20"/>
            <w:u w:val="single"/>
            <w:shd w:val="clear" w:color="auto" w:fill="FFFFFF"/>
            <w:lang w:val="en-US" w:eastAsia="en-US" w:bidi="ar-SA"/>
          </w:rPr>
          <w:t>[1987] 1 W.W.R. 47</w:t>
        </w:r>
      </w:hyperlink>
      <w:r>
        <w:rPr>
          <w:rFonts w:ascii="arial" w:eastAsia="arial" w:hAnsi="arial" w:cs="arial"/>
          <w:color w:val="000000"/>
          <w:sz w:val="20"/>
          <w:lang w:val="en-US" w:eastAsia="en-US" w:bidi="ar-SA"/>
        </w:rPr>
        <w:t xml:space="preserve"> (Man. Q.B.) at pp. 49-51 stands for the proposition that a cause of action arises when all of the elements of the action are present, irrespective of whether the plaintiff has or ought to have discovered the facts upon which the case is based.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Boliden also submits that the security legislation in various provinces is not identical. For instance, it submits that Manitoba has no provision that allows for an action for damages against a company as issuer although there is a provision that allows for an action against the directors as well those who signed the certificate in the Prospectus. Accordingly, this may allow an action against Trelleborg BV and Trelleborg AB but not against Boliden. As well, the Manitoba legislation does not use the term "misrepresentation" but rather provides for an action for damages based on a "material false statement" although that term is not defined under the Manitoba Securities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At this point in the proceedings, I am not satisfied that the interests of the class members in other provinces are such that it is necessary to protect those interests by establishing further non-resident subclasses. I am satisfied that all other non-resident members of the Plaintiff Class can have their interest protected under a subclass that I will designate as: "Remaining Non-Resident Subclass".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While it would be necessary in due course to apply the limitation provisions and other substantive law of other jurisdictions in determining the claims of the members of that subclass once the lex loci delecti is determined, I am satisfied that it is not appropriate to determine those issues on the basis of the materials before me. It would be inappropriate to create further subclasses without making a determination that the common issues are such and that the interests are such that separate representation is required. This subclass can be redefined in due course if it is shown that the laws in other provinces are so different as to require further subclasses. It is also possible to decide a number of common issues before issues which are not common are determined for further non-resident subclasses. That can be done in due course. Such an application can be made with regard to those members of the Plaintiff Class who purchased their shares in Manitoba.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A representative plaintiff must not necessarily have a cause of action against each defendant in order to certify a proceeding as a class proceeding: Campbell v. Flexwatt, supra. Accordingly, it is also the case that members of a subclass need not necessarily have a cause of action against each of these Defendants which may well be the case in Manitoba. Accordingly, Boliden or any of the other Defendants are at liberty in due course to apply for an Order that a Manitoba subclass be created and for a dismissal of any claim by that Subclass against Boliden. However, at this stage, I am satisfied that it would inappropriate to decide such issues on the basis of the materials which are presently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CLAIMS OF THOSE RESIDING OUTSIDE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21,969,182 instalment receipts (approximately 33 per cent) were sold to purchasers resident in the United States and Europe pursuant to documents prepared in accordance with the laws of those jurisdictions. The Defendants submit that the statutory causes of action under the Securities Acts are not afforded in relation to any misrepresentation other than one contained in a "Prospectus" and only to those persons who purchased one or more of the securities "offered by" the Prospectus or "offered thereby". Specifically, the word "prospectus" in the Securities Acts cannot be taken to extend the cause of action in relation to the "Private Placement Memorandum" used in the United States nor the "International Prospectus" used elsewhere. Therefore, the Defendants submit that purchasers where the lex loci delecti is established to be outside of Canada cannot avail themselves of the cause of action pleaded and must be excluded from the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This may or may not be a case where "...territorial considerations may become muted" "they may conflict and other considerations may play a determining role" (per La Forest J in Tolofson, supra, at p. 305). While it may be very difficult for the Plaintiff Class to establish the intention of Provincial Legislators to give protection to those where the lex loci delecti is shown to be outside Canada or even outside their own Province, I am presently not satisfied that this claim is so patently ridiculous that purchasers who purchased outside of Canada should be excluded from the "Remaining Non-Resident Subclass" at this time. I am also mindful of the potential claims of purchasers who reside within Canada but who may have purchased their shares within one of Canada's Territories.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Accordingly, all non-resident members of the Plaintiff Class other than those who are in the Alberta Subclass, the New Brunswick Subclass, and the Ontario Subclass, will be added to a Remaining Non-Resident Subclass.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MUST THERE BE SEPARATE REPRESENTATIVE FOR EACH SUBCLASS?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The question which arises is whether one representative Plaintiff can act as the representative Plaintiff for a number of subclasses. The Plaintiff Class submits that there is no requirement that separate representative plaintiff be appointed for each subclass unless, pursuant to s. 6(1) of the Act, it is the opinion of the court that the protection of the interests of the subclass members require that they be separately represented. The Plaintiff Class submits that there is no requirement that representative Plaintiffs for each subclass be appointed as there is no evidence that Kenneth Elliott has interests which are in conflict with other members of the subclasses. In this regard, the Plaintiff Class relies on the decision in Anderson v. Wilson </w:t>
      </w:r>
      <w:hyperlink r:id="rId96" w:history="1">
        <w:r>
          <w:rPr>
            <w:rFonts w:ascii="arial" w:eastAsia="arial" w:hAnsi="arial" w:cs="arial"/>
            <w:i/>
            <w:color w:val="0077CC"/>
            <w:sz w:val="20"/>
            <w:u w:val="single"/>
            <w:shd w:val="clear" w:color="auto" w:fill="FFFFFF"/>
            <w:lang w:val="en-US" w:eastAsia="en-US" w:bidi="ar-SA"/>
          </w:rPr>
          <w:t>(1998), 37 O.R. (3d) 235</w:t>
        </w:r>
      </w:hyperlink>
      <w:r>
        <w:rPr>
          <w:rFonts w:ascii="arial" w:eastAsia="arial" w:hAnsi="arial" w:cs="arial"/>
          <w:color w:val="000000"/>
          <w:sz w:val="20"/>
          <w:lang w:val="en-US" w:eastAsia="en-US" w:bidi="ar-SA"/>
        </w:rPr>
        <w:t xml:space="preserve"> (Ont. Gen. Div.) where Campbell J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not necessary for the representative plaintiffs to share every characteristic of every member of the class or even to be typical of the class. Although the representative plaintiffs are infected claimants, there is at this stage no apparent conflict of interest between them and other members of the class and no error in the finding that they properly represent the proposed class. (at p. 251)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Defendants submit that, in accordance with s. 6(1) of the Act, the protection of the interests of individuals who purchased Common Shares in Boliden in jurisdictions other than British Columbia or Ontario requires that certification only occur when there is a representative plaintiff, a representative plaintiff in place who meets the requirements set out in S. 6(1) for each subclass other than the British Columbia and Ontario subclasses. Accordingly, the Defendants propose that there be no certification for subclasses other than British Columbia and Ontario until a representative plaintiff for each of those subclasses is identified.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In the appeal in Campbell v. Flexwatt, supra, the question of whether the plaintiffs were representative of the Plaintiff Class was dealt with by Cumming JA who gave judgment on behalf of the court, </w:t>
      </w:r>
      <w:hyperlink r:id="rId97" w:history="1">
        <w:r>
          <w:rPr>
            <w:rFonts w:ascii="arial" w:eastAsia="arial" w:hAnsi="arial" w:cs="arial"/>
            <w:i/>
            <w:color w:val="0077CC"/>
            <w:sz w:val="20"/>
            <w:u w:val="single"/>
            <w:shd w:val="clear" w:color="auto" w:fill="FFFFFF"/>
            <w:lang w:val="en-US" w:eastAsia="en-US" w:bidi="ar-SA"/>
          </w:rPr>
          <w:t>(1997) 15 C.P.C. (4th) 1</w:t>
        </w:r>
      </w:hyperlink>
      <w:r>
        <w:rPr>
          <w:rFonts w:ascii="arial" w:eastAsia="arial" w:hAnsi="arial" w:cs="arial"/>
          <w:color w:val="000000"/>
          <w:sz w:val="20"/>
          <w:lang w:val="en-US" w:eastAsia="en-US" w:bidi="ar-SA"/>
        </w:rPr>
        <w:t>. Cumming JA adopted the view of K. Smith J in Endean, supra, about what were the two most important considerations in determining whether a representative plaintiff was appropriate: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has been established that there is a common interest and I can see no reason why the representative plaintiffs would not vigorously prosecute the claim. Any individual plaintiffs who feel that the representative plaintiffs would not represent them well may opt out of the class proceeding and pursue individual actions. (at p. 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It is important to note that s. 6 (1) of the Act only deals with the inability of the Court to certify the entire proceedings as a class proceeding rather than the inability of the Court to certify part of a proceeding but not another part where the other part does not have a representative Plaintiff as yet. To acceed to the submissions of the Defendants would mean that there can be no certification at this stage.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 am satisfied that this was not what was intended by either s. 6 (1) or s. 8 (2) of the Act. Rather, I am satisfied that the intent of those two subsections is to prohibit any part of the proceeding as a class proceeding unless each of the subclasses has a representative plaintiff who can "fairly and adequately represent the interests of the subclass" and who does not have "on the common issues for the subclass, an interest that is in conflict with the interest of other subclass members." I am satisfied that it is not necessary for a separate representative plaintiff to be in place before each of the subclasses is established. The "representative plaintiff" who can "fairly and adequately represent the interest of the subclass" at this stage can be a person who is the same person as the "representative plaintiff for the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While s. 6(1) of the Act uses the words "in addition to" when referring to a representative plaintiff who would fairly and adequately represent the interests of the subclass, the section does not use the phrase "a different representative plaintiff". Accordingly, the representative plaintiff who will represent the interests of the subclass must merely be a representative plaintiff who can "fairly and adequately" undertake that 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I am mindful that it is not necessary that a representative of a subclass have "typical involvement" with the cause of action: Abdool, supra </w:t>
      </w:r>
      <w:hyperlink r:id="rId87" w:history="1">
        <w:r>
          <w:rPr>
            <w:rFonts w:ascii="arial" w:eastAsia="arial" w:hAnsi="arial" w:cs="arial"/>
            <w:i/>
            <w:color w:val="0077CC"/>
            <w:sz w:val="20"/>
            <w:u w:val="single"/>
            <w:shd w:val="clear" w:color="auto" w:fill="FFFFFF"/>
            <w:lang w:val="en-US" w:eastAsia="en-US" w:bidi="ar-SA"/>
          </w:rPr>
          <w:t>(1995), 21 O.R. (3rd) 453</w:t>
        </w:r>
      </w:hyperlink>
      <w:r>
        <w:rPr>
          <w:rFonts w:ascii="arial" w:eastAsia="arial" w:hAnsi="arial" w:cs="arial"/>
          <w:color w:val="000000"/>
          <w:sz w:val="20"/>
          <w:lang w:val="en-US" w:eastAsia="en-US" w:bidi="ar-SA"/>
        </w:rPr>
        <w:t xml:space="preserve"> (Ont. Gen. Div.). As O'Brien J stated in that decision: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view the "representative plaintiff"...need not have typical experience with other plaintiffs. I think it sufficient that he has no conflict of interest and is shown to be an individual who will fairly and adequately advance the class claims. (at p. 465).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I follow the practice adopted by Brenner J (as he then was) in Sawatzky v. Societe Chirurgicale Instrumentarium Inc., </w:t>
      </w:r>
      <w:hyperlink r:id="rId98" w:history="1">
        <w:r>
          <w:rPr>
            <w:rFonts w:ascii="arial" w:eastAsia="arial" w:hAnsi="arial" w:cs="arial"/>
            <w:i/>
            <w:color w:val="0077CC"/>
            <w:sz w:val="20"/>
            <w:u w:val="single"/>
            <w:shd w:val="clear" w:color="auto" w:fill="FFFFFF"/>
            <w:lang w:val="en-US" w:eastAsia="en-US" w:bidi="ar-SA"/>
          </w:rPr>
          <w:t>[1999] B.C.J. No. 1814</w:t>
        </w:r>
      </w:hyperlink>
      <w:r>
        <w:rPr>
          <w:rFonts w:ascii="arial" w:eastAsia="arial" w:hAnsi="arial" w:cs="arial"/>
          <w:color w:val="000000"/>
          <w:sz w:val="20"/>
          <w:lang w:val="en-US" w:eastAsia="en-US" w:bidi="ar-SA"/>
        </w:rPr>
        <w:t>, where a single representative plaintiff was appointed for three distinct subclasses.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As I have invited counsel to bring on applications pursuant to Rule 18A for a summary determination of the entitlement of those who purchased shares in Alberta, New Brunswick, Quebec and outside Canada to remain members of non-resident subclasses, I am satisfied that it is appropriate for Mr. Elliott to instruct counsel to defend any applications to have those subclasses eliminated. I will rely on counsel for Mr. Elliott to make any recommendations if satisfied that a potential conflict of interest between members of various subclasses has become an actual conflict of interest such that it is no longer appropriate for Kenneth Elliott to remain the representative Plaintiff for all subclasses. I am presently satisfied that Kenneth Elliott does not have such a sufficient conflict of interest that it will be necessary for representative plaintiffs to be in place prior to the certification of the various subclasses and, accordingly, Kenneth Elliott is appointed the representative plaintiff for all subclasses.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WHAT IS THE "PERIOD OF DISTRIBUTION"?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Defendants submit that the period most frequently specified in the Securities Acts refers to the "period of distribution" or the "period of distribution to the public". The Defendants submit that this period ended on June 17, 1997. Accordingly, no person should be a member of a class or subclass if they purchased their shares in the secondary market after June 17,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Plaintiff Class submits that Nesbitt Burns does not indicate when it completed the acquisition of the additional 10,118,656 installment receipts so that all commitments under the IPO could be met. As well, there is no evidence before the Court when all of the shares were distributed under the IPO. The Plaintiff Class therefore submits that the date of closing of the offering is not clear so that the period of distribution is a matter of fact which must be determined and that this is a question of fact that should be deferred until the trial of the common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Defendants submit that the description "during the period of distribution or distribution to the public" will be of no assistance to potential members of a subclass who are notified of these proceedings as this phrase involves "the use of legal terminology without any clear idea of what that terminology means". They also submit that a precise end date to the period of distribution should be set out in the definition of all subclasses to provide potential subclass members with a clear idea of whether or not they fit within that definition. They submit that all the facts which are required to identify that date as being June 17, 1997 are before the Court. The closing of the offering, which is when the shares were transferred from Trelleborg BV to Nesbitt, Burns when Nesbitt Burns distributed the instalment receipts, and when the first instalment was payable, was on June 17,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 agree with the submission of the Defendants that the use of phrases such as "during the period of distribution" or "during the period of distribution to the public" would be of little or no assistance to potential members of the subclass who were notified of these proceedings. Accordingly, while the subclasses will initially be restricted to those who purchased Common Shares during "the period of distribution or distribution to the public", before a Notice is sent to members of all subclasses, a date is to be added to the requirements set out for each subclass.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 am satisfied that the question of what constitutes the period of distribution or distribution to the public is a matter of fact but that this is a fact which can be dealt with pursuant to Rule 18A of the Rules of Court and is a matter which must be determined prior to a notice being forwarded to potential members of subclasses. Subject to the two exceptions noted below, I specifically reject the submission of the Plaintiff Class that purchasers in the "secondary market" should be included within the subclasses which I have established. Accordingly, the requirements of each of the subclasses are to be amended so that it is clear that only those who purchased Common Shares prior to a certain date are included within the subclasses.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Plaintiff Class submits that s. 131 of the British Columbia Securities Act and similar provisions in the Securities Acts do not require the person who purchases the security to do so from an underwriter. Those provisions merely state that a person must purchase security offered by a prospectus "during the period of distribution". The Plaintiff Class submits that persons who purchased shares in the secondary market are able to seek the protection of s. 131 of the British Columbia Securities Act. Alternatively, the Plaintiff Class submits that the right of secondary market purchasers to the statutory remedies is a common issue of law which should be determined at the trial of the common issues and that such a complex question of statutory interpretation should not be considered on the application for certification.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 Defendants submit that secondary market purchasers are excluded for two reasons. First, the statutory remedies are not available to secondary market purchasers. Second, even if the statutory remedies were available to secondary market purchasers, none of those purchases were made during the "period of distribution".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A purchase of securities on the secondary market does not fall within the definition of "distribution" as that term is defined in s. 1 of the Securities Act. While s. 131 of the Securities Act creates a cause of action for damages in relation to a security offered by the prospectus during the period of distribution and against the issuer or selling security holder on whose behalf the distribution is made, the Securities Act only provides for continuing disclosure in relation to public traded securities but no statutory cause of action for the breach of the failure to provide continuing disclosure obligations. As well, even assuming secondary market purchasers could claim under s. 131 or under similar provisions under the Securities Acts, those persons could only do so if they purchased during the period of distribution.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From the definition of "distribution", it is clear that the purchases that Nesbitt Burns made in order to have available a further 10,118,656 instalment receipts would be part of the shares that were eventually purchased during the period of distribution as I am satisfied that these would be purchases "incidental to a distribution" (as set out in sub(f) of the definition). The instalment receipts which were purchased by Nesbitt Burns and then allocated to the other underwriters so that they would be available to be distributed under the IPO are shares purchased during the period of distribution. However, there were other shares purchased during the period of distribution.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Trading in instalment receipts started as early as June 11, 1997. Accordingly, there may well have been purchasers other than Nesbitt Burns who were able to purchase instalment receipts prior to the period of distribution concluding. I have suggested a process whereby the last date of the period of distribution can be established. It will also be necessary to determine whether purchasers other than Nesbitt Burns who purchased instalment receipts between June 11, 1997 and the end of the period of distribution were purchasing pursuant to the distribution made under the IPO.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 am satisfied that the Plaintiff Class has established a bona fide triable issue in this regard. Accordingly, there will be a determination pursuant to Rule 18A of the Rules of Court about whether such purchasers are to be included within a subclass because they purchased instalment receipts during the period of distribution even though they did not purchase them as a result of the distribution made pursuant to the IPO. However, those who purchased on the secondary market after the period of distribution ended will not be part of any subclass. Until an actual date is established and until the issue of whether a limited number of purchasers in the secondary market are to be included, the requirements of all subclasses will merely be that they purchased during a "period of distribution" or a "period of distribution to the public". The issue of other purchasers in the secondary market is also a common issue which can be tried prior to the Notice being forwarded to all members of the Plaintiff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SHOULD PERSONS WHO SOLD BEFORE APRIL 25, 1998 BE EXCLUDED FROM ALL SUBCLASSES?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The Defendants submit that all persons who sold their shares prior to the failure of the Tailings Dam should be excluded from the class and they rely on the decision in Carom v. Bre-X Minerals Ltd. </w:t>
      </w:r>
      <w:hyperlink r:id="rId99" w:history="1">
        <w:r>
          <w:rPr>
            <w:rFonts w:ascii="arial" w:eastAsia="arial" w:hAnsi="arial" w:cs="arial"/>
            <w:i/>
            <w:color w:val="0077CC"/>
            <w:sz w:val="20"/>
            <w:u w:val="single"/>
            <w:shd w:val="clear" w:color="auto" w:fill="FFFFFF"/>
            <w:lang w:val="en-US" w:eastAsia="en-US" w:bidi="ar-SA"/>
          </w:rPr>
          <w:t>(1999) 44 O.R. (3d) 173</w:t>
        </w:r>
      </w:hyperlink>
      <w:r>
        <w:rPr>
          <w:rFonts w:ascii="arial" w:eastAsia="arial" w:hAnsi="arial" w:cs="arial"/>
          <w:color w:val="000000"/>
          <w:sz w:val="20"/>
          <w:lang w:val="en-US" w:eastAsia="en-US" w:bidi="ar-SA"/>
        </w:rPr>
        <w:t xml:space="preserve"> (Ont. Gen. Div.). In that case, Winkler J refused to include persons who had disposed of their shares prior to the disclosure of the alleged fraud because the losses they may have suffered did not arise from the fraud itself.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The Defendants submit that the alleged misrepresentations did not become known in the market place until the Tailings Dam failed on April 25, 1998 so that anyone who sold their shares before the failure could not have suffered a loss as a result of the misrepresentations which are alleged. The Defendants rely on the decision in 3218520 Canada Ltd. v. Bre-X Minerals Ltd. et al., </w:t>
      </w:r>
      <w:hyperlink r:id="rId100" w:history="1">
        <w:r>
          <w:rPr>
            <w:rFonts w:ascii="arial" w:eastAsia="arial" w:hAnsi="arial" w:cs="arial"/>
            <w:i/>
            <w:color w:val="0077CC"/>
            <w:sz w:val="20"/>
            <w:u w:val="single"/>
            <w:shd w:val="clear" w:color="auto" w:fill="FFFFFF"/>
            <w:lang w:val="en-US" w:eastAsia="en-US" w:bidi="ar-SA"/>
          </w:rPr>
          <w:t>46 O.R. (3d) 315</w:t>
        </w:r>
      </w:hyperlink>
      <w:r>
        <w:rPr>
          <w:rFonts w:ascii="arial" w:eastAsia="arial" w:hAnsi="arial" w:cs="arial"/>
          <w:color w:val="000000"/>
          <w:sz w:val="20"/>
          <w:lang w:val="en-US" w:eastAsia="en-US" w:bidi="ar-SA"/>
        </w:rPr>
        <w:t xml:space="preserve"> (endorsement, Dec. 6, 1999), 387/99) (Ont. C.A.) where the appeal from the judgment of Winkler, J was dismissed and the following comment was made: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no part of the plaintiff's case that the market price before March 26, 1997 would have been any different if all the defendants' representations were true. It is common ground that those who sold before then could not have relied to their detriment on any representation. No shareholder loss before then could have been caused by an misrepresentation. Any loss before then was caused by the sale, not by the fraud. Winkler J. held that the losses did not arise from the delicts alleged in the causes of action pleaded, and therefore could not be included in the class. He correctly held that a Bre-X shareholder who sold her shares before March 26, 1997 was always in the same identical position whether or not there was any gold. There is therefore no error in the temporal description of the class. (at p. 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The Plaintiff Class submits that there are a number of reasons why the statements of Winkler J in the General Division decision in Bre-X do not apply in the case at bar. First, the Plaintiff Class relies on a number of misrepresentations including the stability of the Tailings Dam. Accordingly, the failure of the Tailings Dam was merely the catalyst for a review of the misrepresentations alleged in the Prospectus. Second, the Plaintiff Class submits, had the Prospectus revealed the true condition of the Tailings Dam, the shares would have commanded a price lower than $16.00. Accordingly, the Plaintiff Class submits that, even class members who sold their shares before the failure of the Tailings Dam paid too much for their shares. The Plaintiff Class submits that it cannot be determined at this stage whether the "early sellers" received more for their shares than they would have if the Prospectus had contained a full disclosure.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It is not clear that the decision of Winkler J in Bre-X, supra, disposes of this issue or whether to exclude persons who sold their shares before April 25, 1998 is a question which should be deferred until the trial of the common issues. I have decided that the subclasses should not be limited to those who did not sell their shares before about April 25, 1998. First, I believe that the Plaintiff Class has established a triable issue regarding this point. Second, I believe it is appropriate to err on the side of protecting people who have a right to access to the courts. While the Defendants will be at liberty to bring on an application prior to any Notice under the Act being forwarded to members of the Plaintiff Class, initially there will be no limitation on the subclass based on those persons in the certified subclasses who still had all or some of their shares on April 25,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FORM OF NOTICE UNDER DIVISION 3 OF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The parties will be at liberty to speak to the question of the form of Notice to be forwarded to members of the subclasses. At that time, the form of Notice, the party to pay for the cost of the Notice, the various dates to be * completed within the Notice, and any deletions or additions of non-resident subclasses can be heard.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Court had inserted a paragraph break at this point and numbered the text paragraph 94. Quicklaw has removed the break and the number.]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BURNYEAT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39" style="position:absolute;z-index:25183948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01"/>
          <w:headerReference w:type="default" r:id="rId102"/>
          <w:footerReference w:type="even" r:id="rId103"/>
          <w:footerReference w:type="default" r:id="rId104"/>
          <w:headerReference w:type="first" r:id="rId105"/>
          <w:footerReference w:type="first" r:id="rId10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7" w:history="1">
        <w:r>
          <w:rPr>
            <w:rFonts w:ascii="arial" w:eastAsia="arial" w:hAnsi="arial" w:cs="arial"/>
            <w:b/>
            <w:bCs/>
            <w:i/>
            <w:color w:val="0077CC"/>
            <w:kern w:val="32"/>
            <w:sz w:val="28"/>
            <w:szCs w:val="32"/>
            <w:u w:val="single"/>
            <w:shd w:val="clear" w:color="auto" w:fill="FFFFFF"/>
            <w:lang w:val="en-US" w:eastAsia="en-US" w:bidi="ar-SA"/>
          </w:rPr>
          <w:t>R.P. v. H.P., [2004] B.C.J. No. 1257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Cranbrook,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A.F. Wilson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24 - 27, March 1 - 5 and 11 - 12,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16,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Cranbrook Registry No. 11876</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[2004] B.C.J. No. 1257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2004 BCSC 740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132 A.C.W.S. (3d) 861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R.P., J.P. [hereinafter referred to as J.P. (1)], J.P. [hereinafter referred to as J.P. (2)], both Infants at law and both represented by their Guardian ad litem and next friend, R.P., and D.D., plaintiffs, and H.P., Penny Jarina, Donna Lescosek, Elk Valley Home Support Society, Elk Valley and South Country Health Council, and Her Majesty The Queen in Right of the Province of British Columbia,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40" style="position:absolute;z-index:2516613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9" w:name="Keywords_2"/>
      <w:bookmarkEnd w:id="19"/>
      <w:r>
        <w:rPr>
          <w:rFonts w:ascii="arial" w:eastAsia="arial" w:hAnsi="arial" w:cs="arial"/>
          <w:b/>
          <w:color w:val="000000"/>
          <w:sz w:val="20"/>
          <w:lang w:val="en-US" w:eastAsia="en-US" w:bidi="ar-SA"/>
        </w:rPr>
        <w:t>Civil procedure — Costs — Offers to settle — Party and party or partial indemnity — Special orders — For reprehensible or inefficient conduct.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0" w:name="Case Summary_2"/>
            <w:bookmarkEnd w:id="2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Applications by HP, Elk Valley, and the Crown for costs. HP sought costs on scale four and double costs for the period after an offer to settle was made. Elk Valley sought special costs and double costs for the period after an offer to settle was made and the Crown sought costs on scale three. RP opposed costs and claimed that the offer to settle from RP was not made. RP further submitted that there should be a single set of costs for all defendants because of common interests. At trial, RP made a number of allegations without evidence to support them. The allegations included an alleged assault of a child, conspiring to manufacture evidence, and conspiring to unlawfully confine a child.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1" w:name="Holdings of Court_1"/>
            <w:bookmarkEnd w:id="21"/>
            <w:r>
              <w:rPr>
                <w:rFonts w:ascii="arial" w:eastAsia="arial" w:hAnsi="arial" w:cs="arial"/>
                <w:color w:val="000000"/>
                <w:sz w:val="20"/>
                <w:lang w:val="en-US" w:eastAsia="en-US" w:bidi="ar-SA"/>
              </w:rPr>
              <w:t>HELD: Applications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seriousness of the allegations against Elk Valley merited an award of special costs. Given the award of special costs, double costs were not appropriate. The matter was not of sufficient importance to the public in general or to other litigants, or sufficient difficulty to defend, to justify costs on a scale higher than scale three for HP. There was insufficient evidence provided to determine if an offer to settle was made by HP. It was open to HP to provide further submissions on the matter. The Crown was awarded costs at scale three. It was not appropriate to award a single set of costs. While Elk Valley took the lead, each defendant had to respond to the pleadings and each had different interests.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2" w:name="Legislation Cited_2"/>
      <w:bookmarkEnd w:id="2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41" style="position:absolute;z-index:2517125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Child, Family &amp; Community Services Act, ss. 2, 101.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3" w:name="Counsel_2"/>
      <w:bookmarkEnd w:id="23"/>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42" style="position:absolute;z-index:2517637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R.G. Buddenhagen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P. Jarina, D. Lescosek, Elk Valley Home Support and Elk Valley South Country Health Council: J.C. Grauer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Appearing on her own behalf: H.P.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Her Majesty the Queen: L.D. Johnston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4" w:name="Judgment_2"/>
      <w:bookmarkEnd w:id="24"/>
      <w:r>
        <w:pict>
          <v:line id="_x0000_s1043" style="position:absolute;z-index:251814912"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5" w:name="A.F. WILSON J."/>
            <w:bookmarkEnd w:id="25"/>
            <w:r>
              <w:rPr>
                <w:rFonts w:ascii="arial" w:eastAsia="arial" w:hAnsi="arial" w:cs="arial"/>
                <w:b/>
                <w:color w:val="000000"/>
                <w:sz w:val="30"/>
                <w:lang w:val="en-US" w:eastAsia="en-US" w:bidi="ar-SA"/>
              </w:rPr>
              <w:t>A.F. WILSON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78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w:t>
            </w:r>
          </w:p>
        </w:tc>
        <w:tc>
          <w:tcPr>
            <w:tcW w:w="860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INTRODUCTION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In my Reasons for Judgment delivered March 12, 2004, after an eleven-day trial, I dismissed all claims of the plaintiffs against all defendants. I ordered written submissions with respect to costs, and those have now been received.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 H.P., seeks costs on Scale 4, with double costs after an Offer to Settle alleged to have been delivered on January 15, 2002. The defendants, Penny Jarina, Donna Lescosek, Elk Valley Home Support Society, and Elk Valley and South Country Health Council ("the Elk Valley defendants") seek special costs; alternatively, they seek costs on Scale 4, with double costs after the delivery of an offer to settle on September 6, 2002. The defendant, Her Majesty The Queen in Right of the Province of British Columbia ("the Crown") seeks costs on Scale 3. The plaintiffs submit that there should be no special costs ordered, nor should costs be ordered on Scale 4. They submit that the Offer to Settle purportedly delivered on behalf of H.P. was not, in fact, delivered, and that delivered on behalf of the Elk Valley defendants was not valid, being in the form of a Calderbank letter. The plaintiffs submit that, in the circumstances of this case, the court should exercise its discretion to refuse costs to the successful parties. They also submit that, in any event, there should be only one set of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78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II</w:t>
            </w:r>
          </w:p>
        </w:tc>
        <w:tc>
          <w:tcPr>
            <w:tcW w:w="860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SPECIAL COSTS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8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leading case in British Columbia with respect to special costs is the decision of the British Columbia Court of Appeal in Garcia v. Crestbrook Forest Industries Ltd., </w:t>
      </w:r>
      <w:hyperlink r:id="rId108" w:history="1">
        <w:r>
          <w:rPr>
            <w:rFonts w:ascii="arial" w:eastAsia="arial" w:hAnsi="arial" w:cs="arial"/>
            <w:i/>
            <w:color w:val="0077CC"/>
            <w:sz w:val="20"/>
            <w:u w:val="single"/>
            <w:shd w:val="clear" w:color="auto" w:fill="FFFFFF"/>
            <w:lang w:val="en-US" w:eastAsia="en-US" w:bidi="ar-SA"/>
          </w:rPr>
          <w:t>(1994) 119 D.L.R. (4th) 740</w:t>
        </w:r>
      </w:hyperlink>
      <w:r>
        <w:rPr>
          <w:rFonts w:ascii="arial" w:eastAsia="arial" w:hAnsi="arial" w:cs="arial"/>
          <w:color w:val="000000"/>
          <w:sz w:val="20"/>
          <w:lang w:val="en-US" w:eastAsia="en-US" w:bidi="ar-SA"/>
        </w:rPr>
        <w:t xml:space="preserve"> (B.C.C.A.). In that decision, Lambert J.A., for the court, at p. 745, noted that "special costs" are the costs that used to be referred to as "solicitor and client costs", and concluded that the principles which formerly governed the awarding of solicitor and client costs continue to govern the awarding of special costs. After a review of the authorities, including Stiles v. British Columbia (Workers Compensation Board) </w:t>
      </w:r>
      <w:hyperlink r:id="rId109" w:history="1">
        <w:r>
          <w:rPr>
            <w:rFonts w:ascii="arial" w:eastAsia="arial" w:hAnsi="arial" w:cs="arial"/>
            <w:i/>
            <w:color w:val="0077CC"/>
            <w:sz w:val="20"/>
            <w:u w:val="single"/>
            <w:shd w:val="clear" w:color="auto" w:fill="FFFFFF"/>
            <w:lang w:val="en-US" w:eastAsia="en-US" w:bidi="ar-SA"/>
          </w:rPr>
          <w:t>(1989), 38 B.C.L.R. (2d) 307</w:t>
        </w:r>
      </w:hyperlink>
      <w:r>
        <w:rPr>
          <w:rFonts w:ascii="arial" w:eastAsia="arial" w:hAnsi="arial" w:cs="arial"/>
          <w:color w:val="000000"/>
          <w:sz w:val="20"/>
          <w:lang w:val="en-US" w:eastAsia="en-US" w:bidi="ar-SA"/>
        </w:rPr>
        <w:t xml:space="preserve"> (C.A.); Young v. Young, </w:t>
      </w:r>
      <w:hyperlink r:id="rId110" w:history="1">
        <w:r>
          <w:rPr>
            <w:rFonts w:ascii="arial" w:eastAsia="arial" w:hAnsi="arial" w:cs="arial"/>
            <w:i/>
            <w:color w:val="0077CC"/>
            <w:sz w:val="20"/>
            <w:u w:val="single"/>
            <w:shd w:val="clear" w:color="auto" w:fill="FFFFFF"/>
            <w:lang w:val="en-US" w:eastAsia="en-US" w:bidi="ar-SA"/>
          </w:rPr>
          <w:t>[1993] 4 S.C.R. 3</w:t>
        </w:r>
      </w:hyperlink>
      <w:r>
        <w:rPr>
          <w:rFonts w:ascii="arial" w:eastAsia="arial" w:hAnsi="arial" w:cs="arial"/>
          <w:color w:val="000000"/>
          <w:sz w:val="20"/>
          <w:lang w:val="en-US" w:eastAsia="en-US" w:bidi="ar-SA"/>
        </w:rPr>
        <w:t xml:space="preserve">, </w:t>
      </w:r>
      <w:hyperlink r:id="rId110" w:history="1">
        <w:r>
          <w:rPr>
            <w:rFonts w:ascii="arial" w:eastAsia="arial" w:hAnsi="arial" w:cs="arial"/>
            <w:i/>
            <w:color w:val="0077CC"/>
            <w:sz w:val="20"/>
            <w:u w:val="single"/>
            <w:shd w:val="clear" w:color="auto" w:fill="FFFFFF"/>
            <w:lang w:val="en-US" w:eastAsia="en-US" w:bidi="ar-SA"/>
          </w:rPr>
          <w:t>84 B.C.L.R. (2d) 1</w:t>
        </w:r>
      </w:hyperlink>
      <w:r>
        <w:rPr>
          <w:rFonts w:ascii="arial" w:eastAsia="arial" w:hAnsi="arial" w:cs="arial"/>
          <w:color w:val="000000"/>
          <w:sz w:val="20"/>
          <w:lang w:val="en-US" w:eastAsia="en-US" w:bidi="ar-SA"/>
        </w:rPr>
        <w:t xml:space="preserve">; and Leung v. Leung </w:t>
      </w:r>
      <w:hyperlink r:id="rId111" w:history="1">
        <w:r>
          <w:rPr>
            <w:rFonts w:ascii="arial" w:eastAsia="arial" w:hAnsi="arial" w:cs="arial"/>
            <w:i/>
            <w:color w:val="0077CC"/>
            <w:sz w:val="20"/>
            <w:u w:val="single"/>
            <w:shd w:val="clear" w:color="auto" w:fill="FFFFFF"/>
            <w:lang w:val="en-US" w:eastAsia="en-US" w:bidi="ar-SA"/>
          </w:rPr>
          <w:t>(1993), 77 B.C.L.R. (2d) 314</w:t>
        </w:r>
      </w:hyperlink>
      <w:r>
        <w:rPr>
          <w:rFonts w:ascii="arial" w:eastAsia="arial" w:hAnsi="arial" w:cs="arial"/>
          <w:color w:val="000000"/>
          <w:sz w:val="20"/>
          <w:lang w:val="en-US" w:eastAsia="en-US" w:bidi="ar-SA"/>
        </w:rPr>
        <w:t xml:space="preserve"> (S.C.), he concluded, at p. 746, that the standard to be applied in determining whether special costs are to be awarded is whether the conduct can be categorized as "reprehensible". He noted that word encompasses not only "scandalous or outrageous conduct", but also "milder forms of misconduct deserving of reproof or rebuke" (at p. 747).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In subsequent cases, courts have held that special costs may be awarded in the following circumstances: where a party unsuccessfully alleges criminal conduct: Kurtakais v. Canadian Northern Shield Insurance Co. </w:t>
      </w:r>
      <w:hyperlink r:id="rId112" w:history="1">
        <w:r>
          <w:rPr>
            <w:rFonts w:ascii="arial" w:eastAsia="arial" w:hAnsi="arial" w:cs="arial"/>
            <w:i/>
            <w:color w:val="0077CC"/>
            <w:sz w:val="20"/>
            <w:u w:val="single"/>
            <w:shd w:val="clear" w:color="auto" w:fill="FFFFFF"/>
            <w:lang w:val="en-US" w:eastAsia="en-US" w:bidi="ar-SA"/>
          </w:rPr>
          <w:t>(1995), 17 B.C.L.R. (3d) 197</w:t>
        </w:r>
      </w:hyperlink>
      <w:r>
        <w:rPr>
          <w:rFonts w:ascii="arial" w:eastAsia="arial" w:hAnsi="arial" w:cs="arial"/>
          <w:color w:val="000000"/>
          <w:sz w:val="20"/>
          <w:lang w:val="en-US" w:eastAsia="en-US" w:bidi="ar-SA"/>
        </w:rPr>
        <w:t xml:space="preserve"> (C.A.) at [paragraph] 9; where there is a totally unfounded allegation of fraud: Paz v. Hardouin </w:t>
      </w:r>
      <w:hyperlink r:id="rId113" w:history="1">
        <w:r>
          <w:rPr>
            <w:rFonts w:ascii="arial" w:eastAsia="arial" w:hAnsi="arial" w:cs="arial"/>
            <w:i/>
            <w:color w:val="0077CC"/>
            <w:sz w:val="20"/>
            <w:u w:val="single"/>
            <w:shd w:val="clear" w:color="auto" w:fill="FFFFFF"/>
            <w:lang w:val="en-US" w:eastAsia="en-US" w:bidi="ar-SA"/>
          </w:rPr>
          <w:t>(1996), 25 B.C.L.R. (3d) 201</w:t>
        </w:r>
      </w:hyperlink>
      <w:r>
        <w:rPr>
          <w:rFonts w:ascii="arial" w:eastAsia="arial" w:hAnsi="arial" w:cs="arial"/>
          <w:color w:val="000000"/>
          <w:sz w:val="20"/>
          <w:lang w:val="en-US" w:eastAsia="en-US" w:bidi="ar-SA"/>
        </w:rPr>
        <w:t xml:space="preserve"> (C.A.) at [paragraph] 9; where there are unproven allegations of fraud, dishonesty or incompetence against lawyers: Patriquin v. Laurentian Trust of Canada Inc. </w:t>
      </w:r>
      <w:hyperlink r:id="rId114" w:history="1">
        <w:r>
          <w:rPr>
            <w:rFonts w:ascii="arial" w:eastAsia="arial" w:hAnsi="arial" w:cs="arial"/>
            <w:i/>
            <w:color w:val="0077CC"/>
            <w:sz w:val="20"/>
            <w:u w:val="single"/>
            <w:shd w:val="clear" w:color="auto" w:fill="FFFFFF"/>
            <w:lang w:val="en-US" w:eastAsia="en-US" w:bidi="ar-SA"/>
          </w:rPr>
          <w:t>(2002), 96 B.C.L.R. (3d) 318</w:t>
        </w:r>
      </w:hyperlink>
      <w:r>
        <w:rPr>
          <w:rFonts w:ascii="arial" w:eastAsia="arial" w:hAnsi="arial" w:cs="arial"/>
          <w:color w:val="000000"/>
          <w:sz w:val="20"/>
          <w:lang w:val="en-US" w:eastAsia="en-US" w:bidi="ar-SA"/>
        </w:rPr>
        <w:t xml:space="preserve"> (C.A.) at [paragraph] 29; where the plaintiff shows reckless indifference to the legitimate interests of the defendant by failing to come to terms with "the manifest deficiency in its claim at an early stage in the proceedings": Concord Industrial Services Ltd. v. 371773 B.C. Ltd., </w:t>
      </w:r>
      <w:hyperlink r:id="rId115" w:history="1">
        <w:r>
          <w:rPr>
            <w:rFonts w:ascii="arial" w:eastAsia="arial" w:hAnsi="arial" w:cs="arial"/>
            <w:i/>
            <w:color w:val="0077CC"/>
            <w:sz w:val="20"/>
            <w:u w:val="single"/>
            <w:shd w:val="clear" w:color="auto" w:fill="FFFFFF"/>
            <w:lang w:val="en-US" w:eastAsia="en-US" w:bidi="ar-SA"/>
          </w:rPr>
          <w:t>[2002] B.C.J. No. 1318</w:t>
        </w:r>
      </w:hyperlink>
      <w:r>
        <w:rPr>
          <w:rFonts w:ascii="arial" w:eastAsia="arial" w:hAnsi="arial" w:cs="arial"/>
          <w:color w:val="000000"/>
          <w:sz w:val="20"/>
          <w:lang w:val="en-US" w:eastAsia="en-US" w:bidi="ar-SA"/>
        </w:rPr>
        <w:t xml:space="preserve">, </w:t>
      </w:r>
      <w:hyperlink r:id="rId115" w:history="1">
        <w:r>
          <w:rPr>
            <w:rFonts w:ascii="arial" w:eastAsia="arial" w:hAnsi="arial" w:cs="arial"/>
            <w:i/>
            <w:color w:val="0077CC"/>
            <w:sz w:val="20"/>
            <w:u w:val="single"/>
            <w:shd w:val="clear" w:color="auto" w:fill="FFFFFF"/>
            <w:lang w:val="en-US" w:eastAsia="en-US" w:bidi="ar-SA"/>
          </w:rPr>
          <w:t>2002 BCSC 900</w:t>
        </w:r>
      </w:hyperlink>
      <w:r>
        <w:rPr>
          <w:rFonts w:ascii="arial" w:eastAsia="arial" w:hAnsi="arial" w:cs="arial"/>
          <w:color w:val="000000"/>
          <w:sz w:val="20"/>
          <w:lang w:val="en-US" w:eastAsia="en-US" w:bidi="ar-SA"/>
        </w:rPr>
        <w:t xml:space="preserve"> at [paragraph] 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Counsel for the plaintiffs submits that the British Columbia Court of Appeal narrowed the basis for special costs in Nygard International ltd. v. Robinson </w:t>
      </w:r>
      <w:hyperlink r:id="rId116" w:history="1">
        <w:r>
          <w:rPr>
            <w:rFonts w:ascii="arial" w:eastAsia="arial" w:hAnsi="arial" w:cs="arial"/>
            <w:i/>
            <w:color w:val="0077CC"/>
            <w:sz w:val="20"/>
            <w:u w:val="single"/>
            <w:shd w:val="clear" w:color="auto" w:fill="FFFFFF"/>
            <w:lang w:val="en-US" w:eastAsia="en-US" w:bidi="ar-SA"/>
          </w:rPr>
          <w:t>(1990), 46 B.C.L.R. (2d) 103</w:t>
        </w:r>
      </w:hyperlink>
      <w:r>
        <w:rPr>
          <w:rFonts w:ascii="arial" w:eastAsia="arial" w:hAnsi="arial" w:cs="arial"/>
          <w:color w:val="000000"/>
          <w:sz w:val="20"/>
          <w:lang w:val="en-US" w:eastAsia="en-US" w:bidi="ar-SA"/>
        </w:rPr>
        <w:t xml:space="preserve"> (C.A.) at p. 106 to "situations of misbehaviour in the conduct of the litigation". That case precedes Garcia, but was not referred to in Garcia. Insofar as it may be taken to conflict with the statements in Garcia, it thus cannot be considered as binding authority. However, in the facts of this case, it may make no difference, as the claim for special costs is based upon alleged "misbehaviour in the conduct of the litigation", or "reprehensive conduct", with the broad definition given that term in Garcia.</w:t>
      </w:r>
      <w:r>
        <w:rPr>
          <w:rFonts w:ascii="arial" w:eastAsia="arial" w:hAnsi="arial" w:cs="arial"/>
          <w:sz w:val="20"/>
          <w:lang w:val="en-US" w:eastAsia="en-US" w:bidi="ar-SA"/>
        </w:rPr>
        <w:cr/>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Allegations and Findings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the Amended Statement of Claim filed February 10, 2004, after examinations for discovery and approximately two weeks before the commencement of the trial, various causes of action were alleged, including:</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in November, 1999, H.P. made false allegations to the police and to the Ministry of Children and Families that the plaintiff, J.P. (1), had sexually assaulted J.P. (2), with the connivance or acquiescence of the plaintiff, R.P. (paras. 19 to 27);</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H.P. repeated her false complaints regarding sexual assault of J.P. (2) by J.P. (1), and also alleged physical assault of J.P. (2) by J.P. (1), in March, 2000 (paras. 29 to 33);</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H.P. made another false allegation against J.P. (1) before the custody and access study to be performed by Dr. Elterman was completed (paras. 37 to 38);</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on Christmas Day, 2000, H.P. assaulted J.P. (2) (para. 39);</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following the assault, H.P. falsely alleged to Dr. Susan Rohn that J.P. (1) had assaulted J.P. (2), which in turn was reported to the Ministry of Children and Families and the police (paras. 49 to 42);</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paras. 52 to 54:</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Two weeks prior to the return of that motion, which was June 4, 2001, the defendant, H.P., conspired with the supervisor, Mrs. Penny Jarina, to contrive yet another incident, which both the defendants, H.P. and Jarina, hoped would stave off what was becoming inevitable, namely, permanent custody of the infant child, J.P. (2), to his father.</w:t>
      </w:r>
    </w:p>
    <w:p>
      <w:pPr>
        <w:numPr>
          <w:numId w:val="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On an access visit to the park in Fernie on May 18, 2001, H.P. and Penny Jarina took J.P. (2) into an outdoor bathroom in the park, where they pulled his pants down, smeared his thigh with either soot or dirt, and then summoned the defendant, Donna Lescosek to assist in keeping J.P. (2) from his father until an examination could be done at the local hospital.</w:t>
      </w:r>
    </w:p>
    <w:p>
      <w:pPr>
        <w:numPr>
          <w:numId w:val="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two of them, H.P. and Jarina, told Donna Lescosek that J.P. (2) had told them that J.P. (1) had assaulted him and that a bruise on his thigh was the result of that assault.</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Claims of battery and false imprisonment at the Sparwood Hospital on May 18, 2001, (paragraphs 58 to 71);</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as set out in paragraphs 71 to 73:</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Notwithstanding that the hoax designed by H.P. and Penny Jarina with the complicity of Donna Lescosek had been unmasked, the social worker was still very reluctant to allow R.P. to take the child, J.P. (2), home. It was not until after she phoned and received advice from her supervisor, a Sue Sarabun, from the Fernie office of the Ministry of Children and Families, that R.P. was allowed to take J.P. (2) home.</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Penny Jarina and H.P. conspired to manufacture the evidence, which they alleged resulted in a bruise to J.P. (2)'s thigh.</w:t>
      </w:r>
    </w:p>
    <w:p>
      <w:pPr>
        <w:numPr>
          <w:numId w:val="1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the manufacturing of the evidence resulting in the mock bruise was communicated to Donna Lescosek, the latter conspired with Penny Jarina and H.P. to confine the infant plaintiff, J.P. (2), in order to prevent any attempt at contact with his father before the doctor examined him.</w:t>
      </w:r>
    </w:p>
    <w:p>
      <w:pPr>
        <w:numPr>
          <w:numId w:val="1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Ministry of Children and Families (paragraph 75).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Certain of the claims set out were not pursued at trial, in particular, that against the Crown for negligent supervision as alleged in paragraph 75 of the Amended Statement of Claim, and of a breach of a non-delegable duty of care to J.P. (2) and R.P., alleged in the Reply filed in response to the Statement of Defence of the Crown. Other claims were abandoned during the course of the trial, in particular the claim of battery in December, 2000, after my ruling that the statements of J.P. (2) were not admissible for the truth of the contents. In addition, the claims for special damages and legal fees alleged to have been incurred, and the claims for aggravated damages with respect to the false imprisonment and the battery were abandoned.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All of the other claims were dismissed. I reviewed the various causes of action, commencing at [paragraph] 79 of the Reasons for Judgment. With respect to the claims of false imprisonment, I found there was intentional confinement, initially by Penny Jarina and Donna Lescosek, then by Mary Simpson. However, I concluded that each of them, as well as Sue Sarabun, and their respective employers, were protected by s. 101 of the Child, Family &amp; Community Services Act. Specifically, I found that each was acting in what they considered to be J.P. (2)'s best interest, in light of the guiding principles set out in s. 2 of that Act ([paragraph] 104). With respect to the alleged battery at the Sparwood Hospital, I made findings of fact that neither Penny Jarina nor Donna Lescosek either blocked the door or grabbed J.P. (2), or laid hands on him ([paragraph] 110). I concluded that there was no cause of action in British Columbia of interference with custody rights, and that, even if there were, this was not an appropriate case to allow it ([paragraph] 119). With respect to the allegations of defamation against H.P., I found that she did not knowingly report false information, and that her reports were for the bona fide purpose of getting an investigation, and to assist in the counselling of J.P. (2), and were thus subject to qualified privilege ([paragraph] 133-134).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the course of the Reasons for Judgment, I specifically rejected the allegations by the plaintiffs set out in paragraphs 53 and 54 of the Amended Statement of Claim that H.P. and Penny Jarina, or either of them, smeared dirt on J.P. (2)'s thighs, then alleged a bruise as a result of an assault. I noted that there was absolutely no evidence in support of that allegation ([paragraph] 51). I also accepted the evidence of H.P. that she was not aware that J.P. (2) would then be taken to the Sparwood Hospital ([paragraph] 50). Although there were no specific findings, as it was not dealt with in the course of argument, it follows from those findings that there was no "conspiracy" as alleged in paragraphs 71 to 73 of the Amended Statement of Claim.</w:t>
      </w:r>
      <w:r>
        <w:rPr>
          <w:rFonts w:ascii="arial" w:eastAsia="arial" w:hAnsi="arial" w:cs="arial"/>
          <w:sz w:val="20"/>
          <w:lang w:val="en-US" w:eastAsia="en-US" w:bidi="ar-SA"/>
        </w:rPr>
        <w:cr/>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 am satisfied that this is an appropriate case for an award of special costs against the plaintiffs in favour of the Elk Valley defendants. There were very serious allegations made against them: an alleged assault of J.P. (2) by Penny Jarina; conspiring to manufacture evidence, and conspiring to unlawfully confine J.P. (2), on the part of Penny Jarina and Donna Lescosek. Not only were those claims dismissed, but it should have been apparent before the trial commenced that there was no evidence, for example, that the dirt on J.P. (2)'s leg was as a result of a conspiracy to manufacture evidence. I accept the submission of counsel for the Elk Valley defendants that, particularly in a small community, such allegations against social workers are every bit as reprehensible as unproven allegations of fraud, dishonesty or incompetence against lawyers. It is critical that social workers have the confidence of the community in order to perform their jobs effectively. Although fraud is not specifically pled, an allegation of conspiracy to manufacture evidence is at least as serious, as it does allege criminal conduct. In this case, I find that there has been "reckless indifference to the legitimate interest" of the defendant social workers, and that the plaintiffs should have realized the "manifest deficiency" in their claims against them prior to the trial. I consider the conduct in pursuing the claims against the Elk Valley defendants to be the type of "reprehensible conduct" in the conduct of the litigation which makes special costs desirable as a form of chastisement.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Elk Valley defendants will thus be entitled to special costs of the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III INCREASED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light of my finding that the Elk Valley defendants are entitled to special costs, it is not necessary for me to deal with their alternative claim for increased costs. However, H.P. also claims increased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H.P. claims increased costs on the basis of the reprehensible conduct of the plaintiffs commencing with the incident in November, 1999. A number of the allegations relate to matters which were dealt with in the custody proceeding, Action No. 9680, Cranbrook Registry, and are thus not appropriate matters to be taken into account in determining the scale of costs in this litigation. The other matters relied on are the allegations made against H.P., and pursued at trial, as outlined above in dealing with the claim for special costs of the Elk Valley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provision for the scale of costs is set out in s. 2 of Appendix B of the Rules of Court. The portions relevant to this application are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2(1) Where a court has made an order for costs, it may fix the scale, from Scale 1 to 5 in subsection (2), under which the costs will be assessed, and may order that one or more steps in the proceeding be assessed under a different scale from that fixed for other steps.</w:t>
      </w:r>
    </w:p>
    <w:p>
      <w:pPr>
        <w:numPr>
          <w:numId w:val="1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fixing the scale of costs the court shall have regard to the following principles: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Scale 1 is for matters of little difficulty;</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Scale 2 is for matters of less than ordinary difficulty;</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Scale 3 is for matters of ordinary difficulty or importance;</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Scale 4 is for matters of more than ordinary difficulty or importance;</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Scale 5 is for matters of unusual difficulty or importance.</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fixing the appropriate scale under which costs will be assessed, the court may take into account the following:</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a difficult issue of law, fact or construction is involved;</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an issue is of importance to a class or body of persons, or is of general interest;</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result of the proceeding effectively determines the rights and obligations as between the parties beyond the relief that was actually granted or denied.</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an order for costs has been made, or where, on a settlement, payment of assessed costs has been agreed to, but no scale has been fixed or agreed to, then the costs shall be assessed under Scale 3, unless a party, on application, obtains an order of the court that the costs be assessed under another scale.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Costs are thus on Scale 3, unless the court orders otherwise.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In Bradshaw Construction Ltd. v. Bank of Nova Scotia </w:t>
      </w:r>
      <w:hyperlink r:id="rId117" w:history="1">
        <w:r>
          <w:rPr>
            <w:rFonts w:ascii="arial" w:eastAsia="arial" w:hAnsi="arial" w:cs="arial"/>
            <w:i/>
            <w:color w:val="0077CC"/>
            <w:sz w:val="20"/>
            <w:u w:val="single"/>
            <w:shd w:val="clear" w:color="auto" w:fill="FFFFFF"/>
            <w:lang w:val="en-US" w:eastAsia="en-US" w:bidi="ar-SA"/>
          </w:rPr>
          <w:t>(1991), 54 B.C.L.R. (2d) 309</w:t>
        </w:r>
      </w:hyperlink>
      <w:r>
        <w:rPr>
          <w:rFonts w:ascii="arial" w:eastAsia="arial" w:hAnsi="arial" w:cs="arial"/>
          <w:color w:val="000000"/>
          <w:sz w:val="20"/>
          <w:lang w:val="en-US" w:eastAsia="en-US" w:bidi="ar-SA"/>
        </w:rPr>
        <w:t xml:space="preserve"> (S.C.), affirmed </w:t>
      </w:r>
      <w:hyperlink r:id="rId118" w:history="1">
        <w:r>
          <w:rPr>
            <w:rFonts w:ascii="arial" w:eastAsia="arial" w:hAnsi="arial" w:cs="arial"/>
            <w:i/>
            <w:color w:val="0077CC"/>
            <w:sz w:val="20"/>
            <w:u w:val="single"/>
            <w:shd w:val="clear" w:color="auto" w:fill="FFFFFF"/>
            <w:lang w:val="en-US" w:eastAsia="en-US" w:bidi="ar-SA"/>
          </w:rPr>
          <w:t>(1992), 73 B.C.L.R. (2d) 212</w:t>
        </w:r>
      </w:hyperlink>
      <w:r>
        <w:rPr>
          <w:rFonts w:ascii="arial" w:eastAsia="arial" w:hAnsi="arial" w:cs="arial"/>
          <w:color w:val="000000"/>
          <w:sz w:val="20"/>
          <w:lang w:val="en-US" w:eastAsia="en-US" w:bidi="ar-SA"/>
        </w:rPr>
        <w:t xml:space="preserve"> (C.A.), at p. 317, Bouck J. considered the meaning of the words "importance" and "difficulty". He considered "importance" to mean "important to the public at large or at least to other litigation of a similar nature. It does not mean important to the individual litigants since every litigant considers his or her case important" ([paragraph] 20). He considered "difficulty" to be a separate matter, relating to how hard it was to accomplish the ultimate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In Plaster v. Peterson </w:t>
      </w:r>
      <w:hyperlink r:id="rId119" w:history="1">
        <w:r>
          <w:rPr>
            <w:rFonts w:ascii="arial" w:eastAsia="arial" w:hAnsi="arial" w:cs="arial"/>
            <w:i/>
            <w:color w:val="0077CC"/>
            <w:sz w:val="20"/>
            <w:u w:val="single"/>
            <w:shd w:val="clear" w:color="auto" w:fill="FFFFFF"/>
            <w:lang w:val="en-US" w:eastAsia="en-US" w:bidi="ar-SA"/>
          </w:rPr>
          <w:t>(1994), 1 B.C.L.R. (3d) 286</w:t>
        </w:r>
      </w:hyperlink>
      <w:r>
        <w:rPr>
          <w:rFonts w:ascii="arial" w:eastAsia="arial" w:hAnsi="arial" w:cs="arial"/>
          <w:color w:val="000000"/>
          <w:sz w:val="20"/>
          <w:lang w:val="en-US" w:eastAsia="en-US" w:bidi="ar-SA"/>
        </w:rPr>
        <w:t xml:space="preserve"> (C.A.) Donald J.A., for the court, held that assessing costs on a higher scale was not appropriate for improper conduct; that such matters should be dealt with by way of increased costs (which no longer exist) or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this case, I am not satisfied that the matter is either of sufficient importance to the public in general or to other litigants, or sufficient difficulty to defend, to justify costs on a scale higher than Scale 3. That is particularly so on the part of H.P., who, apart from giving evidence on her own behalf, was able to follow the lead provided by counsel in the defence of claims. Increased costs are not appropriate to deal with the reprehensible conduct alleged by Ms. H.P..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Although H.P. has not made a claim for special costs, I do not consider such costs would be appropriate in her case. The same considerations which apply to the Elk Valley defendants, in particular, the potential damage to their reputation in the community relating to the conduct of their duties as social workers, do not apply to H.P..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Costs will thus be awarded to H.P. on Scale 3. The Crown also seeks costs on Scale 3, and that is so ordered.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78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IV</w:t>
            </w:r>
          </w:p>
        </w:tc>
        <w:tc>
          <w:tcPr>
            <w:tcW w:w="860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DOUBLE COSTS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The Elk Valley defendants claim double costs, as I understand it, as part of their alternative submission if special costs are not granted. In light of my finding that they are entitled to special costs, I do not consider double costs to be appropriate. Further, their offer to settle was in the form of a Calderbank letter. As it was issued prior to the enactment of Rule 37A, I consider it not to be a valid Offer to Settle under Rule 37, following the decision of Southin J.A. in Brown v. Low </w:t>
      </w:r>
      <w:hyperlink r:id="rId120" w:history="1">
        <w:r>
          <w:rPr>
            <w:rFonts w:ascii="arial" w:eastAsia="arial" w:hAnsi="arial" w:cs="arial"/>
            <w:i/>
            <w:color w:val="0077CC"/>
            <w:sz w:val="20"/>
            <w:u w:val="single"/>
            <w:shd w:val="clear" w:color="auto" w:fill="FFFFFF"/>
            <w:lang w:val="en-US" w:eastAsia="en-US" w:bidi="ar-SA"/>
          </w:rPr>
          <w:t>(2002), 97 B.C.L.R. (3d) 246</w:t>
        </w:r>
      </w:hyperlink>
      <w:r>
        <w:rPr>
          <w:rFonts w:ascii="arial" w:eastAsia="arial" w:hAnsi="arial" w:cs="arial"/>
          <w:color w:val="000000"/>
          <w:sz w:val="20"/>
          <w:lang w:val="en-US" w:eastAsia="en-US" w:bidi="ar-SA"/>
        </w:rPr>
        <w:t xml:space="preserve">. Although that case has been distinguished on the basis that the statements were obiter in Pacific Hunter Resources Inc. v. Moss Management Inc. </w:t>
      </w:r>
      <w:hyperlink r:id="rId121" w:history="1">
        <w:r>
          <w:rPr>
            <w:rFonts w:ascii="arial" w:eastAsia="arial" w:hAnsi="arial" w:cs="arial"/>
            <w:i/>
            <w:color w:val="0077CC"/>
            <w:sz w:val="20"/>
            <w:u w:val="single"/>
            <w:shd w:val="clear" w:color="auto" w:fill="FFFFFF"/>
            <w:lang w:val="en-US" w:eastAsia="en-US" w:bidi="ar-SA"/>
          </w:rPr>
          <w:t>(2002), 100 B.C.L.R. (3d) 164</w:t>
        </w:r>
      </w:hyperlink>
      <w:r>
        <w:rPr>
          <w:rFonts w:ascii="arial" w:eastAsia="arial" w:hAnsi="arial" w:cs="arial"/>
          <w:color w:val="000000"/>
          <w:sz w:val="20"/>
          <w:lang w:val="en-US" w:eastAsia="en-US" w:bidi="ar-SA"/>
        </w:rPr>
        <w:t xml:space="preserve"> (S.C.), I prefer the reasoning in Antonio v. Federici (2002), 19 C.P.C. (5th) 323 (B.C.S.C.), at [paragraph] 19-21, that the decision of Southin J.A. was a considered decision, and thus to be followed.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With respect to the Offer to Settle allegedly delivered on behalf of H.P., Mr. Buddenhagen, counsel for the plaintiffs, denies ever receiving it. Ms. H.P. says that it was sent by telefax on January 15, 2002. However, a copy of the Offer included with her submissions does not include a telefax cover sheet, or any indication on the Offer itself of the particulars of sending it. Mr. Buddenhagen notes that Mr. Majic, as counsel for Ms. H.P., sent an Appearance on her behalf to him on January 14, 2002, and did not file a Statement of Defence until January 30, 2002, and thus suggests that it is unlike that an Offer to Settle was delivered on January 15, 2002. He also notes that the Offer appears to have been signed by Ms. H.P. herself above the line for "solicitor for the defendant, H.P.", although Mr. Majic was, at that time, her counsel of record. In response, Ms. H.P. indicates that she received a copy of the Offer to Settle from Mr. Majic by mail, and that he faxed the Offer to Settle to Mr. Buddenhagen.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This is a matter which cannot be resolved based on these written submissions. The onus is on Ms. H.P. to show that the Offer to Settle was actually delivered, when that has been put in issue. Presumably, some proof of delivery would be available from the office of Mr. Majic, or his successor (as Mr. Buddenhagen indicates that he is now deceased). I consider it appropriate to give Ms. H.P. a further opportunity to provide that proof of delivery. That can be done by filing a further written submission, with a copy to Mr. Buddenhagen, within thirty days of this date. If Ms. H.P. chooses to provide that further submission, Mr. Buddenhagen will be entitled to make further submissions in response, within ten days. Failing such proof of delivery, Ms. H.P.'s claim for double costs is dismissed, but she will be entitled to ordinary costs on Scale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78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V</w:t>
            </w:r>
          </w:p>
        </w:tc>
        <w:tc>
          <w:tcPr>
            <w:tcW w:w="860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DISCRETION TO REFUSE COSTS TO SUCCESSFUL LITIGANT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The court has a discretion with respect to costs: Oasis Hotel Ltd. and Suroweic v. Zurich Insurance Company et al. </w:t>
      </w:r>
      <w:hyperlink r:id="rId122" w:history="1">
        <w:r>
          <w:rPr>
            <w:rFonts w:ascii="arial" w:eastAsia="arial" w:hAnsi="arial" w:cs="arial"/>
            <w:i/>
            <w:color w:val="0077CC"/>
            <w:sz w:val="20"/>
            <w:u w:val="single"/>
            <w:shd w:val="clear" w:color="auto" w:fill="FFFFFF"/>
            <w:lang w:val="en-US" w:eastAsia="en-US" w:bidi="ar-SA"/>
          </w:rPr>
          <w:t>(1981), 28 B.C.L.R. 230</w:t>
        </w:r>
      </w:hyperlink>
      <w:r>
        <w:rPr>
          <w:rFonts w:ascii="arial" w:eastAsia="arial" w:hAnsi="arial" w:cs="arial"/>
          <w:color w:val="000000"/>
          <w:sz w:val="20"/>
          <w:lang w:val="en-US" w:eastAsia="en-US" w:bidi="ar-SA"/>
        </w:rPr>
        <w:t xml:space="preserve"> (C.A.). The court may thus deny successful litigants their costs because of misconduct: Opocensky v. Wright, </w:t>
      </w:r>
      <w:hyperlink r:id="rId123" w:history="1">
        <w:r>
          <w:rPr>
            <w:rFonts w:ascii="arial" w:eastAsia="arial" w:hAnsi="arial" w:cs="arial"/>
            <w:i/>
            <w:color w:val="0077CC"/>
            <w:sz w:val="20"/>
            <w:u w:val="single"/>
            <w:shd w:val="clear" w:color="auto" w:fill="FFFFFF"/>
            <w:lang w:val="en-US" w:eastAsia="en-US" w:bidi="ar-SA"/>
          </w:rPr>
          <w:t>[1975] B.C.J. No. 595</w:t>
        </w:r>
      </w:hyperlink>
      <w:r>
        <w:rPr>
          <w:rFonts w:ascii="arial" w:eastAsia="arial" w:hAnsi="arial" w:cs="arial"/>
          <w:color w:val="000000"/>
          <w:sz w:val="20"/>
          <w:lang w:val="en-US" w:eastAsia="en-US" w:bidi="ar-SA"/>
        </w:rPr>
        <w:t xml:space="preserve"> (S.C.); Kahn v. Vancouver, </w:t>
      </w:r>
      <w:hyperlink r:id="rId124" w:history="1">
        <w:r>
          <w:rPr>
            <w:rFonts w:ascii="arial" w:eastAsia="arial" w:hAnsi="arial" w:cs="arial"/>
            <w:i/>
            <w:color w:val="0077CC"/>
            <w:sz w:val="20"/>
            <w:u w:val="single"/>
            <w:shd w:val="clear" w:color="auto" w:fill="FFFFFF"/>
            <w:lang w:val="en-US" w:eastAsia="en-US" w:bidi="ar-SA"/>
          </w:rPr>
          <w:t>[2001] B.C.J. No. 219</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this case, counsel for the plaintiffs submits that the defendants should be deprived of their costs as there was a finding that the defendants falsely imprisoned J.P. (2), and that they exceeded their statutory authority. That is not correct; the finding was that there was intentional confinement of J.P. (2), but that there was no false imprisonment as that confinement was justified by s. 101 of the Child, Family and Community Services Act. Further, I held that the social workers were acting at all times in good faith, in what they believed to be the best interests of J.P. (2). There is thus no basis upon which to deprive the Elk Valley defendants, or any of the other defendants, of their costs on the basis of misconduct.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78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VI</w:t>
            </w:r>
          </w:p>
        </w:tc>
        <w:tc>
          <w:tcPr>
            <w:tcW w:w="860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SINGLE OR SEPARATE SET OF COSTS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Counsel for the plaintiffs submits that there should be a single set of costs for all defendants, on the basis that counsel for the Elk Valley defendants took the lead in the defence of the claims, and the other defendants were able to follow that lead. That does not take into account the different interests between the respective defendants, and the need of each to prepare to defend the claims brought against that particular defendant. For example, the claims for defamation related only to H.P., while the claims for false imprisonment related only to the other defendants. It also does not make allowance for the fact that each defendant has had to respond to the pleadings, and, as I understand it, has conducted separate examinations for discovery. Notwithstanding that there was some overlap of the interests of all of the defendants at trial, I am not satisfied that is a basis for awarding only a single set of costs. Each of the defendants will thus be entitled to costs, as noted above, the Elk Valley defendants to special costs, and each of H.P. and the Crown to ordinary costs on Scale 3 (subject to further submissions regarding delivery of the Offer to Settle on behalf of H.P.).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A.F. WILSON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44" style="position:absolute;z-index:25184051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25"/>
          <w:headerReference w:type="default" r:id="rId126"/>
          <w:footerReference w:type="even" r:id="rId127"/>
          <w:footerReference w:type="default" r:id="rId128"/>
          <w:headerReference w:type="first" r:id="rId129"/>
          <w:footerReference w:type="first" r:id="rId13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31" w:history="1">
        <w:r>
          <w:rPr>
            <w:rFonts w:ascii="arial" w:eastAsia="arial" w:hAnsi="arial" w:cs="arial"/>
            <w:b/>
            <w:bCs/>
            <w:i/>
            <w:color w:val="0077CC"/>
            <w:kern w:val="32"/>
            <w:sz w:val="28"/>
            <w:szCs w:val="32"/>
            <w:u w:val="single"/>
            <w:shd w:val="clear" w:color="auto" w:fill="FFFFFF"/>
            <w:lang w:val="en-US" w:eastAsia="en-US" w:bidi="ar-SA"/>
          </w:rPr>
          <w:t>Quantum Financial Service (Canada) Ltd. v. Yip, [2000] B.C.J. No. 80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Kirkpatrick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December 9, 10 and 13, 1999.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18,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A951862</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[2000] B.C.J. No. 80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32" w:history="1">
        <w:r>
          <w:rPr>
            <w:rFonts w:ascii="arial" w:eastAsia="arial" w:hAnsi="arial" w:cs="arial"/>
            <w:i/>
            <w:color w:val="0077CC"/>
            <w:sz w:val="20"/>
            <w:u w:val="single"/>
            <w:shd w:val="clear" w:color="auto" w:fill="FFFFFF"/>
            <w:lang w:val="en-US" w:eastAsia="en-US" w:bidi="ar-SA"/>
          </w:rPr>
          <w:t>2000 BCSC 20</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Quantum Financial Service (Canada) Ltd., plaintiff, and Francis Yip and Cassandra Yip,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45" style="position:absolute;z-index:2516623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6" w:name="Keywords_3"/>
      <w:bookmarkEnd w:id="26"/>
      <w:r>
        <w:rPr>
          <w:rFonts w:ascii="arial" w:eastAsia="arial" w:hAnsi="arial" w:cs="arial"/>
          <w:b/>
          <w:color w:val="000000"/>
          <w:sz w:val="20"/>
          <w:lang w:val="en-US" w:eastAsia="en-US" w:bidi="ar-SA"/>
        </w:rPr>
        <w:t>Creditors and debtors — Creditors' rights — Setting aside transactions — Fraudulent conveyances — What constitute.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7" w:name="Case Summary_3"/>
            <w:bookmarkEnd w:id="2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Quantum Financial Service for an order to set aside the transfer of the defendant Yip's interest in his matrimonial home to his wife. In 1986 Yip entered into an agreement with Quantum to trade in the commodities market. The matrimonial home was owned by Yip and his wife and several of his siblings. The siblings declared they held the home in trust for Yip and his wife. In April 1992 Yip agreed to transfer his interest in the home to his wife. This was in satisfaction of a $200,000 debt owed by Yip to his wife. The parties agreed that the property would remain in the names of the registered owners until Yip and his wife gave instructions for the property to be transferred. Yip was not successful in his commodities-trading venture. His account was liquidated in March 1995 when he could not meet margin calls. On April 4, 1995 he signed a promissory note in favour of Quantum. The note was presented for payment two days later but was refused. On April 10, 1995 Yip executed a transfer in favour of his wife. On the same day Quantum commenced this action. Yip claimed that the 1995 transfer merely crystallized the 1992 agreement.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8" w:name="Holdings of Court_2"/>
            <w:bookmarkEnd w:id="28"/>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transfer from Yip to his wife was set aside. The Yips failed to establish that consideration was given for the 1992 agreement. Their testimony was unreliable. There was no evidence of a $200,000 debt. Yip and his wife entered into the 1992 agreement to protect the home from future creditors. The fraudulent nature of this agreement was enhanced by further secretive steps taken by the Yips to disguise the transfer from others. They failed to explain the suspicious circumstances of the 1992 agreement and the 1995 transfer. They both displayed bad faith. Quantum proved beyond question that the Yips' transactions were intended to delay, hinder or defraud creditors.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9" w:name="Legislation Cited_3"/>
      <w:bookmarkEnd w:id="2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46" style="position:absolute;z-index:2517135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Fraudulent Conveyance Act, R.S.B.C. 1979, c. 142, ss. 1, 4.</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0" w:name="Counsel_3"/>
      <w:bookmarkEnd w:id="30"/>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47" style="position:absolute;z-index:2517647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K.E. Ducey, for the plaintiff. M.H. Heller and D.H. Laudan, for the defendants.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1" w:name="Judgment_3"/>
      <w:bookmarkEnd w:id="31"/>
      <w:r>
        <w:pict>
          <v:line id="_x0000_s1048" style="position:absolute;z-index:251815936"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2" w:name="KIRKPATRICK J."/>
            <w:bookmarkEnd w:id="32"/>
            <w:r>
              <w:rPr>
                <w:rFonts w:ascii="arial" w:eastAsia="arial" w:hAnsi="arial" w:cs="arial"/>
                <w:b/>
                <w:color w:val="000000"/>
                <w:sz w:val="30"/>
                <w:lang w:val="en-US" w:eastAsia="en-US" w:bidi="ar-SA"/>
              </w:rPr>
              <w:t>KIRKPATRICK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sole issue to be determined in this trial is whether the transfer of Francis Yip's interest in the matrimonial home to his wife, Cassandra Yip, constitutes a fraudulent conveyance within the meaning of the Fraudulent Conveyance Act, R.S.B.C. 1979 c. 142.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following facts are not in dispute. Mr. and Mrs. Yip were married on June 15, 1982, and have continued to live as husband and wife since that date. They moved to British Columbia from China in 1985. They lived in a home purchased by Mr. Yip's father sometime in the 1970s. By at least 1990, the registered owners of that home were Mr. Yip and his four siblings.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In 1986, Mr. Yip began trading in the commodities market in Canada. On June 10, 1986, Mr. Yip entered into an account agreement with Rosenthal &amp; Company, the corporate predecessor of the plaintiff, Quantum Financial Service (Canada) Ltd. ("Quantum"), for trading in the commodities futures market. On November 14, 1986, Mrs. Yip also entered into an account agreement with Rosenthal &amp; Company for trading in the commodities futures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Between 1986 and 1992, Mr. Yip entered into commodities and securities transactions in accounts in the name of Mrs. Yip by virtue of a power of attorney granted by his wife. Those transactions were concluded through various brokerage houses, including Prudential Bache, Burns Fry, and Midland Walwyn.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1989, Mr. Yip began trading in foreign exchange contracts on a regular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On January 30, 1990, Mr. Yip's four siblings executed a declaration of trust of real property in respect of the matrimonial home in favour of Mr. and Mrs. Yip. By the declaration of trust, Mr. Yip's siblings declared that they held the matrimonial home in trust for the exclusive benefit of Mr. and Mrs. Yip as joint tenants. The declaration of trust further provided that the siblings would at any time, at the request of either Mr. or Mrs. Yip, transfer the lands to them as joint tenants or to such person or persons as Mr. or Mrs. Yip should direct in writing.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On April 16, 1992, Mr. Yip transferred his interest in the matrimonial property to his wife in satisfaction of an alleged debt of $200,000 owing by Mr. Yip to Mrs. Yip. A term of the April 1992 agreement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Wife understands and agrees that the property is to remain in the name of the present registered owners until the Husband and the Wife request that the property be transferred to such person or persons as they shall in writing direct.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On July 7, 1993, Mr. Yip's siblings executed a Form A Transfer of the matrimonial home to Mr. and Mrs. Yip as joint tenants.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On March 3, 1995, the general manager of Quantum, Stephen Ng, advised Mr. Yip of the margin calls in his and his wife's accounts. The deficit in Mr. Yip's account was U.S.$22,139.67. The deficit in Mrs. Yip's account was U.S.$25,554.65. When the margin calls were not met, Mr. and Mrs. Yip's accounts were liquidated on March 21, 1995.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On April 4, 1995, Mr. Yip signed a promissory note in favour of Quantum in the full amount owing under both his account and his wife's account in the amount of U.S.$58,654.64. On April 6, 1995, the promissory note was presented for payment but was refused. On April 10, 1995, Mr. Yip executed a Form A Transfer of his interest in the matrimonial home to his wife. On the same day, Quantum commenced an action to recover the deficit owed by Mr. and Mrs. Yip (Vancouver Registry No. C951990).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This action was commenced on May 31, 1995.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Certain evidence is very much in dispute, most significantly Mr. Yip's contention that, without his wife's knowledge, he incurred losses of approximately $200,000 in her trading account at Prudential Bache during the period 1986 to 1992. This evidence is the foundation of the agreement made between the Yips in April 1992 whereby, in satisfaction of the alleged debt of $200,000 to Mrs. Yip, Mr. Yip transferred to her his interest in the matrimonial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On December 15, 1998 following a six day trial, the Honourable Madam Justice Lynn Smith granted judgment against the defendants in action number C951990, reported at </w:t>
      </w:r>
      <w:hyperlink r:id="rId133" w:history="1">
        <w:r>
          <w:rPr>
            <w:rFonts w:ascii="arial" w:eastAsia="arial" w:hAnsi="arial" w:cs="arial"/>
            <w:i/>
            <w:color w:val="0077CC"/>
            <w:sz w:val="20"/>
            <w:u w:val="single"/>
            <w:shd w:val="clear" w:color="auto" w:fill="FFFFFF"/>
            <w:lang w:val="en-US" w:eastAsia="en-US" w:bidi="ar-SA"/>
          </w:rPr>
          <w:t>(1998), 60 B.C.L.R. (3d) 365</w:t>
        </w:r>
      </w:hyperlink>
      <w:r>
        <w:rPr>
          <w:rFonts w:ascii="arial" w:eastAsia="arial" w:hAnsi="arial" w:cs="arial"/>
          <w:color w:val="000000"/>
          <w:sz w:val="20"/>
          <w:lang w:val="en-US" w:eastAsia="en-US" w:bidi="ar-SA"/>
        </w:rPr>
        <w:t xml:space="preserve"> with additional reasons at </w:t>
      </w:r>
      <w:hyperlink r:id="rId134" w:history="1">
        <w:r>
          <w:rPr>
            <w:rFonts w:ascii="arial" w:eastAsia="arial" w:hAnsi="arial" w:cs="arial"/>
            <w:i/>
            <w:color w:val="0077CC"/>
            <w:sz w:val="20"/>
            <w:u w:val="single"/>
            <w:shd w:val="clear" w:color="auto" w:fill="FFFFFF"/>
            <w:lang w:val="en-US" w:eastAsia="en-US" w:bidi="ar-SA"/>
          </w:rPr>
          <w:t>(1999), 173 D.L.R. (4th) 366</w:t>
        </w:r>
      </w:hyperlink>
      <w:r>
        <w:rPr>
          <w:rFonts w:ascii="arial" w:eastAsia="arial" w:hAnsi="arial" w:cs="arial"/>
          <w:color w:val="000000"/>
          <w:sz w:val="20"/>
          <w:lang w:val="en-US" w:eastAsia="en-US" w:bidi="ar-SA"/>
        </w:rPr>
        <w:t>. By this action, Quantum seeks to set aside the transfer of Mr. Yip's interest in the matrimonial home to his wife in order that Quantum may execute against that interest to satisfy the judgment granted in action number C951990.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Fraudulent Conveyance Act, as it read when the cause of action arose, provided that:</w:t>
      </w:r>
      <w:r>
        <w:rPr>
          <w:rFonts w:ascii="arial" w:eastAsia="arial" w:hAnsi="arial" w:cs="arial"/>
          <w:sz w:val="20"/>
          <w:lang w:val="en-US" w:eastAsia="en-US" w:bidi="ar-SA"/>
        </w:rPr>
        <w:cr/>
      </w:r>
    </w:p>
    <w:p>
      <w:pPr>
        <w:numPr>
          <w:numId w:val="8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disposition of property, by writing or otherwise...at any time made, to delay, hinder or defraud creditors and others of their just and lawful remedies, shall be void and of no effect as against a person...whose rights and obligations by collusion, guile, malice or fraudulent devices and practices are or might be, in any way, disturbed, hindered, delayed or defrauded, notwithstanding a pretence or other matter to the contrary.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This Act does not apply to a disposition of property for good consideration and in good faith lawfully transferred to a person not having, at the time of the transfer to him, any notice or knowledge of collusion or fraud.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law is settled at to what must be proven in order to succeed in an action brought under the Fraudulent Conveyance Act. In this case:</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Quantum must show that Mr. Yip made a disposition of property in favour of Mrs. Yip with the intent of delaying, hindering or defrauding creditors: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Canadian Imperial Bank of Commerce v. Ash </w:t>
      </w:r>
      <w:hyperlink r:id="rId135" w:history="1">
        <w:r>
          <w:rPr>
            <w:rFonts w:ascii="arial" w:eastAsia="arial" w:hAnsi="arial" w:cs="arial"/>
            <w:i/>
            <w:color w:val="0077CC"/>
            <w:sz w:val="20"/>
            <w:u w:val="single"/>
            <w:shd w:val="clear" w:color="auto" w:fill="FFFFFF"/>
            <w:lang w:val="en-US" w:eastAsia="en-US" w:bidi="ar-SA"/>
          </w:rPr>
          <w:t>(1964), 47 D.L.R. (2d) 620</w:t>
        </w:r>
      </w:hyperlink>
      <w:r>
        <w:rPr>
          <w:rFonts w:ascii="arial" w:eastAsia="arial" w:hAnsi="arial" w:cs="arial"/>
          <w:color w:val="000000"/>
          <w:sz w:val="20"/>
          <w:lang w:val="en-US" w:eastAsia="en-US" w:bidi="ar-SA"/>
        </w:rPr>
        <w:t xml:space="preserve"> (B.C.S.C.) at 623;</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Jaston &amp; Co. v. McCarthy </w:t>
      </w:r>
      <w:hyperlink r:id="rId136" w:history="1">
        <w:r>
          <w:rPr>
            <w:rFonts w:ascii="arial" w:eastAsia="arial" w:hAnsi="arial" w:cs="arial"/>
            <w:i/>
            <w:color w:val="0077CC"/>
            <w:sz w:val="20"/>
            <w:u w:val="single"/>
            <w:shd w:val="clear" w:color="auto" w:fill="FFFFFF"/>
            <w:lang w:val="en-US" w:eastAsia="en-US" w:bidi="ar-SA"/>
          </w:rPr>
          <w:t>(1996), 41 C.B.R. (3d) 212</w:t>
        </w:r>
      </w:hyperlink>
      <w:r>
        <w:rPr>
          <w:rFonts w:ascii="arial" w:eastAsia="arial" w:hAnsi="arial" w:cs="arial"/>
          <w:color w:val="000000"/>
          <w:sz w:val="20"/>
          <w:lang w:val="en-US" w:eastAsia="en-US" w:bidi="ar-SA"/>
        </w:rPr>
        <w:t xml:space="preserve"> (B.C.S.C.) at 232, </w:t>
      </w:r>
      <w:hyperlink r:id="rId137" w:history="1">
        <w:r>
          <w:rPr>
            <w:rFonts w:ascii="arial" w:eastAsia="arial" w:hAnsi="arial" w:cs="arial"/>
            <w:i/>
            <w:color w:val="0077CC"/>
            <w:sz w:val="20"/>
            <w:u w:val="single"/>
            <w:shd w:val="clear" w:color="auto" w:fill="FFFFFF"/>
            <w:lang w:val="en-US" w:eastAsia="en-US" w:bidi="ar-SA"/>
          </w:rPr>
          <w:t>[1998] B.C.J. No. 2911</w:t>
        </w:r>
      </w:hyperlink>
      <w:r>
        <w:rPr>
          <w:rFonts w:ascii="arial" w:eastAsia="arial" w:hAnsi="arial" w:cs="arial"/>
          <w:color w:val="000000"/>
          <w:sz w:val="20"/>
          <w:lang w:val="en-US" w:eastAsia="en-US" w:bidi="ar-SA"/>
        </w:rPr>
        <w:t>, rev'd on other grounds B.C.B.R. (4th) 25 (C.A.).</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Quantum need not establish that it was a creditor at the time the transfer was made: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Re Skinner </w:t>
      </w:r>
      <w:hyperlink r:id="rId138" w:history="1">
        <w:r>
          <w:rPr>
            <w:rFonts w:ascii="arial" w:eastAsia="arial" w:hAnsi="arial" w:cs="arial"/>
            <w:i/>
            <w:color w:val="0077CC"/>
            <w:sz w:val="20"/>
            <w:u w:val="single"/>
            <w:shd w:val="clear" w:color="auto" w:fill="FFFFFF"/>
            <w:lang w:val="en-US" w:eastAsia="en-US" w:bidi="ar-SA"/>
          </w:rPr>
          <w:t>(1960), 27 D.L.R. (2d) 74</w:t>
        </w:r>
      </w:hyperlink>
      <w:r>
        <w:rPr>
          <w:rFonts w:ascii="arial" w:eastAsia="arial" w:hAnsi="arial" w:cs="arial"/>
          <w:color w:val="000000"/>
          <w:sz w:val="20"/>
          <w:lang w:val="en-US" w:eastAsia="en-US" w:bidi="ar-SA"/>
        </w:rPr>
        <w:t xml:space="preserve"> (B.C.S.C.);</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Ocean Construction Supplies Ltd. v. Creative Prosperity Capital Corp. </w:t>
      </w:r>
      <w:hyperlink r:id="rId139" w:history="1">
        <w:r>
          <w:rPr>
            <w:rFonts w:ascii="arial" w:eastAsia="arial" w:hAnsi="arial" w:cs="arial"/>
            <w:i/>
            <w:color w:val="0077CC"/>
            <w:sz w:val="20"/>
            <w:u w:val="single"/>
            <w:shd w:val="clear" w:color="auto" w:fill="FFFFFF"/>
            <w:lang w:val="en-US" w:eastAsia="en-US" w:bidi="ar-SA"/>
          </w:rPr>
          <w:t>(1995), 34 C.B.R. (3d) 241</w:t>
        </w:r>
      </w:hyperlink>
      <w:r>
        <w:rPr>
          <w:rFonts w:ascii="arial" w:eastAsia="arial" w:hAnsi="arial" w:cs="arial"/>
          <w:color w:val="000000"/>
          <w:sz w:val="20"/>
          <w:lang w:val="en-US" w:eastAsia="en-US" w:bidi="ar-SA"/>
        </w:rPr>
        <w:t xml:space="preserve"> at 246 (B.C.S.C.).</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parties to the impugned transaction are related to each other, and the circumstances are suspicious, the burden of explanation falls on the related parties: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Ocean Construction, supra, at 247;</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Koop v. Smith </w:t>
      </w:r>
      <w:hyperlink r:id="rId140" w:history="1">
        <w:r>
          <w:rPr>
            <w:rFonts w:ascii="arial" w:eastAsia="arial" w:hAnsi="arial" w:cs="arial"/>
            <w:i/>
            <w:color w:val="0077CC"/>
            <w:sz w:val="20"/>
            <w:u w:val="single"/>
            <w:shd w:val="clear" w:color="auto" w:fill="FFFFFF"/>
            <w:lang w:val="en-US" w:eastAsia="en-US" w:bidi="ar-SA"/>
          </w:rPr>
          <w:t>(1915), 51 S.C.R. 554</w:t>
        </w:r>
      </w:hyperlink>
      <w:r>
        <w:rPr>
          <w:rFonts w:ascii="arial" w:eastAsia="arial" w:hAnsi="arial" w:cs="arial"/>
          <w:color w:val="000000"/>
          <w:sz w:val="20"/>
          <w:lang w:val="en-US" w:eastAsia="en-US" w:bidi="ar-SA"/>
        </w:rPr>
        <w:t xml:space="preserve"> where, at 558, Duff J. held: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do not think the proposition put thus absolutely is part of the English law or of the law of British Columbia; but I think it is a maxim of prudence based upon experience that in such cases a tribunal of fact may properly act upon that when suspicion touching the reality or the bona fides of a transaction between near relatives arises from the circumstances in which the transaction took place then the fact of relationship itself is sufficient to put the burden of explanation upon the parties interested and that, in such a case, the testimony of the parties must be scrutinised with care and suspicion; and it is very seldom that such evidence can safely be acted upon as in itself sufficient.</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Yips have the burden of establishing that there was valuable consideration for the transfer of the property to Mrs. Yip. If there was good consideration, the burden of proof remains with Quantum:</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 re Johnson; Golden v Gillam (1881), 20 Ch.D. 389 at 393:</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fact that there is valuable consideration shews at once that there may be purposes in the transaction other than the defeating or delaying of creditors, and renders the case, therefore, of those who contest the deed more difficult. In the case of Harman v. Richards, the Lord Justice Turner, then Vice-Chancellor, makes this observation: "It remains to be considered whether the settlement which was thus made for valuable consideration was also made bona fide, for a deed, though made for valuable consideration, may be affected by mala fides. But those who undertake to impeach for mala fides a deed which (sic) been executed for valuable consideration, have, I think, a task of great difficulty to discharge."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DISPOSITION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Quantum argues that the transfer from Mr. Yip to Mrs. Yip in April 1995 was done to prevent Quantum from executing against Mr. Yip's interest in the matrimonial home. Quantum thus alleges that the transfer was a disposition of property made to hinder or defraud creditors within the meaning of the Fraudulent Conveyance Act and therefore void as against Quantum.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Yips contend that the April 1995 transfer was simply a crystallization of the April 1992 agreement by which Mr. Yip agreed to transfer all of his interest in the matrimonial home to his wife in consideration of his alleged debt to her of $200,000.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Considering the statutory and legal framework outlined above, in conjunction with the evidence in the case, I find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 find that the Yips have failed to establish that there was consideration given for the April 1992 agreement. Mr. Yip's evidence concerning the origin of the funds invested with Prudential Bache and the subsequent losses was wholly unsatisfactory. As his own counsel candidly conceded, Mr. Yip's testimony was filled with contradictions and inconsistencies. His memory was conveniently vague when it suited his purpose. His explanation as to certain events, such as the reasons for not disclosing to his siblings that he had transferred his beneficial interest to his wife, was implausible. He was a thoroughly incredible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 also find that Mrs. Yip was less than candid in her testimony. She portrayed herself as an unknowledgeable investor who naively relied on her husband in all business matters. That portrayal does not bear scrutiny. Although she did indeed grant a power of attorney to her husband to invest on her behalf, she was the recipient of numerous cheques, even after April 1992, the date by which, on her evidence, her husband had lost all of her money. She was unable to recall cashing the cheques made out to her. She speculated that they might have been currency exchanges. Nothing in the evidence supports that speculation. She thought the cheques might be money that her husband had earned on investments and paid to her because of his guilt in losing $200,000. That suggestion does not fit with her evidence that her husband transferred his interest in the matrimonial home as satisfaction for the $200,000 "debt."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Most significantly, there is no evidence, other than the Yips' assertions, that the $200,000 was, in fact, a debt. Mrs. Yip testified that she did not consider the money she gave her husband to invest as a loan. She simply said words to the effect of: "I handed money to him and asked him to make a good investment." There is no suggestion (nor, realistically, could there be) that Mr. Yip guaranteed the investments made by him on his wife's behalf.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Counsel for the Yips likened the relationship between the Yips to the relationship between broker and investor. He asserted that the losses would result in a successful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a broker. I think that analogy has doubtful applicability to the circumstances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Nor do I accept the defendants' argument that it is immaterial whether or not the money represented by the losses in Mrs. Yip's Prudential Bache account are characterized as a loan. In my view, the characterization is critical. The entire foundation of the April 1992 agreement is based on the assertion that Mr. Yip was indebted to Mrs. Yip for $200,000. That was the alleged consideration for the transfer. However, the evidence falls far short of supporting a finding that Mr. Yip was in fact indebted to Mrs. Yip.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lawyer who prepared the April 1992 document testified that he satisfied himself that money was owing to Mrs. Yip from Mr. Yip. However, under cross-examination, he conceded that he could not recall a lot of the detail as to how the alleged debt arose. He was unable to refresh his memory from notes he may have made at the time because his file was destroyed in an office fire some years ago. He believes he satisfied himself that the agreement was not an arrangement to defeat creditors. However, it is plain that he accepted the advice given to him by Mr. and Mrs. Yip and that he had no independent evidence of a loan from Mrs. Yip to Mr. Yip.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overwhelming impact of the evidence is that the Yips entered into the April 1992 agreement in order to protect the matrimonial home from future potential creditors of Mr. Yip. Mr. Yip doubtlessly felt foolish in his improvident investments. He knew they were of a highly risky nature. Common sense suggests that he (and his wife) would be anxious to protect their family home from future attack by creditors. Mr. Yip certainly knew that he had no intention of abandoning the commodities market and the allure of significant financial gain. Mrs. Yip believed, in 1992, that her husband had lost all of her money. She either did not understand, or failed to appreciate, that trading in commodities futures could result in losses greater than one's investment. Thus, the transfer of the home into her name would, as she herself testified, protect her (and their children) from her husband's creditors.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fraudulent nature of the April 1992 transaction is further enhanced by the subsequent secretive steps taken by the Yips to disguise the transfer from others, including Mr. Yip's siblings. I do not believe their testimony that the July 9, 1993 transfer from Mr. Yip and his siblings to Mr. and Mrs. Yip as joint tenants was done to save face for Mr. Yip or that Mr. Yip's siblings would not have transferred their interest into Mrs. Yip's sole name. None of Mr. Yip's siblings testified to that effect. If the circumstances as described by the Yips were true, there would be no reason for Mr. Yip's siblings to withhold transferring their interest. Indeed, the January 1990 trust declaration contemplates that the siblings would transfer "to such person...as they [the Yips] shall direct in writing."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Yips have failed to explain the extraordinarily suspicious circumstances of the April 1992 transaction and the April 1995 transfer. There is demonstrable bad faith exhibited by both Mr. and Mrs. Yip. They have conveniently lost memories of the source and application of significant sums of money. Mrs. Yip demurs that she did not understand, or was not told, or does not recall, or does not know almost everything in connection with her account at Prudential Bache and Quantum. She was unable to explain deposits by her of $33,000 over two months in 1992 after the alleged $200,000 loss. Notwithstanding this implied state of ignorance, Mrs. Yip had the unexpected foresight to make arrangements to formalize the April 1992 agreement and had the Form A Transfer registered in her name on April 10, 1995, four days after the promissory note signed by her husband was presented for payment and refused.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my view, Quantum has proved beyond question that the disposition of the matrimonial home in favour of Mrs. Yip was made with the intent of delaying, hindering or defrauding creditors. The April 1992 agreement was obviously to that effect. The so-called "perfection" of that intent in April 1995 is no less fraudulent. I have no hesitation in concluding that the April 1992 agreement was made with the intention of minimizing Mr. Yip's future exposure to creditors. He was evidently hopelessly inept in his investments. His wife, notwithstanding her protestations to the contrary, knew that and together they decided to protect their home from future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the result, Quantum is entitled to an order setting aside the transfer of Mr. Yip's interest in the matrimonial home to Mrs. Yip.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Order accordingly.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KIRKPATRICK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49" style="position:absolute;z-index:25184153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41"/>
          <w:headerReference w:type="default" r:id="rId142"/>
          <w:footerReference w:type="even" r:id="rId143"/>
          <w:footerReference w:type="default" r:id="rId144"/>
          <w:headerReference w:type="first" r:id="rId145"/>
          <w:footerReference w:type="first" r:id="rId14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47" w:history="1">
        <w:r>
          <w:rPr>
            <w:rFonts w:ascii="arial" w:eastAsia="arial" w:hAnsi="arial" w:cs="arial"/>
            <w:b/>
            <w:bCs/>
            <w:i/>
            <w:color w:val="0077CC"/>
            <w:kern w:val="32"/>
            <w:sz w:val="28"/>
            <w:szCs w:val="32"/>
            <w:u w:val="single"/>
            <w:shd w:val="clear" w:color="auto" w:fill="FFFFFF"/>
            <w:lang w:val="en-US" w:eastAsia="en-US" w:bidi="ar-SA"/>
          </w:rPr>
          <w:t>Reid (Litigation Guardian of) v. Strata Plan LMS 2503, [2007] B.C.J. No. 2047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Gropper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July 20,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September 19,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New Westminster Registry No. S98132</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[2007] B.C.J. No. 2047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2007 BCSC 1396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161 C.R.R. (2d) 278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162 A.C.W.S. (3d) 772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Dennis Reid and Alexander Shirra Reid and Ashley Elizabeth Reid by their Litigation Guardian, Dennis Reid, Plaintiffs, and The Owners, Strata Plan LMS 2503, Michael Nomura, Donna Nomura, Dawn Flotten, Coral Ashe and Simon Smith,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50" style="position:absolute;z-index:2516633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3" w:name="Keywords_4"/>
      <w:bookmarkEnd w:id="33"/>
      <w:r>
        <w:rPr>
          <w:rFonts w:ascii="arial" w:eastAsia="arial" w:hAnsi="arial" w:cs="arial"/>
          <w:b/>
          <w:color w:val="000000"/>
          <w:sz w:val="20"/>
          <w:lang w:val="en-US" w:eastAsia="en-US" w:bidi="ar-SA"/>
        </w:rPr>
        <w:t>Civil procedure — Pleadings — Striking out pleadings or allegations - Grounds — Res judicata — Application by the defendant to strike the plaintiffs' statement of claim granted — The plaintiffs' case against the defendant was barred by res judicata — There was a final decision of the Supreme Court in a prior petition, one of the plantiffs was a party to the petition and was a party to the current litigation, the facts upon which the petition had been based were the same facts as the cause of action in the current action, and the basis of the cause of action could have been argued in the petition if the plaintiff had exercised reasonable diligence.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4" w:name="Case Summary_4"/>
            <w:bookmarkEnd w:id="3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 The Owners, Strata Plan LMS 2503 ("the strata corporation"), to strike out the Reids' statement of claim -- The strata corporation's asserted that the Reids' claims were barred by res judicata, specifically action estoppel -- The strata corporation contended that the statement of claim was a repeated or duplicate court proceeding on the same issues brought by the plaintiff Dennis Reid in an unsuccessful 2001 petition against the strata corporation -- The strata corporation claimed that all the tests for res judicata had been met: there was a final decision of the Supreme Court, the B.C. Court of Appeal and the Supreme Court of Canada dismissed the petition; Mr. Reid was a party to the petition and was a party to the current litigation and his children were privies for the purposes of determining mutuality; the facts upon which the petition was based were the same facts as the cause of action in the current action, and were not separate and distinct; and the basis of the cause of action could have been argued in the petition if Mr. Reid had exercised reasonable diligence -- HELD: Application granted -- The Reids' case against the strata corporation was barred by res judicata -- The four criteria which must be established for the doctrine of action estoppel to apply had been met.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5" w:name="Legislation Cited_4"/>
      <w:bookmarkEnd w:id="3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51" style="position:absolute;z-index:2517145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19(24)(a), Rule 19(24)(b), Rule 19(24)(c), Rule 19(24)(d)</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6" w:name="Counsel_4"/>
      <w:bookmarkEnd w:id="36"/>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52" style="position:absolute;z-index:2517657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Plaintiffs: G.A. Pyper.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Defendants, The Owners, Strata Plan LMS 2503: M. D. Fischer.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Michael Nomura, Donna Nomura, Dawn Flotten, Coral Ashe and Simon Smith: No appearances.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7" w:name="Judgment_4"/>
      <w:bookmarkEnd w:id="37"/>
      <w:r>
        <w:pict>
          <v:line id="_x0000_s1053" style="position:absolute;z-index:251816960"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1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8" w:name="GROPPER J."/>
            <w:bookmarkEnd w:id="38"/>
            <w:r>
              <w:rPr>
                <w:rFonts w:ascii="arial" w:eastAsia="arial" w:hAnsi="arial" w:cs="arial"/>
                <w:b/>
                <w:color w:val="000000"/>
                <w:sz w:val="30"/>
                <w:lang w:val="en-US" w:eastAsia="en-US" w:bidi="ar-SA"/>
              </w:rPr>
              <w:t>GROPPER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This is an application by the defendant, The Owners, Strata Plan LMS 2503 ("the strata corporation"), to strike out the plaintiffs' statement of claim pursuant to Rule 19(24)(a), (b), (c) and (d) of the </w:t>
      </w:r>
      <w:r>
        <w:rPr>
          <w:rFonts w:ascii="arial" w:eastAsia="arial" w:hAnsi="arial" w:cs="arial"/>
          <w:b/>
          <w:i/>
          <w:color w:val="000000"/>
          <w:sz w:val="20"/>
          <w:lang w:val="en-US" w:eastAsia="en-US" w:bidi="ar-SA"/>
        </w:rPr>
        <w:t>Rules of Court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221/90</w:t>
      </w:r>
      <w:r>
        <w:rPr>
          <w:rFonts w:ascii="arial" w:eastAsia="arial" w:hAnsi="arial" w:cs="arial"/>
          <w:color w:val="000000"/>
          <w:sz w:val="20"/>
          <w:lang w:val="en-US" w:eastAsia="en-US" w:bidi="ar-SA"/>
        </w:rPr>
        <w:t xml:space="preserve">. The strata corporation's position is that the statement of claim constitutes an abuse of process and that the pleadings are vexatious. It asserts that the plaintiffs' claims are barred by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specifically action estoppel.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remaining defendants did not attend the hearing and take no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From 1999 to 2005, the plaintiff Dennis Reid owned a strata lot within the defendant strata corporation, where he lived with his two children (the other plaintiffs in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2001, Mr. Reid filed a petition against the strata corporation. The petition sought the following orders:</w:t>
      </w:r>
      <w:r>
        <w:rPr>
          <w:rFonts w:ascii="arial" w:eastAsia="arial" w:hAnsi="arial" w:cs="arial"/>
          <w:sz w:val="20"/>
          <w:lang w:val="en-US" w:eastAsia="en-US" w:bidi="ar-SA"/>
        </w:rPr>
        <w:cr/>
      </w:r>
    </w:p>
    <w:p>
      <w:pPr>
        <w:numPr>
          <w:numId w:val="8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declaration that the decision of the strata council to grant the registered owners of strata lots 46 and 47 temporary permission to place items on the common property entry way appurtenant to the petitioner's strata lot was a significantly unfair decision in relation to the petitioner;</w:t>
      </w:r>
    </w:p>
    <w:p>
      <w:pPr>
        <w:numPr>
          <w:numId w:val="8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varying the significantly unfair decision of the strata council by revoking the temporary permission given to the registered owners of the strata lots 46 and 47 to place any items on the common property entry way appurtenant to the petitioner's strata lot;</w:t>
      </w:r>
    </w:p>
    <w:p>
      <w:pPr>
        <w:numPr>
          <w:numId w:val="8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regulating the conduct of the respondents' future affairs by permanently prohibiting the strata council or the respondent from permitting placement of any items on the common property entry way, temporarily or otherwise;</w:t>
      </w:r>
    </w:p>
    <w:p>
      <w:pPr>
        <w:numPr>
          <w:numId w:val="8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 order that the respondents enforce the </w:t>
      </w:r>
      <w:r>
        <w:rPr>
          <w:rFonts w:ascii="arial" w:eastAsia="arial" w:hAnsi="arial" w:cs="arial"/>
          <w:b/>
          <w:i/>
          <w:color w:val="000000"/>
          <w:sz w:val="20"/>
          <w:lang w:val="en-US" w:eastAsia="en-US" w:bidi="ar-SA"/>
        </w:rPr>
        <w:t>Strata Property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1998, c. 43</w:t>
      </w:r>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the Regulations, the By-laws or the Rules as against the registered owners of strata lots 46 and 47; and</w:t>
      </w:r>
    </w:p>
    <w:p>
      <w:pPr>
        <w:numPr>
          <w:numId w:val="8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 order that the respondents stop contravening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the Regulations, the By-laws or Rules by permitting the registered owners of strata lots 46 and 47 to temporarily, or otherwise, place any items on the common property entryway.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owners of strata lots 46 and 47 are the defendants, Dawn Flotten, and respectively Michael Nomura and Donna Nomura. The units owned by Ms. Flotten and Mr. and Mrs. Nomura face each other across a patio which is comprised of common property and the entryways to their units. The back wall of Mr. Reid's unit, which had three picture windows in it, bordered on the common entry. The dispute raised in the petition concerned the use that could be made of the common area. The resolution to which the petition refers is that of the strata council granting permission to the Nomuras and Ms. Flotten to place the following items on the common entry on a temporary basis: four potted cedar trees, one potted holly bush, one half barrow planter, one garden bench, one tripod planter, three rectangular window boxes, one potted fuchsia tree, and various small planters filled with annuals clustered around larger planters and the perimeter. Ms. Flotten and the Nomuras were responsible for the care and upkeep of the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The petition was heard on August 29, 2001. On November 14, 2001, Madam Justice Sinclair-Prowse dismissed Mr. Reid's petition (see </w:t>
      </w:r>
      <w:r>
        <w:rPr>
          <w:rFonts w:ascii="arial" w:eastAsia="arial" w:hAnsi="arial" w:cs="arial"/>
          <w:b/>
          <w:i/>
          <w:color w:val="000000"/>
          <w:sz w:val="20"/>
          <w:lang w:val="en-US" w:eastAsia="en-US" w:bidi="ar-SA"/>
        </w:rPr>
        <w:t>Reid v. Strata Plan LMS 2503</w:t>
      </w:r>
      <w:r>
        <w:rPr>
          <w:rFonts w:ascii="arial" w:eastAsia="arial" w:hAnsi="arial" w:cs="arial"/>
          <w:color w:val="000000"/>
          <w:sz w:val="20"/>
          <w:lang w:val="en-US" w:eastAsia="en-US" w:bidi="ar-SA"/>
        </w:rPr>
        <w:t xml:space="preserve">, </w:t>
      </w:r>
      <w:hyperlink r:id="rId148" w:history="1">
        <w:r>
          <w:rPr>
            <w:rFonts w:ascii="arial" w:eastAsia="arial" w:hAnsi="arial" w:cs="arial"/>
            <w:i/>
            <w:color w:val="0077CC"/>
            <w:sz w:val="20"/>
            <w:u w:val="single"/>
            <w:shd w:val="clear" w:color="auto" w:fill="FFFFFF"/>
            <w:lang w:val="en-US" w:eastAsia="en-US" w:bidi="ar-SA"/>
          </w:rPr>
          <w:t>[2001] B.C.J. No. 2377</w:t>
        </w:r>
      </w:hyperlink>
      <w:r>
        <w:rPr>
          <w:rFonts w:ascii="arial" w:eastAsia="arial" w:hAnsi="arial" w:cs="arial"/>
          <w:color w:val="000000"/>
          <w:sz w:val="20"/>
          <w:lang w:val="en-US" w:eastAsia="en-US" w:bidi="ar-SA"/>
        </w:rPr>
        <w:t xml:space="preserve">, </w:t>
      </w:r>
      <w:hyperlink r:id="rId148" w:history="1">
        <w:r>
          <w:rPr>
            <w:rFonts w:ascii="arial" w:eastAsia="arial" w:hAnsi="arial" w:cs="arial"/>
            <w:i/>
            <w:color w:val="0077CC"/>
            <w:sz w:val="20"/>
            <w:u w:val="single"/>
            <w:shd w:val="clear" w:color="auto" w:fill="FFFFFF"/>
            <w:lang w:val="en-US" w:eastAsia="en-US" w:bidi="ar-SA"/>
          </w:rPr>
          <w:t>2001 BCSC 1578</w:t>
        </w:r>
      </w:hyperlink>
      <w:r>
        <w:rPr>
          <w:rFonts w:ascii="arial" w:eastAsia="arial" w:hAnsi="arial" w:cs="arial"/>
          <w:color w:val="000000"/>
          <w:sz w:val="20"/>
          <w:lang w:val="en-US" w:eastAsia="en-US" w:bidi="ar-SA"/>
        </w:rPr>
        <w:t>). In her reasons, Sinclair-Prowse J. determined that the resolution was not unfair to Mr. Reid. She also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 In these proceedings, the uses of which Mr. Reid complained was that the Common Property was being used from time to time as a dog pen, as a place to store personal belongings, as a place to air out camping equipment, and as a place to host picnics, barbecues and parties, alcohol being served during these activities.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[16] None of these uses was authorized by the Strata Council in the Resolution. Rather, the Resolution went no further than to permit Ms. Flotten and Mr. and Mrs. Nomura to place specific plants on the Common Property.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 Therefore, if Ms. Flotten and Mr. and Mrs. Nomura are using the Common Property in the manner alleged by Mr. Reid (and there was evidence led in this hearing to indicate that they were using it in the manner alleged), the Strata Council should take steps to rectify that misuse.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Mr. Reid appealed the decision of Madam Justice Sinclair-Prowse to the B.C. Court of Appeal. His appeal was dismissed in Reasons for Judgment issued February 28, 2003 ( </w:t>
      </w:r>
      <w:hyperlink r:id="rId149" w:history="1">
        <w:r>
          <w:rPr>
            <w:rFonts w:ascii="arial" w:eastAsia="arial" w:hAnsi="arial" w:cs="arial"/>
            <w:i/>
            <w:color w:val="0077CC"/>
            <w:sz w:val="20"/>
            <w:u w:val="single"/>
            <w:shd w:val="clear" w:color="auto" w:fill="FFFFFF"/>
            <w:lang w:val="en-US" w:eastAsia="en-US" w:bidi="ar-SA"/>
          </w:rPr>
          <w:t>12 B.C.L.R. (4th) 67</w:t>
        </w:r>
      </w:hyperlink>
      <w:r>
        <w:rPr>
          <w:rFonts w:ascii="arial" w:eastAsia="arial" w:hAnsi="arial" w:cs="arial"/>
          <w:color w:val="000000"/>
          <w:sz w:val="20"/>
          <w:lang w:val="en-US" w:eastAsia="en-US" w:bidi="ar-SA"/>
        </w:rPr>
        <w:t xml:space="preserve">, </w:t>
      </w:r>
      <w:hyperlink r:id="rId149" w:history="1">
        <w:r>
          <w:rPr>
            <w:rFonts w:ascii="arial" w:eastAsia="arial" w:hAnsi="arial" w:cs="arial"/>
            <w:i/>
            <w:color w:val="0077CC"/>
            <w:sz w:val="20"/>
            <w:u w:val="single"/>
            <w:shd w:val="clear" w:color="auto" w:fill="FFFFFF"/>
            <w:lang w:val="en-US" w:eastAsia="en-US" w:bidi="ar-SA"/>
          </w:rPr>
          <w:t>2003 BCCA 126</w:t>
        </w:r>
      </w:hyperlink>
      <w:r>
        <w:rPr>
          <w:rFonts w:ascii="arial" w:eastAsia="arial" w:hAnsi="arial" w:cs="arial"/>
          <w:color w:val="000000"/>
          <w:sz w:val="20"/>
          <w:lang w:val="en-US" w:eastAsia="en-US" w:bidi="ar-SA"/>
        </w:rPr>
        <w:t>). At para.30, the court addressed Mr. Reid's argument that the court should order the strata council to require that Ms. Flotten and the Nomuras remove common property which was not specially listed in the resolution: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absence of a finding that the activities alleged by Mr. Reid did in fact occur and that these activities would constitute a breach of the strata bylaws, this court is unable to order the strata council to force Ms. Flotten and the Nomuras to remove these non-authorized items from the common entry.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Mr. Reid sought leave to appeal the decision of the B.C. Court of Appeal to the Supreme Court of Canada. Leave to appeal was denied by the court on November 10, 2003 ( </w:t>
      </w:r>
      <w:hyperlink r:id="rId150" w:history="1">
        <w:r>
          <w:rPr>
            <w:rFonts w:ascii="arial" w:eastAsia="arial" w:hAnsi="arial" w:cs="arial"/>
            <w:i/>
            <w:color w:val="0077CC"/>
            <w:sz w:val="20"/>
            <w:u w:val="single"/>
            <w:shd w:val="clear" w:color="auto" w:fill="FFFFFF"/>
            <w:lang w:val="en-US" w:eastAsia="en-US" w:bidi="ar-SA"/>
          </w:rPr>
          <w:t>[2003] S.C.C.A. No. 500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On March 31, 2006 Mr. Reid, on his own behalf and as a litigation guardian of his children, Alexander and Ashley Reid, filed the writ and statement of claim in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Paragraphs 16, 19, 21, 22, 23 and 26 of the statement of claim allege that the strata corporation intentionally, negligently and/or wrongfully failed to rectify the misuse of common property, with and without reference to the strata by-laws and the </w:t>
      </w:r>
      <w:r>
        <w:rPr>
          <w:rFonts w:ascii="arial" w:eastAsia="arial" w:hAnsi="arial" w:cs="arial"/>
          <w:b/>
          <w:i/>
          <w:color w:val="000000"/>
          <w:sz w:val="20"/>
          <w:lang w:val="en-US" w:eastAsia="en-US" w:bidi="ar-SA"/>
        </w:rPr>
        <w:t>Strata Property Act</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Strata Property Regulation</w:t>
      </w:r>
      <w:r>
        <w:rPr>
          <w:rFonts w:ascii="arial" w:eastAsia="arial" w:hAnsi="arial" w:cs="arial"/>
          <w:color w:val="000000"/>
          <w:sz w:val="20"/>
          <w:lang w:val="en-US" w:eastAsia="en-US" w:bidi="ar-SA"/>
        </w:rPr>
        <w:t xml:space="preserve">, </w:t>
      </w:r>
      <w:hyperlink r:id="rId151" w:history="1">
        <w:r>
          <w:rPr>
            <w:rFonts w:ascii="arial" w:eastAsia="arial" w:hAnsi="arial" w:cs="arial"/>
            <w:i/>
            <w:color w:val="0077CC"/>
            <w:sz w:val="20"/>
            <w:u w:val="single"/>
            <w:shd w:val="clear" w:color="auto" w:fill="FFFFFF"/>
            <w:lang w:val="en-US" w:eastAsia="en-US" w:bidi="ar-SA"/>
          </w:rPr>
          <w:t>B.C. Reg. 43/2000</w:t>
        </w:r>
      </w:hyperlink>
      <w:r>
        <w:rPr>
          <w:rFonts w:ascii="arial" w:eastAsia="arial" w:hAnsi="arial" w:cs="arial"/>
          <w:color w:val="000000"/>
          <w:sz w:val="20"/>
          <w:lang w:val="en-US" w:eastAsia="en-US" w:bidi="ar-SA"/>
        </w:rPr>
        <w:t xml:space="preserve"> as amended by Reg. 295/2006. These paragraphs state:</w:t>
      </w:r>
      <w:r>
        <w:rPr>
          <w:rFonts w:ascii="arial" w:eastAsia="arial" w:hAnsi="arial" w:cs="arial"/>
          <w:sz w:val="20"/>
          <w:lang w:val="en-US" w:eastAsia="en-US" w:bidi="ar-SA"/>
        </w:rPr>
        <w:cr/>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Defendants, the Nomuras, Flotten, Smith and Ashe, during the course of the Plaintiffs' residency at the Reid Residence, wrongfully and intentionally used the Common Property entryway as a patio for their personal use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xml:space="preserve"> as follows:</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By placing potted cedar trees and plants in front of the picture windows;</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By airing out camping equipment;</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By putting up Halloween and Christmas paraphernalia;</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social functions;</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a playpen for a pet dog;</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As a platform for stalking the Plaintiffs;</w:t>
      </w:r>
    </w:p>
    <w:p>
      <w:pPr>
        <w:numPr>
          <w:numId w:val="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As a platform for causing nuisance to the Plaintiffs; and</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As a platform to invade the Plaintiffs' privacy</w:t>
      </w:r>
    </w:p>
    <w:p>
      <w:pPr>
        <w:numPr>
          <w:numId w:val="1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The Owners, Strata Plan LMS 2503, intentionally or, alternatively, negligently failed to take steps to rectify the Misuse of the Common Property by the Defendants, the Nomuras, Flotten, Smith and Ashe.</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The Owners, Strata Plan LMS 2503, wrongfully intentionally or, alternatively, negligently failed to rectify the Misuse of the Common Property.</w:t>
      </w:r>
    </w:p>
    <w:p>
      <w:pPr>
        <w:numPr>
          <w:numId w:val="1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Defendant, The Owners, Strata Plan LMS 2503, intentionally or, alternatively, negligently failed to enforce the </w:t>
      </w:r>
      <w:r>
        <w:rPr>
          <w:rFonts w:ascii="arial" w:eastAsia="arial" w:hAnsi="arial" w:cs="arial"/>
          <w:i/>
          <w:color w:val="000000"/>
          <w:sz w:val="20"/>
          <w:lang w:val="en-US" w:eastAsia="en-US" w:bidi="ar-SA"/>
        </w:rPr>
        <w:t>Strata Property Act</w:t>
      </w:r>
      <w:r>
        <w:rPr>
          <w:rFonts w:ascii="arial" w:eastAsia="arial" w:hAnsi="arial" w:cs="arial"/>
          <w:color w:val="000000"/>
          <w:sz w:val="20"/>
          <w:lang w:val="en-US" w:eastAsia="en-US" w:bidi="ar-SA"/>
        </w:rPr>
        <w:t xml:space="preserve"> and the Bylaws of the Strata Corporation of the Defendant, The Owners, Strata Plan LMS 2503. In particular, Section 3 of the </w:t>
      </w:r>
      <w:r>
        <w:rPr>
          <w:rFonts w:ascii="arial" w:eastAsia="arial" w:hAnsi="arial" w:cs="arial"/>
          <w:i/>
          <w:color w:val="000000"/>
          <w:sz w:val="20"/>
          <w:lang w:val="en-US" w:eastAsia="en-US" w:bidi="ar-SA"/>
        </w:rPr>
        <w:t>Strata Property Act</w:t>
      </w:r>
      <w:r>
        <w:rPr>
          <w:rFonts w:ascii="arial" w:eastAsia="arial" w:hAnsi="arial" w:cs="arial"/>
          <w:color w:val="000000"/>
          <w:sz w:val="20"/>
          <w:lang w:val="en-US" w:eastAsia="en-US" w:bidi="ar-SA"/>
        </w:rPr>
        <w:t xml:space="preserve">, Section 3(1) of the Standard Bylaws of the </w:t>
      </w:r>
      <w:r>
        <w:rPr>
          <w:rFonts w:ascii="arial" w:eastAsia="arial" w:hAnsi="arial" w:cs="arial"/>
          <w:i/>
          <w:color w:val="000000"/>
          <w:sz w:val="20"/>
          <w:lang w:val="en-US" w:eastAsia="en-US" w:bidi="ar-SA"/>
        </w:rPr>
        <w:t>Strata Property Act</w:t>
      </w:r>
      <w:r>
        <w:rPr>
          <w:rFonts w:ascii="arial" w:eastAsia="arial" w:hAnsi="arial" w:cs="arial"/>
          <w:color w:val="000000"/>
          <w:sz w:val="20"/>
          <w:lang w:val="en-US" w:eastAsia="en-US" w:bidi="ar-SA"/>
        </w:rPr>
        <w:t xml:space="preserve"> and Bylaw 5. 1 of the Terra Vita Bylaws.</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plead the provision of the </w:t>
      </w:r>
      <w:r>
        <w:rPr>
          <w:rFonts w:ascii="arial" w:eastAsia="arial" w:hAnsi="arial" w:cs="arial"/>
          <w:i/>
          <w:color w:val="000000"/>
          <w:sz w:val="20"/>
          <w:lang w:val="en-US" w:eastAsia="en-US" w:bidi="ar-SA"/>
        </w:rPr>
        <w:t>Strata Property Act</w:t>
      </w:r>
      <w:r>
        <w:rPr>
          <w:rFonts w:ascii="arial" w:eastAsia="arial" w:hAnsi="arial" w:cs="arial"/>
          <w:color w:val="000000"/>
          <w:sz w:val="20"/>
          <w:lang w:val="en-US" w:eastAsia="en-US" w:bidi="ar-SA"/>
        </w:rPr>
        <w:t xml:space="preserve">, [SBC 1998], Chapter 43, the Strata Property Regulations and the Standard Bylaws of the </w:t>
      </w:r>
      <w:r>
        <w:rPr>
          <w:rFonts w:ascii="arial" w:eastAsia="arial" w:hAnsi="arial" w:cs="arial"/>
          <w:i/>
          <w:color w:val="000000"/>
          <w:sz w:val="20"/>
          <w:lang w:val="en-US" w:eastAsia="en-US" w:bidi="ar-SA"/>
        </w:rPr>
        <w:t>Strata Property Act</w:t>
      </w:r>
      <w:r>
        <w:rPr>
          <w:rFonts w:ascii="arial" w:eastAsia="arial" w:hAnsi="arial" w:cs="arial"/>
          <w:color w:val="000000"/>
          <w:sz w:val="20"/>
          <w:lang w:val="en-US" w:eastAsia="en-US" w:bidi="ar-SA"/>
        </w:rPr>
        <w:t>.</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suffered damages and continue to suffer damages as a result of the Defendant, the Owners, Strata Plan LMS 2503's, failure to enforce Court Orders or, alternatively, the directions of the Supreme Court of British Columbia as well as the directions of the British Columbia Court of Appeal, to enforce the </w:t>
      </w:r>
      <w:r>
        <w:rPr>
          <w:rFonts w:ascii="arial" w:eastAsia="arial" w:hAnsi="arial" w:cs="arial"/>
          <w:i/>
          <w:color w:val="000000"/>
          <w:sz w:val="20"/>
          <w:lang w:val="en-US" w:eastAsia="en-US" w:bidi="ar-SA"/>
        </w:rPr>
        <w:t>Strata Property Act</w:t>
      </w:r>
      <w:r>
        <w:rPr>
          <w:rFonts w:ascii="arial" w:eastAsia="arial" w:hAnsi="arial" w:cs="arial"/>
          <w:color w:val="000000"/>
          <w:sz w:val="20"/>
          <w:lang w:val="en-US" w:eastAsia="en-US" w:bidi="ar-SA"/>
        </w:rPr>
        <w:t xml:space="preserve">, the Regulations to the </w:t>
      </w:r>
      <w:r>
        <w:rPr>
          <w:rFonts w:ascii="arial" w:eastAsia="arial" w:hAnsi="arial" w:cs="arial"/>
          <w:i/>
          <w:color w:val="000000"/>
          <w:sz w:val="20"/>
          <w:lang w:val="en-US" w:eastAsia="en-US" w:bidi="ar-SA"/>
        </w:rPr>
        <w:t>Strata Property Act</w:t>
      </w:r>
      <w:r>
        <w:rPr>
          <w:rFonts w:ascii="arial" w:eastAsia="arial" w:hAnsi="arial" w:cs="arial"/>
          <w:color w:val="000000"/>
          <w:sz w:val="20"/>
          <w:lang w:val="en-US" w:eastAsia="en-US" w:bidi="ar-SA"/>
        </w:rPr>
        <w:t xml:space="preserve">, the Bylaws of the Terra Vita arid the </w:t>
      </w:r>
      <w:r>
        <w:rPr>
          <w:rFonts w:ascii="arial" w:eastAsia="arial" w:hAnsi="arial" w:cs="arial"/>
          <w:i/>
          <w:color w:val="000000"/>
          <w:sz w:val="20"/>
          <w:lang w:val="en-US" w:eastAsia="en-US" w:bidi="ar-SA"/>
        </w:rPr>
        <w:t>Universal Declaration of Human Rights</w:t>
      </w:r>
      <w:r>
        <w:rPr>
          <w:rFonts w:ascii="arial" w:eastAsia="arial" w:hAnsi="arial" w:cs="arial"/>
          <w:color w:val="000000"/>
          <w:sz w:val="20"/>
          <w:lang w:val="en-US" w:eastAsia="en-US" w:bidi="ar-SA"/>
        </w:rPr>
        <w:t xml:space="preserve"> which damages are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xml:space="preserve"> as follows:</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To suffer the tortious act of nuisance committed by the Defendants, the Nomuras, Flotten, Smith and Ashe, as set out in paragraph 27 of the Statement of Claim herein and damages as set out in paragraph 29 of the Statement of Claim herein.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Paragraphs 18, 20 and 26 of the statement of claim allege that the strata corporation disregarded orders of the court in respect of correcting the alleged misuses of common property. These paragraphs state:</w:t>
      </w:r>
      <w:r>
        <w:rPr>
          <w:rFonts w:ascii="arial" w:eastAsia="arial" w:hAnsi="arial" w:cs="arial"/>
          <w:sz w:val="20"/>
          <w:lang w:val="en-US" w:eastAsia="en-US" w:bidi="ar-SA"/>
        </w:rPr>
        <w:cr/>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Madam Justice Sinclair Prowse who adjudicated the Petition held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xml:space="preserve"> as follows:</w:t>
      </w:r>
    </w:p>
    <w:p>
      <w:pPr>
        <w:spacing w:before="120" w:line="260" w:lineRule="atLeast"/>
        <w:ind w:left="1080"/>
        <w:rPr>
          <w:rFonts w:ascii="arial" w:eastAsia="arial" w:hAnsi="arial" w:cs="arial"/>
          <w:sz w:val="20"/>
          <w:lang w:val="en-US" w:eastAsia="en-US" w:bidi="ar-SA"/>
        </w:rPr>
      </w:pPr>
      <w:r>
        <w:rPr>
          <w:rFonts w:ascii="arial" w:eastAsia="arial" w:hAnsi="arial" w:cs="arial"/>
          <w:i/>
          <w:color w:val="000000"/>
          <w:sz w:val="20"/>
          <w:lang w:val="en-US" w:eastAsia="en-US" w:bidi="ar-SA"/>
        </w:rPr>
        <w:t>"... if Ms. Flotten and Mr. and Mrs. Nomuras are using the Common Property in the manner alleged by Mr. Reid (and there was evidence led in this hearing to indicate that they were using it in the manner alleged), the Strata Council should take steps to rectify the misuse."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"misuse")</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British Columbia Court of Appeal pronounced an Order on February 28, 2003 and directed that the Defendant, The Owners, Strata Plan LMS 2503, should rectify the Misuse of the Common Property.</w:t>
      </w:r>
    </w:p>
    <w:p>
      <w:pPr>
        <w:numPr>
          <w:numId w:val="1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suffered damages and continue to suffer damages as a result of the Defendant, the Owners, Strata Plan LMS 2503's, failure to enforce Court Orders or, alternatively, the directions of the Supreme Court of British Columbia as well as the directions of the British Columbia Court of Appeal, to enforce the </w:t>
      </w:r>
      <w:r>
        <w:rPr>
          <w:rFonts w:ascii="arial" w:eastAsia="arial" w:hAnsi="arial" w:cs="arial"/>
          <w:i/>
          <w:color w:val="000000"/>
          <w:sz w:val="20"/>
          <w:lang w:val="en-US" w:eastAsia="en-US" w:bidi="ar-SA"/>
        </w:rPr>
        <w:t>Strata Property Act</w:t>
      </w:r>
      <w:r>
        <w:rPr>
          <w:rFonts w:ascii="arial" w:eastAsia="arial" w:hAnsi="arial" w:cs="arial"/>
          <w:color w:val="000000"/>
          <w:sz w:val="20"/>
          <w:lang w:val="en-US" w:eastAsia="en-US" w:bidi="ar-SA"/>
        </w:rPr>
        <w:t xml:space="preserve">, the Regulations to the </w:t>
      </w:r>
      <w:r>
        <w:rPr>
          <w:rFonts w:ascii="arial" w:eastAsia="arial" w:hAnsi="arial" w:cs="arial"/>
          <w:i/>
          <w:color w:val="000000"/>
          <w:sz w:val="20"/>
          <w:lang w:val="en-US" w:eastAsia="en-US" w:bidi="ar-SA"/>
        </w:rPr>
        <w:t>Strata Property Act</w:t>
      </w:r>
      <w:r>
        <w:rPr>
          <w:rFonts w:ascii="arial" w:eastAsia="arial" w:hAnsi="arial" w:cs="arial"/>
          <w:color w:val="000000"/>
          <w:sz w:val="20"/>
          <w:lang w:val="en-US" w:eastAsia="en-US" w:bidi="ar-SA"/>
        </w:rPr>
        <w:t xml:space="preserve">, the Bylaws of the Terra Vita arid the </w:t>
      </w:r>
      <w:r>
        <w:rPr>
          <w:rFonts w:ascii="arial" w:eastAsia="arial" w:hAnsi="arial" w:cs="arial"/>
          <w:i/>
          <w:color w:val="000000"/>
          <w:sz w:val="20"/>
          <w:lang w:val="en-US" w:eastAsia="en-US" w:bidi="ar-SA"/>
        </w:rPr>
        <w:t>Universal Declaration of Human Rights</w:t>
      </w:r>
      <w:r>
        <w:rPr>
          <w:rFonts w:ascii="arial" w:eastAsia="arial" w:hAnsi="arial" w:cs="arial"/>
          <w:color w:val="000000"/>
          <w:sz w:val="20"/>
          <w:lang w:val="en-US" w:eastAsia="en-US" w:bidi="ar-SA"/>
        </w:rPr>
        <w:t xml:space="preserve"> which damages are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xml:space="preserve"> as follows:</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suffer the tortious act of nuisance committed by the Defendants , the Nomuras, Flotten, Smith and Ashe, as set out in paragraph 27 of the Statement of Claim herein and damages as set out in paragraph 29 of the Statement of Claim herein.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Paragraphs 24, 25 and 26 of the statement of claim contain allegations that the strata corporation violated provisions of the </w:t>
      </w:r>
      <w:r>
        <w:rPr>
          <w:rFonts w:ascii="arial" w:eastAsia="arial" w:hAnsi="arial" w:cs="arial"/>
          <w:b/>
          <w:i/>
          <w:color w:val="000000"/>
          <w:sz w:val="20"/>
          <w:lang w:val="en-US" w:eastAsia="en-US" w:bidi="ar-SA"/>
        </w:rPr>
        <w:t>Canadian Charter of Rights and Freedoms</w:t>
      </w:r>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Charter</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Constitution Act</w:t>
      </w:r>
      <w:r>
        <w:rPr>
          <w:rFonts w:ascii="arial" w:eastAsia="arial" w:hAnsi="arial" w:cs="arial"/>
          <w:color w:val="000000"/>
          <w:sz w:val="20"/>
          <w:lang w:val="en-US" w:eastAsia="en-US" w:bidi="ar-SA"/>
        </w:rPr>
        <w:t xml:space="preserve">, 1982; the </w:t>
      </w:r>
      <w:r>
        <w:rPr>
          <w:rFonts w:ascii="arial" w:eastAsia="arial" w:hAnsi="arial" w:cs="arial"/>
          <w:b/>
          <w:i/>
          <w:color w:val="000000"/>
          <w:sz w:val="20"/>
          <w:lang w:val="en-US" w:eastAsia="en-US" w:bidi="ar-SA"/>
        </w:rPr>
        <w:t>Canadian Bill of Rights</w:t>
      </w:r>
      <w:r>
        <w:rPr>
          <w:rFonts w:ascii="arial" w:eastAsia="arial" w:hAnsi="arial" w:cs="arial"/>
          <w:color w:val="000000"/>
          <w:sz w:val="20"/>
          <w:lang w:val="en-US" w:eastAsia="en-US" w:bidi="ar-SA"/>
        </w:rPr>
        <w:t xml:space="preserve"> (S.C. 1960, c. 44) and article 12 of the </w:t>
      </w:r>
      <w:r>
        <w:rPr>
          <w:rFonts w:ascii="arial" w:eastAsia="arial" w:hAnsi="arial" w:cs="arial"/>
          <w:i/>
          <w:color w:val="000000"/>
          <w:sz w:val="20"/>
          <w:lang w:val="en-US" w:eastAsia="en-US" w:bidi="ar-SA"/>
        </w:rPr>
        <w:t>Universal Declaration of Human Rights</w:t>
      </w:r>
      <w:r>
        <w:rPr>
          <w:rFonts w:ascii="arial" w:eastAsia="arial" w:hAnsi="arial" w:cs="arial"/>
          <w:color w:val="000000"/>
          <w:sz w:val="20"/>
          <w:lang w:val="en-US" w:eastAsia="en-US" w:bidi="ar-SA"/>
        </w:rPr>
        <w:t xml:space="preserve"> (proclaimed by the General Assembly of the Untied Nations Resolution 217A (III) of December 10, 1948) by permitting actions which constitute the misuse of common properties. These paragraphs state:</w:t>
      </w:r>
      <w:r>
        <w:rPr>
          <w:rFonts w:ascii="arial" w:eastAsia="arial" w:hAnsi="arial" w:cs="arial"/>
          <w:sz w:val="20"/>
          <w:lang w:val="en-US" w:eastAsia="en-US" w:bidi="ar-SA"/>
        </w:rPr>
        <w:cr/>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Defendant, the Owners, Strata Plan LMS 2503, violated Section 1(a) of the </w:t>
      </w:r>
      <w:r>
        <w:rPr>
          <w:rFonts w:ascii="arial" w:eastAsia="arial" w:hAnsi="arial" w:cs="arial"/>
          <w:i/>
          <w:color w:val="000000"/>
          <w:sz w:val="20"/>
          <w:lang w:val="en-US" w:eastAsia="en-US" w:bidi="ar-SA"/>
        </w:rPr>
        <w:t>Canadian Charter of Rights and Freedoms</w:t>
      </w:r>
      <w:r>
        <w:rPr>
          <w:rFonts w:ascii="arial" w:eastAsia="arial" w:hAnsi="arial" w:cs="arial"/>
          <w:color w:val="000000"/>
          <w:sz w:val="20"/>
          <w:lang w:val="en-US" w:eastAsia="en-US" w:bidi="ar-SA"/>
        </w:rPr>
        <w:t xml:space="preserve"> as well as Article 12 of the </w:t>
      </w:r>
      <w:r>
        <w:rPr>
          <w:rFonts w:ascii="arial" w:eastAsia="arial" w:hAnsi="arial" w:cs="arial"/>
          <w:i/>
          <w:color w:val="000000"/>
          <w:sz w:val="20"/>
          <w:lang w:val="en-US" w:eastAsia="en-US" w:bidi="ar-SA"/>
        </w:rPr>
        <w:t>Universal Declaration of Human Right</w:t>
      </w:r>
      <w:r>
        <w:rPr>
          <w:rFonts w:ascii="arial" w:eastAsia="arial" w:hAnsi="arial" w:cs="arial"/>
          <w:color w:val="000000"/>
          <w:sz w:val="20"/>
          <w:lang w:val="en-US" w:eastAsia="en-US" w:bidi="ar-SA"/>
        </w:rPr>
        <w:t>s adopted and proclaimed by the General Assembly of the United Nations Resolution, 217A(III) of December 10, 1948.</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Defendant, the Owners, Strata Plan LMS 2503, violated Section 1(a) of the </w:t>
      </w:r>
      <w:r>
        <w:rPr>
          <w:rFonts w:ascii="arial" w:eastAsia="arial" w:hAnsi="arial" w:cs="arial"/>
          <w:i/>
          <w:color w:val="000000"/>
          <w:sz w:val="20"/>
          <w:lang w:val="en-US" w:eastAsia="en-US" w:bidi="ar-SA"/>
        </w:rPr>
        <w:t>Canadian Charter of Rights and Freedoms</w:t>
      </w:r>
      <w:r>
        <w:rPr>
          <w:rFonts w:ascii="arial" w:eastAsia="arial" w:hAnsi="arial" w:cs="arial"/>
          <w:color w:val="000000"/>
          <w:sz w:val="20"/>
          <w:lang w:val="en-US" w:eastAsia="en-US" w:bidi="ar-SA"/>
        </w:rPr>
        <w:t xml:space="preserve"> and Article 12 of the </w:t>
      </w:r>
      <w:r>
        <w:rPr>
          <w:rFonts w:ascii="arial" w:eastAsia="arial" w:hAnsi="arial" w:cs="arial"/>
          <w:i/>
          <w:color w:val="000000"/>
          <w:sz w:val="20"/>
          <w:lang w:val="en-US" w:eastAsia="en-US" w:bidi="ar-SA"/>
        </w:rPr>
        <w:t>Universal Declaration of Human Rights inter alia</w:t>
      </w:r>
      <w:r>
        <w:rPr>
          <w:rFonts w:ascii="arial" w:eastAsia="arial" w:hAnsi="arial" w:cs="arial"/>
          <w:color w:val="000000"/>
          <w:sz w:val="20"/>
          <w:lang w:val="en-US" w:eastAsia="en-US" w:bidi="ar-SA"/>
        </w:rPr>
        <w:t xml:space="preserve"> as follows:</w:t>
      </w:r>
    </w:p>
    <w:p>
      <w:pPr>
        <w:numPr>
          <w:numId w:val="24"/>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By allowing the Defendants, the Nomuras, Flotten, Smith and Ashe, to interfere with the Plaintiffs' enjoyment of the Reid Residence and the Common Property or common assets of Terra Vita; and</w:t>
      </w:r>
    </w:p>
    <w:p>
      <w:pPr>
        <w:numPr>
          <w:numId w:val="25"/>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By allowing the Defendants, the Nomuras, Flotten, Smith and Ashe, to cause a nuisance to the Plaintiffs and to interfere with the Plaintiffs' privacy, family and home life.</w:t>
      </w:r>
    </w:p>
    <w:p>
      <w:pPr>
        <w:numPr>
          <w:numId w:val="26"/>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suffered damages and continue to suffer damages as a result of the Defendant, the Owners, Strata Plan LMS 2503's, failure to enforce Court Orders or, alternatively, the directions of the Supreme Court of British Columbia as well as the directions of the British Columbia Court of Appeal, to enforce the </w:t>
      </w:r>
      <w:r>
        <w:rPr>
          <w:rFonts w:ascii="arial" w:eastAsia="arial" w:hAnsi="arial" w:cs="arial"/>
          <w:i/>
          <w:color w:val="000000"/>
          <w:sz w:val="20"/>
          <w:lang w:val="en-US" w:eastAsia="en-US" w:bidi="ar-SA"/>
        </w:rPr>
        <w:t>Strata Property Act</w:t>
      </w:r>
      <w:r>
        <w:rPr>
          <w:rFonts w:ascii="arial" w:eastAsia="arial" w:hAnsi="arial" w:cs="arial"/>
          <w:color w:val="000000"/>
          <w:sz w:val="20"/>
          <w:lang w:val="en-US" w:eastAsia="en-US" w:bidi="ar-SA"/>
        </w:rPr>
        <w:t xml:space="preserve">, the Regulations to the </w:t>
      </w:r>
      <w:r>
        <w:rPr>
          <w:rFonts w:ascii="arial" w:eastAsia="arial" w:hAnsi="arial" w:cs="arial"/>
          <w:i/>
          <w:color w:val="000000"/>
          <w:sz w:val="20"/>
          <w:lang w:val="en-US" w:eastAsia="en-US" w:bidi="ar-SA"/>
        </w:rPr>
        <w:t>Strata Property Act</w:t>
      </w:r>
      <w:r>
        <w:rPr>
          <w:rFonts w:ascii="arial" w:eastAsia="arial" w:hAnsi="arial" w:cs="arial"/>
          <w:color w:val="000000"/>
          <w:sz w:val="20"/>
          <w:lang w:val="en-US" w:eastAsia="en-US" w:bidi="ar-SA"/>
        </w:rPr>
        <w:t xml:space="preserve">, the Bylaws of the Terra Vita arid the </w:t>
      </w:r>
      <w:r>
        <w:rPr>
          <w:rFonts w:ascii="arial" w:eastAsia="arial" w:hAnsi="arial" w:cs="arial"/>
          <w:i/>
          <w:color w:val="000000"/>
          <w:sz w:val="20"/>
          <w:lang w:val="en-US" w:eastAsia="en-US" w:bidi="ar-SA"/>
        </w:rPr>
        <w:t>Universal Declaration of Human Rights</w:t>
      </w:r>
      <w:r>
        <w:rPr>
          <w:rFonts w:ascii="arial" w:eastAsia="arial" w:hAnsi="arial" w:cs="arial"/>
          <w:color w:val="000000"/>
          <w:sz w:val="20"/>
          <w:lang w:val="en-US" w:eastAsia="en-US" w:bidi="ar-SA"/>
        </w:rPr>
        <w:t xml:space="preserve"> which damages are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xml:space="preserve"> as follows:</w:t>
      </w:r>
    </w:p>
    <w:p>
      <w:pPr>
        <w:numPr>
          <w:numId w:val="27"/>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To suffer the tortious act of nuisance committed by the Defendants, the Nomuras, Flotten, Smith and Ashe, as set out in paragraph 27 of the Statement of Claim herein and damages as set out in paragraph 29 of the Statement of Claim herein.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Paragraphs 16 and 26 of the statement of claim allege that the strata corporation's failure to prevent a misuse of common property resulted in nuisance suffered by the plaintiffs and malicious prosecution suffered by the plaintiff Dennis Reid. These paragraphs state:</w:t>
      </w:r>
      <w:r>
        <w:rPr>
          <w:rFonts w:ascii="arial" w:eastAsia="arial" w:hAnsi="arial" w:cs="arial"/>
          <w:sz w:val="20"/>
          <w:lang w:val="en-US" w:eastAsia="en-US" w:bidi="ar-SA"/>
        </w:rPr>
        <w:cr/>
      </w:r>
    </w:p>
    <w:p>
      <w:pPr>
        <w:numPr>
          <w:numId w:val="2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Defendants, the Nomuras, Flotten, Smith and Ashe, during the course of the Plaintiffs' residency at the Reid Residence, wrongfully and intentionally used the Common Property entryway as a patio for their personal use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xml:space="preserve"> as follows:</w:t>
      </w:r>
    </w:p>
    <w:p>
      <w:pPr>
        <w:numPr>
          <w:numId w:val="29"/>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By placing potted cedar trees and plants in front of the picture windows;</w:t>
      </w:r>
    </w:p>
    <w:p>
      <w:pPr>
        <w:numPr>
          <w:numId w:val="30"/>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By airing out camping equipment;</w:t>
      </w:r>
    </w:p>
    <w:p>
      <w:pPr>
        <w:numPr>
          <w:numId w:val="3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By putting up Halloween and Christmas paraphernalia;</w:t>
      </w:r>
    </w:p>
    <w:p>
      <w:pPr>
        <w:numPr>
          <w:numId w:val="32"/>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For social functions;</w:t>
      </w:r>
    </w:p>
    <w:p>
      <w:pPr>
        <w:numPr>
          <w:numId w:val="33"/>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As a playpen for a pet dog;</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a. platform for stalking the Plaintiffs;</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a. platform for causing nuisance to the Plaintiffs; and</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a platform to invade the Plaintiffs' privacy</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suffered damages and continue to suffer damages as a result of the Defendant, the Owners, Strata Plan LMS 2503's, failure to enforce Court Orders or, alternatively, the directions of the Supreme Court of British Columbia as well as the directions of the British Columbia Court of Appeal, to enforce the </w:t>
      </w:r>
      <w:r>
        <w:rPr>
          <w:rFonts w:ascii="arial" w:eastAsia="arial" w:hAnsi="arial" w:cs="arial"/>
          <w:i/>
          <w:color w:val="000000"/>
          <w:sz w:val="20"/>
          <w:lang w:val="en-US" w:eastAsia="en-US" w:bidi="ar-SA"/>
        </w:rPr>
        <w:t>Strata Property Act</w:t>
      </w:r>
      <w:r>
        <w:rPr>
          <w:rFonts w:ascii="arial" w:eastAsia="arial" w:hAnsi="arial" w:cs="arial"/>
          <w:color w:val="000000"/>
          <w:sz w:val="20"/>
          <w:lang w:val="en-US" w:eastAsia="en-US" w:bidi="ar-SA"/>
        </w:rPr>
        <w:t xml:space="preserve">, the Regulations to the </w:t>
      </w:r>
      <w:r>
        <w:rPr>
          <w:rFonts w:ascii="arial" w:eastAsia="arial" w:hAnsi="arial" w:cs="arial"/>
          <w:i/>
          <w:color w:val="000000"/>
          <w:sz w:val="20"/>
          <w:lang w:val="en-US" w:eastAsia="en-US" w:bidi="ar-SA"/>
        </w:rPr>
        <w:t>Strata Property Act</w:t>
      </w:r>
      <w:r>
        <w:rPr>
          <w:rFonts w:ascii="arial" w:eastAsia="arial" w:hAnsi="arial" w:cs="arial"/>
          <w:color w:val="000000"/>
          <w:sz w:val="20"/>
          <w:lang w:val="en-US" w:eastAsia="en-US" w:bidi="ar-SA"/>
        </w:rPr>
        <w:t xml:space="preserve">, the Bylaws of the Terra Vita arid the </w:t>
      </w:r>
      <w:r>
        <w:rPr>
          <w:rFonts w:ascii="arial" w:eastAsia="arial" w:hAnsi="arial" w:cs="arial"/>
          <w:i/>
          <w:color w:val="000000"/>
          <w:sz w:val="20"/>
          <w:lang w:val="en-US" w:eastAsia="en-US" w:bidi="ar-SA"/>
        </w:rPr>
        <w:t>Universal Declaration of Human Rights</w:t>
      </w:r>
      <w:r>
        <w:rPr>
          <w:rFonts w:ascii="arial" w:eastAsia="arial" w:hAnsi="arial" w:cs="arial"/>
          <w:color w:val="000000"/>
          <w:sz w:val="20"/>
          <w:lang w:val="en-US" w:eastAsia="en-US" w:bidi="ar-SA"/>
        </w:rPr>
        <w:t xml:space="preserve"> which damages are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xml:space="preserve"> as follows:</w:t>
      </w:r>
    </w:p>
    <w:p>
      <w:pPr>
        <w:numPr>
          <w:numId w:val="38"/>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To suffer the tortious act of nuisance committed by the Defendants, the Nomuras, Flotten, Smith and Ashe, as set out in paragraph 27 of the Statement of Claim herein and damages as set out in paragraph 29 of the Statement of Claim herein.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Position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u w:val="single"/>
          <w:lang w:val="en-US" w:eastAsia="en-US" w:bidi="ar-SA"/>
        </w:rPr>
        <w:t>The Strata Corporation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The strata corporation asserts that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in the form of action estoppel, prevents the plaintiff Dennis Reid and his children from litigating this matter. The statement of claim is a repeated or duplicate court proceeding on the same issues brought by Mr. Reid in his petition, unsuccessfully. The strata corporation relies on </w:t>
      </w:r>
      <w:r>
        <w:rPr>
          <w:rFonts w:ascii="arial" w:eastAsia="arial" w:hAnsi="arial" w:cs="arial"/>
          <w:b/>
          <w:i/>
          <w:color w:val="000000"/>
          <w:sz w:val="20"/>
          <w:lang w:val="en-US" w:eastAsia="en-US" w:bidi="ar-SA"/>
        </w:rPr>
        <w:t>Chapman v. Canada; Westwick v. Canada</w:t>
      </w:r>
      <w:r>
        <w:rPr>
          <w:rFonts w:ascii="arial" w:eastAsia="arial" w:hAnsi="arial" w:cs="arial"/>
          <w:color w:val="000000"/>
          <w:sz w:val="20"/>
          <w:lang w:val="en-US" w:eastAsia="en-US" w:bidi="ar-SA"/>
        </w:rPr>
        <w:t xml:space="preserve">, </w:t>
      </w:r>
      <w:hyperlink r:id="rId152" w:history="1">
        <w:r>
          <w:rPr>
            <w:rFonts w:ascii="arial" w:eastAsia="arial" w:hAnsi="arial" w:cs="arial"/>
            <w:i/>
            <w:color w:val="0077CC"/>
            <w:sz w:val="20"/>
            <w:u w:val="single"/>
            <w:shd w:val="clear" w:color="auto" w:fill="FFFFFF"/>
            <w:lang w:val="en-US" w:eastAsia="en-US" w:bidi="ar-SA"/>
          </w:rPr>
          <w:t>[2003] B.C.J. No. 2742</w:t>
        </w:r>
      </w:hyperlink>
      <w:r>
        <w:rPr>
          <w:rFonts w:ascii="arial" w:eastAsia="arial" w:hAnsi="arial" w:cs="arial"/>
          <w:color w:val="000000"/>
          <w:sz w:val="20"/>
          <w:lang w:val="en-US" w:eastAsia="en-US" w:bidi="ar-SA"/>
        </w:rPr>
        <w:t xml:space="preserve">, </w:t>
      </w:r>
      <w:hyperlink r:id="rId152" w:history="1">
        <w:r>
          <w:rPr>
            <w:rFonts w:ascii="arial" w:eastAsia="arial" w:hAnsi="arial" w:cs="arial"/>
            <w:i/>
            <w:color w:val="0077CC"/>
            <w:sz w:val="20"/>
            <w:u w:val="single"/>
            <w:shd w:val="clear" w:color="auto" w:fill="FFFFFF"/>
            <w:lang w:val="en-US" w:eastAsia="en-US" w:bidi="ar-SA"/>
          </w:rPr>
          <w:t>2003 BCCA 665</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Young v. Borzoni</w:t>
      </w:r>
      <w:r>
        <w:rPr>
          <w:rFonts w:ascii="arial" w:eastAsia="arial" w:hAnsi="arial" w:cs="arial"/>
          <w:color w:val="000000"/>
          <w:sz w:val="20"/>
          <w:lang w:val="en-US" w:eastAsia="en-US" w:bidi="ar-SA"/>
        </w:rPr>
        <w:t xml:space="preserve">, </w:t>
      </w:r>
      <w:hyperlink r:id="rId153" w:history="1">
        <w:r>
          <w:rPr>
            <w:rFonts w:ascii="arial" w:eastAsia="arial" w:hAnsi="arial" w:cs="arial"/>
            <w:i/>
            <w:color w:val="0077CC"/>
            <w:sz w:val="20"/>
            <w:u w:val="single"/>
            <w:shd w:val="clear" w:color="auto" w:fill="FFFFFF"/>
            <w:lang w:val="en-US" w:eastAsia="en-US" w:bidi="ar-SA"/>
          </w:rPr>
          <w:t>[2007] B.C.J. No. 105</w:t>
        </w:r>
      </w:hyperlink>
      <w:r>
        <w:rPr>
          <w:rFonts w:ascii="arial" w:eastAsia="arial" w:hAnsi="arial" w:cs="arial"/>
          <w:color w:val="000000"/>
          <w:sz w:val="20"/>
          <w:lang w:val="en-US" w:eastAsia="en-US" w:bidi="ar-SA"/>
        </w:rPr>
        <w:t xml:space="preserve">, </w:t>
      </w:r>
      <w:hyperlink r:id="rId153" w:history="1">
        <w:r>
          <w:rPr>
            <w:rFonts w:ascii="arial" w:eastAsia="arial" w:hAnsi="arial" w:cs="arial"/>
            <w:i/>
            <w:color w:val="0077CC"/>
            <w:sz w:val="20"/>
            <w:u w:val="single"/>
            <w:shd w:val="clear" w:color="auto" w:fill="FFFFFF"/>
            <w:lang w:val="en-US" w:eastAsia="en-US" w:bidi="ar-SA"/>
          </w:rPr>
          <w:t>2007 BCCA 16</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Doering v. Grandview (Town)</w:t>
      </w:r>
      <w:r>
        <w:rPr>
          <w:rFonts w:ascii="arial" w:eastAsia="arial" w:hAnsi="arial" w:cs="arial"/>
          <w:color w:val="000000"/>
          <w:sz w:val="20"/>
          <w:lang w:val="en-US" w:eastAsia="en-US" w:bidi="ar-SA"/>
        </w:rPr>
        <w:t xml:space="preserve">, </w:t>
      </w:r>
      <w:hyperlink r:id="rId154" w:history="1">
        <w:r>
          <w:rPr>
            <w:rFonts w:ascii="arial" w:eastAsia="arial" w:hAnsi="arial" w:cs="arial"/>
            <w:i/>
            <w:color w:val="0077CC"/>
            <w:sz w:val="20"/>
            <w:u w:val="single"/>
            <w:shd w:val="clear" w:color="auto" w:fill="FFFFFF"/>
            <w:lang w:val="en-US" w:eastAsia="en-US" w:bidi="ar-SA"/>
          </w:rPr>
          <w:t>[1976] 2 S.C.R. 621</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Rivet v. British Columbia</w:t>
      </w:r>
      <w:r>
        <w:rPr>
          <w:rFonts w:ascii="arial" w:eastAsia="arial" w:hAnsi="arial" w:cs="arial"/>
          <w:color w:val="000000"/>
          <w:sz w:val="20"/>
          <w:lang w:val="en-US" w:eastAsia="en-US" w:bidi="ar-SA"/>
        </w:rPr>
        <w:t xml:space="preserve">, </w:t>
      </w:r>
      <w:hyperlink r:id="rId155" w:history="1">
        <w:r>
          <w:rPr>
            <w:rFonts w:ascii="arial" w:eastAsia="arial" w:hAnsi="arial" w:cs="arial"/>
            <w:i/>
            <w:color w:val="0077CC"/>
            <w:sz w:val="20"/>
            <w:u w:val="single"/>
            <w:shd w:val="clear" w:color="auto" w:fill="FFFFFF"/>
            <w:lang w:val="en-US" w:eastAsia="en-US" w:bidi="ar-SA"/>
          </w:rPr>
          <w:t>[2007] B.C.J. No. 1085</w:t>
        </w:r>
      </w:hyperlink>
      <w:r>
        <w:rPr>
          <w:rFonts w:ascii="arial" w:eastAsia="arial" w:hAnsi="arial" w:cs="arial"/>
          <w:color w:val="000000"/>
          <w:sz w:val="20"/>
          <w:lang w:val="en-US" w:eastAsia="en-US" w:bidi="ar-SA"/>
        </w:rPr>
        <w:t xml:space="preserve">, </w:t>
      </w:r>
      <w:hyperlink r:id="rId155" w:history="1">
        <w:r>
          <w:rPr>
            <w:rFonts w:ascii="arial" w:eastAsia="arial" w:hAnsi="arial" w:cs="arial"/>
            <w:i/>
            <w:color w:val="0077CC"/>
            <w:sz w:val="20"/>
            <w:u w:val="single"/>
            <w:shd w:val="clear" w:color="auto" w:fill="FFFFFF"/>
            <w:lang w:val="en-US" w:eastAsia="en-US" w:bidi="ar-SA"/>
          </w:rPr>
          <w:t>2007 BCSC 731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The strata corporation says that all the tests for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have been met: there was a final decision of this court, the B.C. Court of Appeal and the Supreme Court of Canada dismissed Mr. Reid's petition; Mr. Reid was a party to the petition and is a party to this litigation and his children are privies for the purposes of determining mutuality; the facts upon which the petition was based are the same facts as the cause of action in this matter, and are not separate and distinct; and the basis of the cause of action in this action could have been argued in the petition if Mr. Reid had exercised reasonable diligence.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The strata corporation further submits that the </w:t>
      </w:r>
      <w:r>
        <w:rPr>
          <w:rFonts w:ascii="arial" w:eastAsia="arial" w:hAnsi="arial" w:cs="arial"/>
          <w:b/>
          <w:i/>
          <w:color w:val="000000"/>
          <w:sz w:val="20"/>
          <w:lang w:val="en-US" w:eastAsia="en-US" w:bidi="ar-SA"/>
        </w:rPr>
        <w:t>Charter</w:t>
      </w:r>
      <w:r>
        <w:rPr>
          <w:rFonts w:ascii="arial" w:eastAsia="arial" w:hAnsi="arial" w:cs="arial"/>
          <w:color w:val="000000"/>
          <w:sz w:val="20"/>
          <w:lang w:val="en-US" w:eastAsia="en-US" w:bidi="ar-SA"/>
        </w:rPr>
        <w:t xml:space="preserve"> does not apply to actions of a strata corporation. The </w:t>
      </w:r>
      <w:r>
        <w:rPr>
          <w:rFonts w:ascii="arial" w:eastAsia="arial" w:hAnsi="arial" w:cs="arial"/>
          <w:i/>
          <w:color w:val="000000"/>
          <w:sz w:val="20"/>
          <w:lang w:val="en-US" w:eastAsia="en-US" w:bidi="ar-SA"/>
        </w:rPr>
        <w:t>Universal Declaration of Human Rights</w:t>
      </w:r>
      <w:r>
        <w:rPr>
          <w:rFonts w:ascii="arial" w:eastAsia="arial" w:hAnsi="arial" w:cs="arial"/>
          <w:color w:val="000000"/>
          <w:sz w:val="20"/>
          <w:lang w:val="en-US" w:eastAsia="en-US" w:bidi="ar-SA"/>
        </w:rPr>
        <w:t xml:space="preserve"> does not have the force of law and specifically does not govern private actions. The </w:t>
      </w:r>
      <w:r>
        <w:rPr>
          <w:rFonts w:ascii="arial" w:eastAsia="arial" w:hAnsi="arial" w:cs="arial"/>
          <w:b/>
          <w:i/>
          <w:color w:val="000000"/>
          <w:sz w:val="20"/>
          <w:lang w:val="en-US" w:eastAsia="en-US" w:bidi="ar-SA"/>
        </w:rPr>
        <w:t>Canadian Bill of Rights</w:t>
      </w:r>
      <w:r>
        <w:rPr>
          <w:rFonts w:ascii="arial" w:eastAsia="arial" w:hAnsi="arial" w:cs="arial"/>
          <w:color w:val="000000"/>
          <w:sz w:val="20"/>
          <w:lang w:val="en-US" w:eastAsia="en-US" w:bidi="ar-SA"/>
        </w:rPr>
        <w:t xml:space="preserve"> refers to matters within the federal jurisdiction. In any event, the plaintiff could have raised and argued these issues in his petition.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Paragraph 17 of the decision of Madam Justice Sinclair-Prowse, which suggests that the strata council should take steps to rectify misuse of the common property if there was misuse, is not a compulsory declaration which can form the basis of a cause of action alleged in the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The strata corporation asserts that the pleadings should be struck pursuant to Rule 19(24) as it discloses no reasonable claim, is unnecessary, scandalous, frivolous or vexatious, it may prejudice, embarrass or delay a fair trial, or it is abuse of the process of the court. The strata corporation relies on </w:t>
      </w:r>
      <w:r>
        <w:rPr>
          <w:rFonts w:ascii="arial" w:eastAsia="arial" w:hAnsi="arial" w:cs="arial"/>
          <w:b/>
          <w:i/>
          <w:color w:val="000000"/>
          <w:sz w:val="20"/>
          <w:lang w:val="en-US" w:eastAsia="en-US" w:bidi="ar-SA"/>
        </w:rPr>
        <w:t>Hunt v. Carey Canada Inc.</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[1990] 2 S.C.R. 959</w:t>
      </w:r>
      <w:r>
        <w:rPr>
          <w:rFonts w:ascii="arial" w:eastAsia="arial" w:hAnsi="arial" w:cs="arial"/>
          <w:color w:val="000000"/>
          <w:sz w:val="20"/>
          <w:lang w:val="en-US" w:eastAsia="en-US" w:bidi="ar-SA"/>
        </w:rPr>
        <w:t xml:space="preserve"> and on </w:t>
      </w:r>
      <w:r>
        <w:rPr>
          <w:rFonts w:ascii="arial" w:eastAsia="arial" w:hAnsi="arial" w:cs="arial"/>
          <w:b/>
          <w:i/>
          <w:color w:val="000000"/>
          <w:sz w:val="20"/>
          <w:lang w:val="en-US" w:eastAsia="en-US" w:bidi="ar-SA"/>
        </w:rPr>
        <w:t>Odhavji Estate v. Woodhouse</w:t>
      </w:r>
      <w:r>
        <w:rPr>
          <w:rFonts w:ascii="arial" w:eastAsia="arial" w:hAnsi="arial" w:cs="arial"/>
          <w:color w:val="000000"/>
          <w:sz w:val="20"/>
          <w:lang w:val="en-US" w:eastAsia="en-US" w:bidi="ar-SA"/>
        </w:rPr>
        <w:t xml:space="preserve">, </w:t>
      </w:r>
      <w:hyperlink r:id="rId156" w:history="1">
        <w:r>
          <w:rPr>
            <w:rFonts w:ascii="arial" w:eastAsia="arial" w:hAnsi="arial" w:cs="arial"/>
            <w:i/>
            <w:color w:val="0077CC"/>
            <w:sz w:val="20"/>
            <w:u w:val="single"/>
            <w:shd w:val="clear" w:color="auto" w:fill="FFFFFF"/>
            <w:lang w:val="en-US" w:eastAsia="en-US" w:bidi="ar-SA"/>
          </w:rPr>
          <w:t>[2003] 3 S.C.R. 263</w:t>
        </w:r>
      </w:hyperlink>
      <w:r>
        <w:rPr>
          <w:rFonts w:ascii="arial" w:eastAsia="arial" w:hAnsi="arial" w:cs="arial"/>
          <w:color w:val="000000"/>
          <w:sz w:val="20"/>
          <w:lang w:val="en-US" w:eastAsia="en-US" w:bidi="ar-SA"/>
        </w:rPr>
        <w:t>. The plaintiffs' claims against the strata corporation for nuisance and malicious prosecution cannot be maintained: the strata corporation is not the agent of the remaining defendants and agency has not been pleaded.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strata corporation argues that the statement of claim constitutes a collateral attack on the order of Madam Justice Sinclair-Prowse dismissing Mr. Reid's petition, and is an 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u w:val="single"/>
          <w:lang w:val="en-US" w:eastAsia="en-US" w:bidi="ar-SA"/>
        </w:rPr>
        <w:t>Plaintiffs'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The plaintiffs emphasize that the 2001 petition sought an injunction whereas their statement of claim seeks damages. They assert that Madam Justice Sinclair-Prowse made a factual finding that none of the uses complained of by Dennis Reid were authorized by the strata council. As a consequence, if there is continued unauthorized use of the common area and the strata corporation does not step in to rectify that unauthorized use, the plaintiffs are entitled to go to court and allege a breach of the </w:t>
      </w:r>
      <w:r>
        <w:rPr>
          <w:rFonts w:ascii="arial" w:eastAsia="arial" w:hAnsi="arial" w:cs="arial"/>
          <w:b/>
          <w:i/>
          <w:color w:val="000000"/>
          <w:sz w:val="20"/>
          <w:lang w:val="en-US" w:eastAsia="en-US" w:bidi="ar-SA"/>
        </w:rPr>
        <w:t>Strata Property Act</w:t>
      </w:r>
      <w:r>
        <w:rPr>
          <w:rFonts w:ascii="arial" w:eastAsia="arial" w:hAnsi="arial" w:cs="arial"/>
          <w:color w:val="000000"/>
          <w:sz w:val="20"/>
          <w:lang w:val="en-US" w:eastAsia="en-US" w:bidi="ar-SA"/>
        </w:rPr>
        <w:t xml:space="preserve"> or to seek the court's direction to the strata corporation to rectify the misuse.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 plaintiffs argue that the </w:t>
      </w:r>
      <w:r>
        <w:rPr>
          <w:rFonts w:ascii="arial" w:eastAsia="arial" w:hAnsi="arial" w:cs="arial"/>
          <w:b/>
          <w:i/>
          <w:color w:val="000000"/>
          <w:sz w:val="20"/>
          <w:lang w:val="en-US" w:eastAsia="en-US" w:bidi="ar-SA"/>
        </w:rPr>
        <w:t>Charter</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Universal Declaration of Human Rights</w:t>
      </w:r>
      <w:r>
        <w:rPr>
          <w:rFonts w:ascii="arial" w:eastAsia="arial" w:hAnsi="arial" w:cs="arial"/>
          <w:color w:val="000000"/>
          <w:sz w:val="20"/>
          <w:lang w:val="en-US" w:eastAsia="en-US" w:bidi="ar-SA"/>
        </w:rPr>
        <w:t xml:space="preserve"> and the </w:t>
      </w:r>
      <w:r>
        <w:rPr>
          <w:rFonts w:ascii="arial" w:eastAsia="arial" w:hAnsi="arial" w:cs="arial"/>
          <w:b/>
          <w:i/>
          <w:color w:val="000000"/>
          <w:sz w:val="20"/>
          <w:lang w:val="en-US" w:eastAsia="en-US" w:bidi="ar-SA"/>
        </w:rPr>
        <w:t>Canadian Bill of Rights</w:t>
      </w:r>
      <w:r>
        <w:rPr>
          <w:rFonts w:ascii="arial" w:eastAsia="arial" w:hAnsi="arial" w:cs="arial"/>
          <w:color w:val="000000"/>
          <w:sz w:val="20"/>
          <w:lang w:val="en-US" w:eastAsia="en-US" w:bidi="ar-SA"/>
        </w:rPr>
        <w:t xml:space="preserve"> have application in this matter. They assert that the defendant strata corporation has breached s. 7 of the </w:t>
      </w:r>
      <w:r>
        <w:rPr>
          <w:rFonts w:ascii="arial" w:eastAsia="arial" w:hAnsi="arial" w:cs="arial"/>
          <w:b/>
          <w:i/>
          <w:color w:val="000000"/>
          <w:sz w:val="20"/>
          <w:lang w:val="en-US" w:eastAsia="en-US" w:bidi="ar-SA"/>
        </w:rPr>
        <w:t>Charter</w:t>
      </w:r>
      <w:r>
        <w:rPr>
          <w:rFonts w:ascii="arial" w:eastAsia="arial" w:hAnsi="arial" w:cs="arial"/>
          <w:color w:val="000000"/>
          <w:sz w:val="20"/>
          <w:lang w:val="en-US" w:eastAsia="en-US" w:bidi="ar-SA"/>
        </w:rPr>
        <w:t xml:space="preserve"> which provides: "everyone has the right to life, liberty and security of the person and the right not to be deprived thereof except in accordance with the principles of fundamental justice"; article 12 of the </w:t>
      </w:r>
      <w:r>
        <w:rPr>
          <w:rFonts w:ascii="arial" w:eastAsia="arial" w:hAnsi="arial" w:cs="arial"/>
          <w:i/>
          <w:color w:val="000000"/>
          <w:sz w:val="20"/>
          <w:lang w:val="en-US" w:eastAsia="en-US" w:bidi="ar-SA"/>
        </w:rPr>
        <w:t>Universal Declaration of Human Rights</w:t>
      </w:r>
      <w:r>
        <w:rPr>
          <w:rFonts w:ascii="arial" w:eastAsia="arial" w:hAnsi="arial" w:cs="arial"/>
          <w:color w:val="000000"/>
          <w:sz w:val="20"/>
          <w:lang w:val="en-US" w:eastAsia="en-US" w:bidi="ar-SA"/>
        </w:rPr>
        <w:t xml:space="preserve"> which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 one shall be subjected to arbitrary inferences with his privacy, family, home or correspondence, nor to attacks on his honour or reputation. Everyone has the right to protection of the law against such interference or attacks;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and s. 1(a) of the </w:t>
      </w:r>
      <w:r>
        <w:rPr>
          <w:rFonts w:ascii="arial" w:eastAsia="arial" w:hAnsi="arial" w:cs="arial"/>
          <w:b/>
          <w:i/>
          <w:color w:val="000000"/>
          <w:sz w:val="20"/>
          <w:lang w:val="en-US" w:eastAsia="en-US" w:bidi="ar-SA"/>
        </w:rPr>
        <w:t>Canadian Bill of Rights</w:t>
      </w:r>
      <w:r>
        <w:rPr>
          <w:rFonts w:ascii="arial" w:eastAsia="arial" w:hAnsi="arial" w:cs="arial"/>
          <w:color w:val="000000"/>
          <w:sz w:val="20"/>
          <w:lang w:val="en-US" w:eastAsia="en-US" w:bidi="ar-SA"/>
        </w:rPr>
        <w:t xml:space="preserve"> which guarantees the right of the individual to life, liberty and security of the person and the enjoyment of property, and the right not to be deprived thereof, except by due process of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In respect of the application of the </w:t>
      </w:r>
      <w:r>
        <w:rPr>
          <w:rFonts w:ascii="arial" w:eastAsia="arial" w:hAnsi="arial" w:cs="arial"/>
          <w:b/>
          <w:i/>
          <w:color w:val="000000"/>
          <w:sz w:val="20"/>
          <w:lang w:val="en-US" w:eastAsia="en-US" w:bidi="ar-SA"/>
        </w:rPr>
        <w:t>Charter</w:t>
      </w:r>
      <w:r>
        <w:rPr>
          <w:rFonts w:ascii="arial" w:eastAsia="arial" w:hAnsi="arial" w:cs="arial"/>
          <w:color w:val="000000"/>
          <w:sz w:val="20"/>
          <w:lang w:val="en-US" w:eastAsia="en-US" w:bidi="ar-SA"/>
        </w:rPr>
        <w:t xml:space="preserve">, the plaintiffs argue that the strata corporation is "at the least a hybrid public authority and is not absolutely disabled from having convention rights and obligations". In that regard they refer to </w:t>
      </w:r>
      <w:r>
        <w:rPr>
          <w:rFonts w:ascii="arial" w:eastAsia="arial" w:hAnsi="arial" w:cs="arial"/>
          <w:b/>
          <w:i/>
          <w:color w:val="000000"/>
          <w:sz w:val="20"/>
          <w:lang w:val="en-US" w:eastAsia="en-US" w:bidi="ar-SA"/>
        </w:rPr>
        <w:t>Parochial Church Council of the Parish of Aston Cantlow and Wilmcote with Billesley, Warwickshire v. Wallbank and Another</w:t>
      </w:r>
      <w:r>
        <w:rPr>
          <w:rFonts w:ascii="arial" w:eastAsia="arial" w:hAnsi="arial" w:cs="arial"/>
          <w:color w:val="000000"/>
          <w:sz w:val="20"/>
          <w:lang w:val="en-US" w:eastAsia="en-US" w:bidi="ar-SA"/>
        </w:rPr>
        <w:t xml:space="preserve">, [2003] UKHL 37; </w:t>
      </w:r>
      <w:r>
        <w:rPr>
          <w:rFonts w:ascii="arial" w:eastAsia="arial" w:hAnsi="arial" w:cs="arial"/>
          <w:b/>
          <w:i/>
          <w:color w:val="000000"/>
          <w:sz w:val="20"/>
          <w:lang w:val="en-US" w:eastAsia="en-US" w:bidi="ar-SA"/>
        </w:rPr>
        <w:t>R. (on the Application of Alconbury Developments Ltd) v. Secretary of State for the Environment, Transport and the Regions</w:t>
      </w:r>
      <w:r>
        <w:rPr>
          <w:rFonts w:ascii="arial" w:eastAsia="arial" w:hAnsi="arial" w:cs="arial"/>
          <w:color w:val="000000"/>
          <w:sz w:val="20"/>
          <w:lang w:val="en-US" w:eastAsia="en-US" w:bidi="ar-SA"/>
        </w:rPr>
        <w:t>, [2001] UKHL 23</w:t>
      </w:r>
      <w:r>
        <w:rPr>
          <w:rFonts w:ascii="arial" w:eastAsia="arial" w:hAnsi="arial" w:cs="arial"/>
          <w:b/>
          <w:i/>
          <w:color w:val="000000"/>
          <w:sz w:val="20"/>
          <w:lang w:val="en-US" w:eastAsia="en-US" w:bidi="ar-SA"/>
        </w:rPr>
        <w:t>.</w:t>
      </w:r>
      <w:r>
        <w:rPr>
          <w:rFonts w:ascii="arial" w:eastAsia="arial" w:hAnsi="arial" w:cs="arial"/>
          <w:color w:val="000000"/>
          <w:sz w:val="20"/>
          <w:lang w:val="en-US" w:eastAsia="en-US" w:bidi="ar-SA"/>
        </w:rPr>
        <w:t xml:space="preserve"> They also rely on the decision of the Supreme Court of Canada in </w:t>
      </w:r>
      <w:r>
        <w:rPr>
          <w:rFonts w:ascii="arial" w:eastAsia="arial" w:hAnsi="arial" w:cs="arial"/>
          <w:b/>
          <w:i/>
          <w:color w:val="000000"/>
          <w:sz w:val="20"/>
          <w:lang w:val="en-US" w:eastAsia="en-US" w:bidi="ar-SA"/>
        </w:rPr>
        <w:t>Godbout v. Longueuil (City)</w:t>
      </w:r>
      <w:r>
        <w:rPr>
          <w:rFonts w:ascii="arial" w:eastAsia="arial" w:hAnsi="arial" w:cs="arial"/>
          <w:color w:val="000000"/>
          <w:sz w:val="20"/>
          <w:lang w:val="en-US" w:eastAsia="en-US" w:bidi="ar-SA"/>
        </w:rPr>
        <w:t xml:space="preserve">, </w:t>
      </w:r>
      <w:hyperlink r:id="rId157" w:history="1">
        <w:r>
          <w:rPr>
            <w:rFonts w:ascii="arial" w:eastAsia="arial" w:hAnsi="arial" w:cs="arial"/>
            <w:i/>
            <w:color w:val="0077CC"/>
            <w:sz w:val="20"/>
            <w:u w:val="single"/>
            <w:shd w:val="clear" w:color="auto" w:fill="FFFFFF"/>
            <w:lang w:val="en-US" w:eastAsia="en-US" w:bidi="ar-SA"/>
          </w:rPr>
          <w:t>[1997] 3 S.C.R. 844</w:t>
        </w:r>
      </w:hyperlink>
      <w:r>
        <w:rPr>
          <w:rFonts w:ascii="arial" w:eastAsia="arial" w:hAnsi="arial" w:cs="arial"/>
          <w:color w:val="000000"/>
          <w:sz w:val="20"/>
          <w:lang w:val="en-US" w:eastAsia="en-US" w:bidi="ar-SA"/>
        </w:rPr>
        <w:t xml:space="preserve"> as authority for the argument that the </w:t>
      </w:r>
      <w:r>
        <w:rPr>
          <w:rFonts w:ascii="arial" w:eastAsia="arial" w:hAnsi="arial" w:cs="arial"/>
          <w:b/>
          <w:i/>
          <w:color w:val="000000"/>
          <w:sz w:val="20"/>
          <w:lang w:val="en-US" w:eastAsia="en-US" w:bidi="ar-SA"/>
        </w:rPr>
        <w:t>Charter</w:t>
      </w:r>
      <w:r>
        <w:rPr>
          <w:rFonts w:ascii="arial" w:eastAsia="arial" w:hAnsi="arial" w:cs="arial"/>
          <w:color w:val="000000"/>
          <w:sz w:val="20"/>
          <w:lang w:val="en-US" w:eastAsia="en-US" w:bidi="ar-SA"/>
        </w:rPr>
        <w:t xml:space="preserve"> clearly applies to provincial legislatures and governments, and therefore it must also apply to entities upon which they confer governmental powers within their authority.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The plaintiffs assert that the issues of nuisance and malicious prosecution arise from the strata corporation's inability or refusal to manage the common property of the condominium in accordance with the </w:t>
      </w:r>
      <w:r>
        <w:rPr>
          <w:rFonts w:ascii="arial" w:eastAsia="arial" w:hAnsi="arial" w:cs="arial"/>
          <w:b/>
          <w:i/>
          <w:color w:val="000000"/>
          <w:sz w:val="20"/>
          <w:lang w:val="en-US" w:eastAsia="en-US" w:bidi="ar-SA"/>
        </w:rPr>
        <w:t>Strata Property Act</w:t>
      </w:r>
      <w:r>
        <w:rPr>
          <w:rFonts w:ascii="arial" w:eastAsia="arial" w:hAnsi="arial" w:cs="arial"/>
          <w:color w:val="000000"/>
          <w:sz w:val="20"/>
          <w:lang w:val="en-US" w:eastAsia="en-US" w:bidi="ar-SA"/>
        </w:rPr>
        <w:t xml:space="preserve"> and the </w:t>
      </w:r>
      <w:r>
        <w:rPr>
          <w:rFonts w:ascii="arial" w:eastAsia="arial" w:hAnsi="arial" w:cs="arial"/>
          <w:b/>
          <w:i/>
          <w:color w:val="000000"/>
          <w:sz w:val="20"/>
          <w:lang w:val="en-US" w:eastAsia="en-US" w:bidi="ar-SA"/>
        </w:rPr>
        <w:t>Strata Property Regulation</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Finally, the plaintiffs argue that the strata corporation has not met the stringent test required to dismiss a claim under Rule 19: </w:t>
      </w:r>
      <w:r>
        <w:rPr>
          <w:rFonts w:ascii="arial" w:eastAsia="arial" w:hAnsi="arial" w:cs="arial"/>
          <w:b/>
          <w:i/>
          <w:color w:val="000000"/>
          <w:sz w:val="20"/>
          <w:lang w:val="en-US" w:eastAsia="en-US" w:bidi="ar-SA"/>
        </w:rPr>
        <w:t>Odhavji Estate v. Woodhouse</w:t>
      </w:r>
      <w:r>
        <w:rPr>
          <w:rFonts w:ascii="arial" w:eastAsia="arial" w:hAnsi="arial" w:cs="arial"/>
          <w:color w:val="000000"/>
          <w:sz w:val="20"/>
          <w:lang w:val="en-US" w:eastAsia="en-US" w:bidi="ar-SA"/>
        </w:rPr>
        <w:t>. It is not "plain and obvious" that the plaintiffs' action must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I will address all the arguments made by the strata corporation, although, based on the reasons which follow, I find that the plaintiffs' case against the defendant strata corporation is barred by the doctrine of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It is important, in my view, that the plaintiffs appreciate that I have considered all of their various claims and give reasons why none disclose a reasonable cause of action and why it is "plain and obvious" that the plaintiffs' action must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u w:val="single"/>
          <w:lang w:val="en-US" w:eastAsia="en-US" w:bidi="ar-SA"/>
        </w:rPr>
        <w:t>Res Judicata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Chapman v. Canada; Westwick v. Canada</w:t>
      </w:r>
      <w:r>
        <w:rPr>
          <w:rFonts w:ascii="arial" w:eastAsia="arial" w:hAnsi="arial" w:cs="arial"/>
          <w:color w:val="000000"/>
          <w:sz w:val="20"/>
          <w:lang w:val="en-US" w:eastAsia="en-US" w:bidi="ar-SA"/>
        </w:rPr>
        <w:t xml:space="preserve">, the B.C. Court of Appeal summarized the history of the principle of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and referred to a passage from </w:t>
      </w:r>
      <w:r>
        <w:rPr>
          <w:rFonts w:ascii="arial" w:eastAsia="arial" w:hAnsi="arial" w:cs="arial"/>
          <w:b/>
          <w:i/>
          <w:color w:val="000000"/>
          <w:sz w:val="20"/>
          <w:lang w:val="en-US" w:eastAsia="en-US" w:bidi="ar-SA"/>
        </w:rPr>
        <w:t>Henderson v. Henderson</w:t>
      </w:r>
      <w:r>
        <w:rPr>
          <w:rFonts w:ascii="arial" w:eastAsia="arial" w:hAnsi="arial" w:cs="arial"/>
          <w:color w:val="000000"/>
          <w:sz w:val="20"/>
          <w:lang w:val="en-US" w:eastAsia="en-US" w:bidi="ar-SA"/>
        </w:rPr>
        <w:t xml:space="preserve"> (1843), 3 Hare 100 at 114-115, 67 E.R. 313 at 319: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where a given matter becomes a subject of litigation in, and of adjudication by, a court of competent jurisdiction, the court requires the parties to that litigation to bring forward their whole case and will not (except under special circumstances) permit the same parties to open the same subject of litigation in respect of a matter which might have been brought forward as part of the subject in contest, but which was not brought forward, only because they have, from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inadvertence, or even accident, omitted part of their case. The plea of res judicata applies, except in special cases, not only to points upon which the court was actually required by the parties to form an opinion and pronounce a judgment, but to every point which properly belonged to the subject of litigation, and which the parties, exercising reasonable diligence, might have brought forward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The court applied the principle in upholding the trial judge's decision to dismiss the plaintiff's action. Similar decisions have been reached in the recent decisions of </w:t>
      </w:r>
      <w:r>
        <w:rPr>
          <w:rFonts w:ascii="arial" w:eastAsia="arial" w:hAnsi="arial" w:cs="arial"/>
          <w:b/>
          <w:i/>
          <w:color w:val="000000"/>
          <w:sz w:val="20"/>
          <w:lang w:val="en-US" w:eastAsia="en-US" w:bidi="ar-SA"/>
        </w:rPr>
        <w:t>Young v. Borzoni</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Rivet v. British Columbia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At para. 79 in </w:t>
      </w:r>
      <w:r>
        <w:rPr>
          <w:rFonts w:ascii="arial" w:eastAsia="arial" w:hAnsi="arial" w:cs="arial"/>
          <w:b/>
          <w:i/>
          <w:color w:val="000000"/>
          <w:sz w:val="20"/>
          <w:lang w:val="en-US" w:eastAsia="en-US" w:bidi="ar-SA"/>
        </w:rPr>
        <w:t>Rivet</w:t>
      </w:r>
      <w:r>
        <w:rPr>
          <w:rFonts w:ascii="arial" w:eastAsia="arial" w:hAnsi="arial" w:cs="arial"/>
          <w:color w:val="000000"/>
          <w:sz w:val="20"/>
          <w:lang w:val="en-US" w:eastAsia="en-US" w:bidi="ar-SA"/>
        </w:rPr>
        <w:t xml:space="preserve">, Arnold-Bailey J., relying on </w:t>
      </w:r>
      <w:r>
        <w:rPr>
          <w:rFonts w:ascii="arial" w:eastAsia="arial" w:hAnsi="arial" w:cs="arial"/>
          <w:b/>
          <w:i/>
          <w:color w:val="000000"/>
          <w:sz w:val="20"/>
          <w:lang w:val="en-US" w:eastAsia="en-US" w:bidi="ar-SA"/>
        </w:rPr>
        <w:t>Doering v. Grandview (Town)</w:t>
      </w:r>
      <w:r>
        <w:rPr>
          <w:rFonts w:ascii="arial" w:eastAsia="arial" w:hAnsi="arial" w:cs="arial"/>
          <w:color w:val="000000"/>
          <w:sz w:val="20"/>
          <w:lang w:val="en-US" w:eastAsia="en-US" w:bidi="ar-SA"/>
        </w:rPr>
        <w:t>, identifies four criteria that must be present for the doctrine of action estoppel to apply:</w:t>
      </w:r>
      <w:r>
        <w:rPr>
          <w:rFonts w:ascii="arial" w:eastAsia="arial" w:hAnsi="arial" w:cs="arial"/>
          <w:sz w:val="20"/>
          <w:lang w:val="en-US" w:eastAsia="en-US" w:bidi="ar-SA"/>
        </w:rPr>
        <w:cr/>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must be a final decision of a court of competent jurisdiction in the prior action;</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parties to the subsequent litigation must have been parties to or in privy with the parties to the prior action (</w:t>
      </w:r>
      <w:r>
        <w:rPr>
          <w:rFonts w:ascii="arial" w:eastAsia="arial" w:hAnsi="arial" w:cs="arial"/>
          <w:i/>
          <w:color w:val="000000"/>
          <w:sz w:val="20"/>
          <w:lang w:val="en-US" w:eastAsia="en-US" w:bidi="ar-SA"/>
        </w:rPr>
        <w:t>mutuality)</w:t>
      </w:r>
      <w:r>
        <w:rPr>
          <w:rFonts w:ascii="arial" w:eastAsia="arial" w:hAnsi="arial" w:cs="arial"/>
          <w:color w:val="000000"/>
          <w:sz w:val="20"/>
          <w:lang w:val="en-US" w:eastAsia="en-US" w:bidi="ar-SA"/>
        </w:rPr>
        <w:t>;</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cause of action in the prior action must not be separate and distinct; and</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basis of the cause of action and the subsequent action was argued or could have been argued in the prior action if the parties had exercised reasonable diligence.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Applying those criteria to the 2001 petition and the statement of claim, in relation to those claims against the strata corporation only, I find as follows:</w:t>
      </w:r>
      <w:r>
        <w:rPr>
          <w:rFonts w:ascii="arial" w:eastAsia="arial" w:hAnsi="arial" w:cs="arial"/>
          <w:sz w:val="20"/>
          <w:lang w:val="en-US" w:eastAsia="en-US" w:bidi="ar-SA"/>
        </w:rPr>
        <w:cr/>
      </w:r>
    </w:p>
    <w:p>
      <w:pPr>
        <w:numPr>
          <w:numId w:val="40"/>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was a final decision of a court of competent jurisdiction in respect of the 2001 petition. The petition was dismissed by the BC Supreme Court, and the plaintiff Reid's appeal of that decision was dismissed by the Court of Appeal. Leave to appeal to the Supreme Court of Canada was denied.</w:t>
      </w:r>
    </w:p>
    <w:p>
      <w:pPr>
        <w:numPr>
          <w:numId w:val="40"/>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Reid was a party to the 2001 petition and is a party to this litigation. His children were privy to the prior action. A "privy" is defined by Black's Law Dictionary, 8th Edition, 2004 as: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in the context of litigation ... it includes someone who controls a lawsuit though not a party to it, someone whose interests are represented by a party to the lawsuit; and a successor in interest to anyone having a derivative claim.</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 this litigation, Mr. Reid is acting as a litigation guardian for the other two plaintiffs who are his children; the children's interests in this dispute were represented by Mr. Reid in the original petition; had Mr. Reid's 2001 petition been successful, the children would have benefited from that; Mr. Reid could have included his children as parties to the 2001 petition, but chose not to; and the children's rights and interests are derived from the plaintiff Reid's ownership of the strata lot.</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find that the cause of action raised in the 2001 petition is not separate and distinct from the cause of action pled in the statement of claim. The petition sought a variety of relief including orders directing the strata corporation not to permit placement of any items on common property in the future; enforcement of the provisions of the </w:t>
      </w:r>
      <w:r>
        <w:rPr>
          <w:rFonts w:ascii="arial" w:eastAsia="arial" w:hAnsi="arial" w:cs="arial"/>
          <w:b/>
          <w:i/>
          <w:color w:val="000000"/>
          <w:sz w:val="20"/>
          <w:lang w:val="en-US" w:eastAsia="en-US" w:bidi="ar-SA"/>
        </w:rPr>
        <w:t>Strata Property Act</w:t>
      </w:r>
      <w:r>
        <w:rPr>
          <w:rFonts w:ascii="arial" w:eastAsia="arial" w:hAnsi="arial" w:cs="arial"/>
          <w:color w:val="000000"/>
          <w:sz w:val="20"/>
          <w:lang w:val="en-US" w:eastAsia="en-US" w:bidi="ar-SA"/>
        </w:rPr>
        <w:t>, regulations and the strata corporation's by-laws and rules; and an order that the strata corporation stop permitting owners to place items on common property. That is the same cause of action referred to in paragraphs 16, 19, 21, 22, 23, and 26 where the plaintiffs allege that the strata corporation has intentionally, negligently and/or wrongfully failed to rectify the misuse of common property.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distinction which the plaintiffs make, that the petition sought an injunction whereas this action seeks damages, is not sufficiently separate and distinct. The matters about which the plaintiffs complain in the petition are the same matters which the plaintiffs complain about in this statement of claim. Mr. Reid chose to proceed to court in 2001 by petition seeking an injunction and other declaratory relief against the strata corporation's action or inaction regarding the common property. The plaintiff could have proceeded to court by filing a writ of summons and statement of claim and sought an interlocutory injunction as part of his claim for relief. The fact that the plaintiff Reid sought to pursue the matter by petition in 2001 and by statement of claim in 2006 does not mean that the cause of action in the petition and the statement of claim are sufficiently separate and distinct.</w:t>
      </w:r>
    </w:p>
    <w:p>
      <w:pPr>
        <w:numPr>
          <w:numId w:val="4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Mr. Reid could have argued his current allegations of nuisance as well as his claims for breaches of the </w:t>
      </w:r>
      <w:r>
        <w:rPr>
          <w:rFonts w:ascii="arial" w:eastAsia="arial" w:hAnsi="arial" w:cs="arial"/>
          <w:b/>
          <w:i/>
          <w:color w:val="000000"/>
          <w:sz w:val="20"/>
          <w:lang w:val="en-US" w:eastAsia="en-US" w:bidi="ar-SA"/>
        </w:rPr>
        <w:t>Charter</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Universal Declaration of Human Rights</w:t>
      </w:r>
      <w:r>
        <w:rPr>
          <w:rFonts w:ascii="arial" w:eastAsia="arial" w:hAnsi="arial" w:cs="arial"/>
          <w:color w:val="000000"/>
          <w:sz w:val="20"/>
          <w:lang w:val="en-US" w:eastAsia="en-US" w:bidi="ar-SA"/>
        </w:rPr>
        <w:t xml:space="preserve"> and the </w:t>
      </w:r>
      <w:r>
        <w:rPr>
          <w:rFonts w:ascii="arial" w:eastAsia="arial" w:hAnsi="arial" w:cs="arial"/>
          <w:b/>
          <w:i/>
          <w:color w:val="000000"/>
          <w:sz w:val="20"/>
          <w:lang w:val="en-US" w:eastAsia="en-US" w:bidi="ar-SA"/>
        </w:rPr>
        <w:t>Canadian Bill of Rights</w:t>
      </w:r>
      <w:r>
        <w:rPr>
          <w:rFonts w:ascii="arial" w:eastAsia="arial" w:hAnsi="arial" w:cs="arial"/>
          <w:color w:val="000000"/>
          <w:sz w:val="20"/>
          <w:lang w:val="en-US" w:eastAsia="en-US" w:bidi="ar-SA"/>
        </w:rPr>
        <w:t xml:space="preserve"> in 2001 if he had chosen to or if he had exercised reasonable diligence.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For the reasons given, the four criteria which must be established for the doctrine of action estoppel to apply have been met. The claims against the strata corporation are dismissed as </w:t>
      </w:r>
      <w:r>
        <w:rPr>
          <w:rFonts w:ascii="arial" w:eastAsia="arial" w:hAnsi="arial" w:cs="arial"/>
          <w:i/>
          <w:color w:val="000000"/>
          <w:sz w:val="20"/>
          <w:lang w:val="en-US" w:eastAsia="en-US" w:bidi="ar-SA"/>
        </w:rPr>
        <w:t>res judicata.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u w:val="single"/>
          <w:lang w:val="en-US" w:eastAsia="en-US" w:bidi="ar-SA"/>
        </w:rPr>
        <w:t>Claims of Nuisance and Malicious Prosecution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plaintiffs' claims of nuisance and malicious prosecution referred to in para.27 to para.42 of the statement of claim appear to be directed to the defendants other than the strata corporation, although that is not sufficiently clarified in the pleadings. The claims are made against all of the "defendants", although they do not disclose a factual basis for including the strata corporation.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As the strata corporation asserts, it is not the agent of the owner, nor has agency been pleaded. I agree that those omissions are fatal in respect of the plaintiffs' claim against the strata corporation.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It may be that these causes of action are directed against the defendants other than the strata corporation; nonetheless, I will address them in order that my decision is clear. The plaintiffs' claims in nuisance and malicious prosecution against the strata corporation do not disclose the cause of action against it and those claims are therefore dismissed as against the strata corporation.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u w:val="single"/>
          <w:lang w:val="en-US" w:eastAsia="en-US" w:bidi="ar-SA"/>
        </w:rPr>
        <w:t>Previous "Orders" of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plaintiffs argue that a cause of action arises from the strata corporation's failure to comply with the order of Madam Justice Sinclair-Prowse in respect of correcting misuses on the common property. While the plaintiff sought, in his petition, certain orders from the court in respect of the strata corporation's taking steps to rectify a misuse of common property, no such order was made by the court. The reference in para.17 of the Reasons for Judgment of Madam Justice Sinclair-Prowse is not an order, nor is it a compulsory direction.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Furthermore, the petition specifically sought an order from the court "regulating the conduct of the [strata corporation's] future affairs" by permanently prohibiting it from permitting certain use of the common property. That order was not granted either.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Court of Appeal confirmed in its judgment that the evidence before the chambers judge was inconclusive about the use of the common property, and therefore that she could not grant the relief the petitioner sought.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Court of Appeal refused to order the strata council to force Ms. Flotten and the Nomuras to remove non-authorized items from the common property (at para.30).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There is no independent cause of action arising from the comments made by the chambers judge who heard the 2001 petition. This addresses the purported claims in para.18, 20 and 26. Those paragraphs are struck, as against the defendant strata corporation.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u w:val="single"/>
          <w:lang w:val="en-US" w:eastAsia="en-US" w:bidi="ar-SA"/>
        </w:rPr>
        <w:t>Application of the Charter, Universal Declaration of Human Rights, and the Canadian Bill of Rights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I agree with the strata corporation that none of the provisions in these acts, nor the provision in the </w:t>
      </w:r>
      <w:r>
        <w:rPr>
          <w:rFonts w:ascii="arial" w:eastAsia="arial" w:hAnsi="arial" w:cs="arial"/>
          <w:i/>
          <w:color w:val="000000"/>
          <w:sz w:val="20"/>
          <w:lang w:val="en-US" w:eastAsia="en-US" w:bidi="ar-SA"/>
        </w:rPr>
        <w:t>Universal Declaration of Human Rights</w:t>
      </w:r>
      <w:r>
        <w:rPr>
          <w:rFonts w:ascii="arial" w:eastAsia="arial" w:hAnsi="arial" w:cs="arial"/>
          <w:color w:val="000000"/>
          <w:sz w:val="20"/>
          <w:lang w:val="en-US" w:eastAsia="en-US" w:bidi="ar-SA"/>
        </w:rPr>
        <w:t xml:space="preserve">, discloses a reasonable cause of action. Clearly, the </w:t>
      </w:r>
      <w:r>
        <w:rPr>
          <w:rFonts w:ascii="arial" w:eastAsia="arial" w:hAnsi="arial" w:cs="arial"/>
          <w:b/>
          <w:i/>
          <w:color w:val="000000"/>
          <w:sz w:val="20"/>
          <w:lang w:val="en-US" w:eastAsia="en-US" w:bidi="ar-SA"/>
        </w:rPr>
        <w:t>Canadian Bill of Rights</w:t>
      </w:r>
      <w:r>
        <w:rPr>
          <w:rFonts w:ascii="arial" w:eastAsia="arial" w:hAnsi="arial" w:cs="arial"/>
          <w:color w:val="000000"/>
          <w:sz w:val="20"/>
          <w:lang w:val="en-US" w:eastAsia="en-US" w:bidi="ar-SA"/>
        </w:rPr>
        <w:t xml:space="preserve"> does not apply, as its application is limited to matters within the federal jurisdiction. The </w:t>
      </w:r>
      <w:r>
        <w:rPr>
          <w:rFonts w:ascii="arial" w:eastAsia="arial" w:hAnsi="arial" w:cs="arial"/>
          <w:i/>
          <w:color w:val="000000"/>
          <w:sz w:val="20"/>
          <w:lang w:val="en-US" w:eastAsia="en-US" w:bidi="ar-SA"/>
        </w:rPr>
        <w:t>Universal Declaration of Human Rights</w:t>
      </w:r>
      <w:r>
        <w:rPr>
          <w:rFonts w:ascii="arial" w:eastAsia="arial" w:hAnsi="arial" w:cs="arial"/>
          <w:color w:val="000000"/>
          <w:sz w:val="20"/>
          <w:lang w:val="en-US" w:eastAsia="en-US" w:bidi="ar-SA"/>
        </w:rPr>
        <w:t xml:space="preserve"> does not create a cause of action for the plaintiffs and no authority was provided for such an assertion. Finally, the </w:t>
      </w:r>
      <w:r>
        <w:rPr>
          <w:rFonts w:ascii="arial" w:eastAsia="arial" w:hAnsi="arial" w:cs="arial"/>
          <w:b/>
          <w:i/>
          <w:color w:val="000000"/>
          <w:sz w:val="20"/>
          <w:lang w:val="en-US" w:eastAsia="en-US" w:bidi="ar-SA"/>
        </w:rPr>
        <w:t>Charter</w:t>
      </w:r>
      <w:r>
        <w:rPr>
          <w:rFonts w:ascii="arial" w:eastAsia="arial" w:hAnsi="arial" w:cs="arial"/>
          <w:color w:val="000000"/>
          <w:sz w:val="20"/>
          <w:lang w:val="en-US" w:eastAsia="en-US" w:bidi="ar-SA"/>
        </w:rPr>
        <w:t xml:space="preserve"> does not apply to the resolution and by-laws of the strata corporation: </w:t>
      </w:r>
      <w:r>
        <w:rPr>
          <w:rFonts w:ascii="arial" w:eastAsia="arial" w:hAnsi="arial" w:cs="arial"/>
          <w:b/>
          <w:i/>
          <w:color w:val="000000"/>
          <w:sz w:val="20"/>
          <w:lang w:val="en-US" w:eastAsia="en-US" w:bidi="ar-SA"/>
        </w:rPr>
        <w:t>Condominium Plan No. 9310520 v. Smith</w:t>
      </w:r>
      <w:r>
        <w:rPr>
          <w:rFonts w:ascii="arial" w:eastAsia="arial" w:hAnsi="arial" w:cs="arial"/>
          <w:color w:val="000000"/>
          <w:sz w:val="20"/>
          <w:lang w:val="en-US" w:eastAsia="en-US" w:bidi="ar-SA"/>
        </w:rPr>
        <w:t xml:space="preserve">, </w:t>
      </w:r>
      <w:hyperlink r:id="rId158" w:history="1">
        <w:r>
          <w:rPr>
            <w:rFonts w:ascii="arial" w:eastAsia="arial" w:hAnsi="arial" w:cs="arial"/>
            <w:i/>
            <w:color w:val="0077CC"/>
            <w:sz w:val="20"/>
            <w:u w:val="single"/>
            <w:shd w:val="clear" w:color="auto" w:fill="FFFFFF"/>
            <w:lang w:val="en-US" w:eastAsia="en-US" w:bidi="ar-SA"/>
          </w:rPr>
          <w:t>1999 ABQB 119</w:t>
        </w:r>
      </w:hyperlink>
      <w:r>
        <w:rPr>
          <w:rFonts w:ascii="arial" w:eastAsia="arial" w:hAnsi="arial" w:cs="arial"/>
          <w:color w:val="000000"/>
          <w:sz w:val="20"/>
          <w:lang w:val="en-US" w:eastAsia="en-US" w:bidi="ar-SA"/>
        </w:rPr>
        <w:t xml:space="preserve"> at para. 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Even though the by-laws [of the condominium corporation] do make a distinction against people under the age of forty-five years (and do therefore discriminate') ... the </w:t>
      </w:r>
      <w:r>
        <w:rPr>
          <w:rFonts w:ascii="arial" w:eastAsia="arial" w:hAnsi="arial" w:cs="arial"/>
          <w:b/>
          <w:i/>
          <w:color w:val="000000"/>
          <w:sz w:val="20"/>
          <w:lang w:val="en-US" w:eastAsia="en-US" w:bidi="ar-SA"/>
        </w:rPr>
        <w:t>Charter</w:t>
      </w:r>
      <w:r>
        <w:rPr>
          <w:rFonts w:ascii="arial" w:eastAsia="arial" w:hAnsi="arial" w:cs="arial"/>
          <w:color w:val="000000"/>
          <w:sz w:val="20"/>
          <w:lang w:val="en-US" w:eastAsia="en-US" w:bidi="ar-SA"/>
        </w:rPr>
        <w:t xml:space="preserve"> is not applicable. It was not intended to cover activities by non-governmental entities created by government for legally facilitating private individuals to do things of their own choosing without engaging governmental responsibility': </w:t>
      </w:r>
      <w:r>
        <w:rPr>
          <w:rFonts w:ascii="arial" w:eastAsia="arial" w:hAnsi="arial" w:cs="arial"/>
          <w:b/>
          <w:i/>
          <w:color w:val="000000"/>
          <w:sz w:val="20"/>
          <w:lang w:val="en-US" w:eastAsia="en-US" w:bidi="ar-SA"/>
        </w:rPr>
        <w:t>McKinney v. University of Guelph</w:t>
      </w:r>
      <w:r>
        <w:rPr>
          <w:rFonts w:ascii="arial" w:eastAsia="arial" w:hAnsi="arial" w:cs="arial"/>
          <w:color w:val="000000"/>
          <w:sz w:val="20"/>
          <w:lang w:val="en-US" w:eastAsia="en-US" w:bidi="ar-SA"/>
        </w:rPr>
        <w:t xml:space="preserve"> </w:t>
      </w:r>
      <w:hyperlink r:id="rId159" w:history="1">
        <w:r>
          <w:rPr>
            <w:rFonts w:ascii="arial" w:eastAsia="arial" w:hAnsi="arial" w:cs="arial"/>
            <w:i/>
            <w:color w:val="0077CC"/>
            <w:sz w:val="20"/>
            <w:u w:val="single"/>
            <w:shd w:val="clear" w:color="auto" w:fill="FFFFFF"/>
            <w:lang w:val="en-US" w:eastAsia="en-US" w:bidi="ar-SA"/>
          </w:rPr>
          <w:t>[1990] 3 S.C.R. 229</w:t>
        </w:r>
      </w:hyperlink>
      <w:r>
        <w:rPr>
          <w:rFonts w:ascii="arial" w:eastAsia="arial" w:hAnsi="arial" w:cs="arial"/>
          <w:color w:val="000000"/>
          <w:sz w:val="20"/>
          <w:lang w:val="en-US" w:eastAsia="en-US" w:bidi="ar-SA"/>
        </w:rPr>
        <w:t xml:space="preserve"> at 266.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The House of Lords decisions are unhelpful, as they do not address the application of the </w:t>
      </w:r>
      <w:r>
        <w:rPr>
          <w:rFonts w:ascii="arial" w:eastAsia="arial" w:hAnsi="arial" w:cs="arial"/>
          <w:b/>
          <w:i/>
          <w:color w:val="000000"/>
          <w:sz w:val="20"/>
          <w:lang w:val="en-US" w:eastAsia="en-US" w:bidi="ar-SA"/>
        </w:rPr>
        <w:t>Charter</w:t>
      </w:r>
      <w:r>
        <w:rPr>
          <w:rFonts w:ascii="arial" w:eastAsia="arial" w:hAnsi="arial" w:cs="arial"/>
          <w:color w:val="000000"/>
          <w:sz w:val="20"/>
          <w:lang w:val="en-US" w:eastAsia="en-US" w:bidi="ar-SA"/>
        </w:rPr>
        <w:t xml:space="preserve">, for obvious reasons. The </w:t>
      </w:r>
      <w:r>
        <w:rPr>
          <w:rFonts w:ascii="arial" w:eastAsia="arial" w:hAnsi="arial" w:cs="arial"/>
          <w:b/>
          <w:i/>
          <w:color w:val="000000"/>
          <w:sz w:val="20"/>
          <w:lang w:val="en-US" w:eastAsia="en-US" w:bidi="ar-SA"/>
        </w:rPr>
        <w:t>Godbout</w:t>
      </w:r>
      <w:r>
        <w:rPr>
          <w:rFonts w:ascii="arial" w:eastAsia="arial" w:hAnsi="arial" w:cs="arial"/>
          <w:color w:val="000000"/>
          <w:sz w:val="20"/>
          <w:lang w:val="en-US" w:eastAsia="en-US" w:bidi="ar-SA"/>
        </w:rPr>
        <w:t xml:space="preserve"> decision refers to the applicability of the </w:t>
      </w:r>
      <w:r>
        <w:rPr>
          <w:rFonts w:ascii="arial" w:eastAsia="arial" w:hAnsi="arial" w:cs="arial"/>
          <w:b/>
          <w:i/>
          <w:color w:val="000000"/>
          <w:sz w:val="20"/>
          <w:lang w:val="en-US" w:eastAsia="en-US" w:bidi="ar-SA"/>
        </w:rPr>
        <w:t>Charter</w:t>
      </w:r>
      <w:r>
        <w:rPr>
          <w:rFonts w:ascii="arial" w:eastAsia="arial" w:hAnsi="arial" w:cs="arial"/>
          <w:color w:val="000000"/>
          <w:sz w:val="20"/>
          <w:lang w:val="en-US" w:eastAsia="en-US" w:bidi="ar-SA"/>
        </w:rPr>
        <w:t xml:space="preserve"> to the actions of municipalities in that they are entities that perform "governmental functions" (at para. 50). The plaintiffs have not explained why, in their view, the strata corporation is performing "governmental functions". Their argument appears to be that the strata corporation receives its authority from the </w:t>
      </w:r>
      <w:r>
        <w:rPr>
          <w:rFonts w:ascii="arial" w:eastAsia="arial" w:hAnsi="arial" w:cs="arial"/>
          <w:b/>
          <w:i/>
          <w:color w:val="000000"/>
          <w:sz w:val="20"/>
          <w:lang w:val="en-US" w:eastAsia="en-US" w:bidi="ar-SA"/>
        </w:rPr>
        <w:t>Strata Property Act.</w:t>
      </w:r>
      <w:r>
        <w:rPr>
          <w:rFonts w:ascii="arial" w:eastAsia="arial" w:hAnsi="arial" w:cs="arial"/>
          <w:color w:val="000000"/>
          <w:sz w:val="20"/>
          <w:lang w:val="en-US" w:eastAsia="en-US" w:bidi="ar-SA"/>
        </w:rPr>
        <w:t xml:space="preserve"> That is an insufficient basis to support the assertion that the strata corporation is performing governmental functions.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As no reasonable cause of action is disclosed, paragraphs 24, 25 and 26 are struck, as against the strata corporation.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Disposition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plaintiffs' claims against the defendant, The Owner of Strata Plan LMS 2503 are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strata corporation is entitled to its costs at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GROPPER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54" style="position:absolute;z-index:25184256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60"/>
          <w:headerReference w:type="default" r:id="rId161"/>
          <w:footerReference w:type="even" r:id="rId162"/>
          <w:footerReference w:type="default" r:id="rId163"/>
          <w:headerReference w:type="first" r:id="rId164"/>
          <w:footerReference w:type="first" r:id="rId16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66" w:history="1">
        <w:r>
          <w:rPr>
            <w:rFonts w:ascii="arial" w:eastAsia="arial" w:hAnsi="arial" w:cs="arial"/>
            <w:b/>
            <w:bCs/>
            <w:i/>
            <w:color w:val="0077CC"/>
            <w:kern w:val="32"/>
            <w:sz w:val="28"/>
            <w:szCs w:val="32"/>
            <w:u w:val="single"/>
            <w:shd w:val="clear" w:color="auto" w:fill="FFFFFF"/>
            <w:lang w:val="en-US" w:eastAsia="en-US" w:bidi="ar-SA"/>
          </w:rPr>
          <w:t>Rose v. Canada (Royal Canadian Mounted Police), [2009] B.C.J. No. 2532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M.D. Macaulay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December 8,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18,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09-4428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Victoria</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[2009] B.C.J. No. 2532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BCSC 1750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88 C.P.C. (6th) 221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CarswellBC 3463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183 A.C.W.S. (3d) 693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Jerry Douglas Rose Jr., Plaintiff, and Her Majesty the Queen in Right of Canada as represented by the Royal Canadian Mounted Police (Government of Canada, R.C.M.P.) and as represented by the Attorney General of Canada and Her Majesty the Queen in Right of the Province of British Columbia as represented by the Royal Canadian Mounted Police "E" Division (Government of British Columbia, R.C.M.P.) and as represented by the Ministry of Public Safety and the Solicitor General of British Columbia,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55" style="position:absolute;z-index:2516643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9" w:name="Keywords_5"/>
      <w:bookmarkEnd w:id="39"/>
      <w:r>
        <w:rPr>
          <w:rFonts w:ascii="arial" w:eastAsia="arial" w:hAnsi="arial" w:cs="arial"/>
          <w:b/>
          <w:color w:val="000000"/>
          <w:sz w:val="20"/>
          <w:lang w:val="en-US" w:eastAsia="en-US" w:bidi="ar-SA"/>
        </w:rPr>
        <w:t>Civil litigation — Civil procedure — Pleadings — Striking out pleadings — Grounds — False, frivolous, vexatious or abuse of process — Application by the defendants to have the statement of claim struck and the proceedings dismissed and for an order restraining the plaintiff from commencing any further legal proceedings without leave of the court allowed — Plaintiff had commenced several similar actions claiming police implanted a microchip in his brain and radio frequency chip in his neck to monitor and control his thoughts and actions — All prior actions had been dismissed — No evidence that alleged technology existed — Existence of technology was a critical component of plaintiff's claims.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40" w:name="Case Summary_5"/>
            <w:bookmarkEnd w:id="4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defendants to have the statement of claim struck and the proceedings dismissed and for an order restraining the plaintiff from commencing any further legal proceedings without leave of the court. Before commencing the present action, the plaintiff filed three similar statements of claim alleging that the police implanted a microchip in his brain and a radio frequency chip in his neck to monitor and record the plaintiff's thoughts, to control his thoughts and actions, and to communicate with him. The actions were all dismissed. The plaintiff did not appeal the dismissals but commended the present action raising similar claims. The plaintiff submitted three articles to the Court to support his claim that the alleged technology to read and control his mind and to communicate with him by microchip existed.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41" w:name="Holdings of Court_3"/>
            <w:bookmarkEnd w:id="41"/>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There was nothing in the articles to support the plaintiff's theory that the alleged technology would permit a third party to somehow read or control a person's thoughts or that the ability to transfer this data from a distance existed. The existence of the technology was a critical component of the plaintiff's claims. Therefore, his pleadings were groundless, fanciful, and could not succeed. No amendments to the pleadings could remedy this defect. The plaintiff had knowingly and intentionally repeated his vexatious conduct by commencing these legal proceedings against the defendants. The order sought to prohibit the plaintiff from commencing further proceedings against the defendants without leave was thus granted.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42" w:name="Legislation Cited_5"/>
      <w:bookmarkEnd w:id="4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56" style="position:absolute;z-index:2517155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Rules of Court, Rule 19(24), Rule 19(24)(a)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Supreme Court Act, </w:t>
      </w:r>
      <w:hyperlink r:id="rId167" w:history="1">
        <w:r>
          <w:rPr>
            <w:rFonts w:ascii="arial" w:eastAsia="arial" w:hAnsi="arial" w:cs="arial"/>
            <w:i/>
            <w:color w:val="0077CC"/>
            <w:sz w:val="20"/>
            <w:u w:val="single"/>
            <w:shd w:val="clear" w:color="auto" w:fill="FFFFFF"/>
            <w:lang w:val="en-US" w:eastAsia="en-US" w:bidi="ar-SA"/>
          </w:rPr>
          <w:t>RSBC 1996, CHAPTER 443, s. 18</w:t>
        </w:r>
      </w:hyperlink>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43" w:name="Counsel_5"/>
      <w:bookmarkEnd w:id="43"/>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57" style="position:absolute;z-index:2517667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Jerry Douglas Rose Jr.: In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M.F. Volk.</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44" w:name="Judgment_5"/>
      <w:bookmarkEnd w:id="44"/>
      <w:r>
        <w:pict>
          <v:line id="_x0000_s1058" style="position:absolute;z-index:25181798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0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45" w:name="M.D. MACAULAY J."/>
            <w:bookmarkEnd w:id="45"/>
            <w:r>
              <w:rPr>
                <w:rFonts w:ascii="arial" w:eastAsia="arial" w:hAnsi="arial" w:cs="arial"/>
                <w:b/>
                <w:color w:val="000000"/>
                <w:sz w:val="30"/>
                <w:lang w:val="en-US" w:eastAsia="en-US" w:bidi="ar-SA"/>
              </w:rPr>
              <w:t>M.D. MACAULAY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defendants apply, pursuant to Rule 19(24), to have the plaintiff's statement of claim struck and the proceedings dismissed. They also apply for an order restraining the plaintiff, Mr. Rose, from commencing or continuing any further legal proceedings in the Supreme Court or Provincial Court of British Columbia without leave of the Supreme Court pursuant to s. 18 of the </w:t>
      </w:r>
      <w:r>
        <w:rPr>
          <w:rFonts w:ascii="arial" w:eastAsia="arial" w:hAnsi="arial" w:cs="arial"/>
          <w:i/>
          <w:color w:val="000000"/>
          <w:sz w:val="20"/>
          <w:lang w:val="en-US" w:eastAsia="en-US" w:bidi="ar-SA"/>
        </w:rPr>
        <w:t>Supreme Court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444</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Before commencing this action, the plaintiff filed three similar statements of claim in Supreme Court and one statement of claim in Provincial Court (Small Claims). The Supreme Court actions all stem from an allegation that the RCMP implanted a microchip in his brain and a radio frequency chip in his neck and that it uses these devices variously to monitor and record the plaintiff's thoughts, to control his thoughts and actions, and, finally, to communicate with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actions commenced by the plaintiff before this action are as follows:</w:t>
      </w:r>
      <w:r>
        <w:rPr>
          <w:rFonts w:ascii="arial" w:eastAsia="arial" w:hAnsi="arial" w:cs="arial"/>
          <w:sz w:val="20"/>
          <w:lang w:val="en-US" w:eastAsia="en-US" w:bidi="ar-SA"/>
        </w:rPr>
        <w:cr/>
      </w:r>
    </w:p>
    <w:p>
      <w:pPr>
        <w:numPr>
          <w:numId w:val="9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S53706: Filed on June 26, 2008, in Nanaimo.</w:t>
      </w:r>
    </w:p>
    <w:p>
      <w:pPr>
        <w:numPr>
          <w:numId w:val="9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S55166: Filed on December 9, 2008, with an amended statement of claim filed on March 20, 2009, in Nanaimo.</w:t>
      </w:r>
    </w:p>
    <w:p>
      <w:pPr>
        <w:numPr>
          <w:numId w:val="9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S55228: Filed on December 17, 2008, with an amended statement of claim filed on March 20, 2009, in Nanaimo.</w:t>
      </w:r>
    </w:p>
    <w:p>
      <w:pPr>
        <w:numPr>
          <w:numId w:val="9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C56912: Filed on June 24, 2009, in the Nanaimo Provincial Court (Small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On December 2, 2008, A.F. Wilson J. dismissed the first action in its entirety under R. 19(24)(a)-(c): </w:t>
      </w:r>
      <w:r>
        <w:rPr>
          <w:rFonts w:ascii="arial" w:eastAsia="arial" w:hAnsi="arial" w:cs="arial"/>
          <w:i/>
          <w:color w:val="000000"/>
          <w:sz w:val="20"/>
          <w:lang w:val="en-US" w:eastAsia="en-US" w:bidi="ar-SA"/>
        </w:rPr>
        <w:t>Rose v. University of British Columbia</w:t>
      </w:r>
      <w:r>
        <w:rPr>
          <w:rFonts w:ascii="arial" w:eastAsia="arial" w:hAnsi="arial" w:cs="arial"/>
          <w:color w:val="000000"/>
          <w:sz w:val="20"/>
          <w:lang w:val="en-US" w:eastAsia="en-US" w:bidi="ar-SA"/>
        </w:rPr>
        <w:t xml:space="preserve">, </w:t>
      </w:r>
      <w:hyperlink r:id="rId168" w:history="1">
        <w:r>
          <w:rPr>
            <w:rFonts w:ascii="arial" w:eastAsia="arial" w:hAnsi="arial" w:cs="arial"/>
            <w:i/>
            <w:color w:val="0077CC"/>
            <w:sz w:val="20"/>
            <w:u w:val="single"/>
            <w:shd w:val="clear" w:color="auto" w:fill="FFFFFF"/>
            <w:lang w:val="en-US" w:eastAsia="en-US" w:bidi="ar-SA"/>
          </w:rPr>
          <w:t>2008 BCSC 1661</w:t>
        </w:r>
      </w:hyperlink>
      <w:r>
        <w:rPr>
          <w:rFonts w:ascii="arial" w:eastAsia="arial" w:hAnsi="arial" w:cs="arial"/>
          <w:color w:val="000000"/>
          <w:sz w:val="20"/>
          <w:lang w:val="en-US" w:eastAsia="en-US" w:bidi="ar-SA"/>
        </w:rPr>
        <w:t>. He found that the claim was bound to fail and disclosed no reasonable claim against any of the defendants because, in general, the allegations did not specify by whom, when, where or how the tortious acts were allegedly committed. Further, he concluded the pleadings were frivolous, vexatious, embarrassing and prejudicial.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Halfyard J. struck out the second and third actions and dismissed them as against all of the defendants on August 14, 2009: </w:t>
      </w:r>
      <w:r>
        <w:rPr>
          <w:rFonts w:ascii="arial" w:eastAsia="arial" w:hAnsi="arial" w:cs="arial"/>
          <w:i/>
          <w:color w:val="000000"/>
          <w:sz w:val="20"/>
          <w:lang w:val="en-US" w:eastAsia="en-US" w:bidi="ar-SA"/>
        </w:rPr>
        <w:t>Rose v. Canada (Royal Canadian Mounted Police)</w:t>
      </w:r>
      <w:r>
        <w:rPr>
          <w:rFonts w:ascii="arial" w:eastAsia="arial" w:hAnsi="arial" w:cs="arial"/>
          <w:color w:val="000000"/>
          <w:sz w:val="20"/>
          <w:lang w:val="en-US" w:eastAsia="en-US" w:bidi="ar-SA"/>
        </w:rPr>
        <w:t xml:space="preserve">, </w:t>
      </w:r>
      <w:hyperlink r:id="rId169" w:history="1">
        <w:r>
          <w:rPr>
            <w:rFonts w:ascii="arial" w:eastAsia="arial" w:hAnsi="arial" w:cs="arial"/>
            <w:i/>
            <w:color w:val="0077CC"/>
            <w:sz w:val="20"/>
            <w:u w:val="single"/>
            <w:shd w:val="clear" w:color="auto" w:fill="FFFFFF"/>
            <w:lang w:val="en-US" w:eastAsia="en-US" w:bidi="ar-SA"/>
          </w:rPr>
          <w:t>2009 BCSC 1116</w:t>
        </w:r>
      </w:hyperlink>
      <w:r>
        <w:rPr>
          <w:rFonts w:ascii="arial" w:eastAsia="arial" w:hAnsi="arial" w:cs="arial"/>
          <w:color w:val="000000"/>
          <w:sz w:val="20"/>
          <w:lang w:val="en-US" w:eastAsia="en-US" w:bidi="ar-SA"/>
        </w:rPr>
        <w:t>. Halfyard J. found the main allegations in the second action consisted of or related to the same subject matter as in the first action. As such, A.F. Wilson J.'s decision that the first action failed to disclose any reasonable claim applied as an estoppel in respect of the defendants named in both proceedings. There also was no reasonable claim against the newly named defendants. Additionally, Halfyard J. found the second action was embarrassing. He chose not to include a detailed analysis of the third action, but found that the issues in both the second and third actions should have been raised in the first action because they belonged to the same subject of litigation. As such, both were vexatious and an abuse of the court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did not appeal either of these decisions, but instead filed this action in the Victoria Registry on September 30,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 need not set out the specific claims made in the previous three Supreme Court statements of claim as they are fully set out in the decisions to which I have referred. The essential allegations are unchanged from action to action; the differences are found in the identification of the parties, the language used, and the remedies that the plaintiff seeks. For example, the plaintiff has used the terms "BCIsys [brain computer interface] System," "brain computer interface brain to brain network surveillance computer system [BCI-BTB System]," "brain computer interface brain to brain communication surveillance system," and "two-tier Province of British Columbia/RCMP network computer environment" or "computer environment" to refer to the alleged network used by the RCMP. Regarding damages here, he seeks a broad range of damages including non-pecuniary damages, past and future loss of income, aggravated damages and punitive damages. Additionally, the plaintiff asks the court to order the RCMP and the governments of Canada and British Columbia to facilitate and pay for the removal of his implant.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Although aware of the fourth action in Provincial Court (Small Claims), Halfyard J. did not make any order respecting it. There is an additional component to the Provincial Court action that I will discuss later when I address the defendants' application under s. 18 of the </w:t>
      </w:r>
      <w:r>
        <w:rPr>
          <w:rFonts w:ascii="arial" w:eastAsia="arial" w:hAnsi="arial" w:cs="arial"/>
          <w:i/>
          <w:color w:val="000000"/>
          <w:sz w:val="20"/>
          <w:lang w:val="en-US" w:eastAsia="en-US" w:bidi="ar-SA"/>
        </w:rPr>
        <w:t>Supreme Court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Rule 19(24) states:</w:t>
      </w:r>
      <w:r>
        <w:rPr>
          <w:rFonts w:ascii="arial" w:eastAsia="arial" w:hAnsi="arial" w:cs="arial"/>
          <w:sz w:val="20"/>
          <w:lang w:val="en-US" w:eastAsia="en-US" w:bidi="ar-SA"/>
        </w:rPr>
        <w:cr/>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At any stage of a proceeding the court may order to be struck out or amended the whole or any part of an endorsement, pleading, petition or other document on the ground that</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it discloses no reasonable claim or defence as the case may be,</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unnecessary, scandalous, frivolous or vexatious,</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it may prejudice, embarrass or delay the fair trial or hearing or the proceeding, or</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otherwise an abuse of the process of the court,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the court may grant judgment or order the proceeding to be stayed or dismissed and may order the costs of the application to be paid as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defendants rely on all four grounds in R. 19(24).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In a claim under R. 19(24)(a), the applicant must show that it is "'plain and obvious' that the plaintiff's statement of claim discloses no reasonable cause of action," assuming that the material facts as pleaded in the statement of claim are true: </w:t>
      </w:r>
      <w:r>
        <w:rPr>
          <w:rFonts w:ascii="arial" w:eastAsia="arial" w:hAnsi="arial" w:cs="arial"/>
          <w:i/>
          <w:color w:val="000000"/>
          <w:sz w:val="20"/>
          <w:lang w:val="en-US" w:eastAsia="en-US" w:bidi="ar-SA"/>
        </w:rPr>
        <w:t>Hunt v. Carey Canada Inc.</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[1990] 2 S.C.R. 959</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74 D.L.R. (4th) 321</w:t>
      </w:r>
      <w:r>
        <w:rPr>
          <w:rFonts w:ascii="arial" w:eastAsia="arial" w:hAnsi="arial" w:cs="arial"/>
          <w:color w:val="000000"/>
          <w:sz w:val="20"/>
          <w:lang w:val="en-US" w:eastAsia="en-US" w:bidi="ar-SA"/>
        </w:rPr>
        <w:t xml:space="preserve"> at para. 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If the allegations in the plaintiff's statement of claim are viewed as true, they disclose, at a minimum, a cause of action in tortious assault. The plaintiff's statement of claim in this action, if read in conjunction with his affidavit, is less general and speculative than his statement of claim in the first action. With appropriate amendments respecting time, place, the identification of individual tortfeasors, and vicarious liability, it is arguable that the defendants have not met the test in </w:t>
      </w:r>
      <w:r>
        <w:rPr>
          <w:rFonts w:ascii="arial" w:eastAsia="arial" w:hAnsi="arial" w:cs="arial"/>
          <w:i/>
          <w:color w:val="000000"/>
          <w:sz w:val="20"/>
          <w:lang w:val="en-US" w:eastAsia="en-US" w:bidi="ar-SA"/>
        </w:rPr>
        <w:t>Hunt</w:t>
      </w:r>
      <w:r>
        <w:rPr>
          <w:rFonts w:ascii="arial" w:eastAsia="arial" w:hAnsi="arial" w:cs="arial"/>
          <w:color w:val="000000"/>
          <w:sz w:val="20"/>
          <w:lang w:val="en-US" w:eastAsia="en-US" w:bidi="ar-SA"/>
        </w:rPr>
        <w:t xml:space="preserve"> respecting R. 19(24)(a).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The difficulty that remains, however, is that the essential allegations are clearly fictional and cannot rationally be considered true. While this might be addressed under R. 19(24)(a) on the basis that allegations based on assumptions and speculations need not be taken as true (see </w:t>
      </w:r>
      <w:r>
        <w:rPr>
          <w:rFonts w:ascii="arial" w:eastAsia="arial" w:hAnsi="arial" w:cs="arial"/>
          <w:i/>
          <w:color w:val="000000"/>
          <w:sz w:val="20"/>
          <w:lang w:val="en-US" w:eastAsia="en-US" w:bidi="ar-SA"/>
        </w:rPr>
        <w:t>Operation Dismantle Inc. v. The Queen</w:t>
      </w:r>
      <w:r>
        <w:rPr>
          <w:rFonts w:ascii="arial" w:eastAsia="arial" w:hAnsi="arial" w:cs="arial"/>
          <w:color w:val="000000"/>
          <w:sz w:val="20"/>
          <w:lang w:val="en-US" w:eastAsia="en-US" w:bidi="ar-SA"/>
        </w:rPr>
        <w:t xml:space="preserve">, </w:t>
      </w:r>
      <w:hyperlink r:id="rId170" w:history="1">
        <w:r>
          <w:rPr>
            <w:rFonts w:ascii="arial" w:eastAsia="arial" w:hAnsi="arial" w:cs="arial"/>
            <w:i/>
            <w:color w:val="0077CC"/>
            <w:sz w:val="20"/>
            <w:u w:val="single"/>
            <w:shd w:val="clear" w:color="auto" w:fill="FFFFFF"/>
            <w:lang w:val="en-US" w:eastAsia="en-US" w:bidi="ar-SA"/>
          </w:rPr>
          <w:t>[1985] 1 S.C.R. 441</w:t>
        </w:r>
      </w:hyperlink>
      <w:r>
        <w:rPr>
          <w:rFonts w:ascii="arial" w:eastAsia="arial" w:hAnsi="arial" w:cs="arial"/>
          <w:color w:val="000000"/>
          <w:sz w:val="20"/>
          <w:lang w:val="en-US" w:eastAsia="en-US" w:bidi="ar-SA"/>
        </w:rPr>
        <w:t xml:space="preserve"> at 455, </w:t>
      </w:r>
      <w:hyperlink r:id="rId170" w:history="1">
        <w:r>
          <w:rPr>
            <w:rFonts w:ascii="arial" w:eastAsia="arial" w:hAnsi="arial" w:cs="arial"/>
            <w:i/>
            <w:color w:val="0077CC"/>
            <w:sz w:val="20"/>
            <w:u w:val="single"/>
            <w:shd w:val="clear" w:color="auto" w:fill="FFFFFF"/>
            <w:lang w:val="en-US" w:eastAsia="en-US" w:bidi="ar-SA"/>
          </w:rPr>
          <w:t>18 D.L.R. (4th) 481</w:t>
        </w:r>
      </w:hyperlink>
      <w:r>
        <w:rPr>
          <w:rFonts w:ascii="arial" w:eastAsia="arial" w:hAnsi="arial" w:cs="arial"/>
          <w:color w:val="000000"/>
          <w:sz w:val="20"/>
          <w:lang w:val="en-US" w:eastAsia="en-US" w:bidi="ar-SA"/>
        </w:rPr>
        <w:t>), it is not necessary that I do so. There is ample room under the other subrules to address the difficulty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my view, the pleadings should be struck out in their entirety on the grounds that it is plain and obvious that they are frivolous, vexatious and an abuse of the process of the court contrary to R. 19(24)(b) and (d). Given my conclusions, it will not be necessary to consider the defendants' further arguments concerning R. 19(24)(c).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As stated by Master Baker in </w:t>
      </w:r>
      <w:r>
        <w:rPr>
          <w:rFonts w:ascii="arial" w:eastAsia="arial" w:hAnsi="arial" w:cs="arial"/>
          <w:i/>
          <w:color w:val="000000"/>
          <w:sz w:val="20"/>
          <w:lang w:val="en-US" w:eastAsia="en-US" w:bidi="ar-SA"/>
        </w:rPr>
        <w:t>Borsato v. Basra</w:t>
      </w:r>
      <w:r>
        <w:rPr>
          <w:rFonts w:ascii="arial" w:eastAsia="arial" w:hAnsi="arial" w:cs="arial"/>
          <w:color w:val="000000"/>
          <w:sz w:val="20"/>
          <w:lang w:val="en-US" w:eastAsia="en-US" w:bidi="ar-SA"/>
        </w:rPr>
        <w:t xml:space="preserve">, </w:t>
      </w:r>
      <w:hyperlink r:id="rId171" w:history="1">
        <w:r>
          <w:rPr>
            <w:rFonts w:ascii="arial" w:eastAsia="arial" w:hAnsi="arial" w:cs="arial"/>
            <w:i/>
            <w:color w:val="0077CC"/>
            <w:sz w:val="20"/>
            <w:u w:val="single"/>
            <w:shd w:val="clear" w:color="auto" w:fill="FFFFFF"/>
            <w:lang w:val="en-US" w:eastAsia="en-US" w:bidi="ar-SA"/>
          </w:rPr>
          <w:t>2000 BCSC 28</w:t>
        </w:r>
      </w:hyperlink>
      <w:r>
        <w:rPr>
          <w:rFonts w:ascii="arial" w:eastAsia="arial" w:hAnsi="arial" w:cs="arial"/>
          <w:color w:val="000000"/>
          <w:sz w:val="20"/>
          <w:lang w:val="en-US" w:eastAsia="en-US" w:bidi="ar-SA"/>
        </w:rPr>
        <w:t xml:space="preserve">, </w:t>
      </w:r>
      <w:hyperlink r:id="rId171" w:history="1">
        <w:r>
          <w:rPr>
            <w:rFonts w:ascii="arial" w:eastAsia="arial" w:hAnsi="arial" w:cs="arial"/>
            <w:i/>
            <w:color w:val="0077CC"/>
            <w:sz w:val="20"/>
            <w:u w:val="single"/>
            <w:shd w:val="clear" w:color="auto" w:fill="FFFFFF"/>
            <w:lang w:val="en-US" w:eastAsia="en-US" w:bidi="ar-SA"/>
          </w:rPr>
          <w:t>43 C.P.C. (4th) 96</w:t>
        </w:r>
      </w:hyperlink>
      <w:r>
        <w:rPr>
          <w:rFonts w:ascii="arial" w:eastAsia="arial" w:hAnsi="arial" w:cs="arial"/>
          <w:color w:val="000000"/>
          <w:sz w:val="20"/>
          <w:lang w:val="en-US" w:eastAsia="en-US" w:bidi="ar-SA"/>
        </w:rPr>
        <w:t>, at para. 24, "[a] pleading is frivolous if it is without substance, groundless, fanciful, 'trifles with the court' or wastes time." That statement aptly describes the plaintiff's essential allegations: they are fanciful and incapable of proof.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Skender v. Farley</w:t>
      </w:r>
      <w:r>
        <w:rPr>
          <w:rFonts w:ascii="arial" w:eastAsia="arial" w:hAnsi="arial" w:cs="arial"/>
          <w:color w:val="000000"/>
          <w:sz w:val="20"/>
          <w:lang w:val="en-US" w:eastAsia="en-US" w:bidi="ar-SA"/>
        </w:rPr>
        <w:t xml:space="preserve">, </w:t>
      </w:r>
      <w:hyperlink r:id="rId172" w:history="1">
        <w:r>
          <w:rPr>
            <w:rFonts w:ascii="arial" w:eastAsia="arial" w:hAnsi="arial" w:cs="arial"/>
            <w:i/>
            <w:color w:val="0077CC"/>
            <w:sz w:val="20"/>
            <w:u w:val="single"/>
            <w:shd w:val="clear" w:color="auto" w:fill="FFFFFF"/>
            <w:lang w:val="en-US" w:eastAsia="en-US" w:bidi="ar-SA"/>
          </w:rPr>
          <w:t>2007 BCCA 629</w:t>
        </w:r>
      </w:hyperlink>
      <w:r>
        <w:rPr>
          <w:rFonts w:ascii="arial" w:eastAsia="arial" w:hAnsi="arial" w:cs="arial"/>
          <w:color w:val="000000"/>
          <w:sz w:val="20"/>
          <w:lang w:val="en-US" w:eastAsia="en-US" w:bidi="ar-SA"/>
        </w:rPr>
        <w:t xml:space="preserve">, </w:t>
      </w:r>
      <w:hyperlink r:id="rId172" w:history="1">
        <w:r>
          <w:rPr>
            <w:rFonts w:ascii="arial" w:eastAsia="arial" w:hAnsi="arial" w:cs="arial"/>
            <w:i/>
            <w:color w:val="0077CC"/>
            <w:sz w:val="20"/>
            <w:u w:val="single"/>
            <w:shd w:val="clear" w:color="auto" w:fill="FFFFFF"/>
            <w:lang w:val="en-US" w:eastAsia="en-US" w:bidi="ar-SA"/>
          </w:rPr>
          <w:t>289 D.L.R. (4th) 111</w:t>
        </w:r>
      </w:hyperlink>
      <w:r>
        <w:rPr>
          <w:rFonts w:ascii="arial" w:eastAsia="arial" w:hAnsi="arial" w:cs="arial"/>
          <w:color w:val="000000"/>
          <w:sz w:val="20"/>
          <w:lang w:val="en-US" w:eastAsia="en-US" w:bidi="ar-SA"/>
        </w:rPr>
        <w:t xml:space="preserve">, at para. 64, the British Columbia Court of Appeal accepted the various conditions that make a pleading vexatious as set out in </w:t>
      </w:r>
      <w:r>
        <w:rPr>
          <w:rFonts w:ascii="arial" w:eastAsia="arial" w:hAnsi="arial" w:cs="arial"/>
          <w:i/>
          <w:color w:val="000000"/>
          <w:sz w:val="20"/>
          <w:lang w:val="en-US" w:eastAsia="en-US" w:bidi="ar-SA"/>
        </w:rPr>
        <w:t>Re Lang Michener and Fabian</w:t>
      </w:r>
      <w:r>
        <w:rPr>
          <w:rFonts w:ascii="arial" w:eastAsia="arial" w:hAnsi="arial" w:cs="arial"/>
          <w:color w:val="000000"/>
          <w:sz w:val="20"/>
          <w:lang w:val="en-US" w:eastAsia="en-US" w:bidi="ar-SA"/>
        </w:rPr>
        <w:t xml:space="preserve"> </w:t>
      </w:r>
      <w:hyperlink r:id="rId173" w:history="1">
        <w:r>
          <w:rPr>
            <w:rFonts w:ascii="arial" w:eastAsia="arial" w:hAnsi="arial" w:cs="arial"/>
            <w:i/>
            <w:color w:val="0077CC"/>
            <w:sz w:val="20"/>
            <w:u w:val="single"/>
            <w:shd w:val="clear" w:color="auto" w:fill="FFFFFF"/>
            <w:lang w:val="en-US" w:eastAsia="en-US" w:bidi="ar-SA"/>
          </w:rPr>
          <w:t>(1987), 59 O.R. (2d) 353</w:t>
        </w:r>
      </w:hyperlink>
      <w:r>
        <w:rPr>
          <w:rFonts w:ascii="arial" w:eastAsia="arial" w:hAnsi="arial" w:cs="arial"/>
          <w:color w:val="000000"/>
          <w:sz w:val="20"/>
          <w:lang w:val="en-US" w:eastAsia="en-US" w:bidi="ar-SA"/>
        </w:rPr>
        <w:t xml:space="preserve"> at 358-59, </w:t>
      </w:r>
      <w:hyperlink r:id="rId173" w:history="1">
        <w:r>
          <w:rPr>
            <w:rFonts w:ascii="arial" w:eastAsia="arial" w:hAnsi="arial" w:cs="arial"/>
            <w:i/>
            <w:color w:val="0077CC"/>
            <w:sz w:val="20"/>
            <w:u w:val="single"/>
            <w:shd w:val="clear" w:color="auto" w:fill="FFFFFF"/>
            <w:lang w:val="en-US" w:eastAsia="en-US" w:bidi="ar-SA"/>
          </w:rPr>
          <w:t>37 D.L.R. (4th) 685</w:t>
        </w:r>
      </w:hyperlink>
      <w:r>
        <w:rPr>
          <w:rFonts w:ascii="arial" w:eastAsia="arial" w:hAnsi="arial" w:cs="arial"/>
          <w:color w:val="000000"/>
          <w:sz w:val="20"/>
          <w:lang w:val="en-US" w:eastAsia="en-US" w:bidi="ar-SA"/>
        </w:rPr>
        <w:t xml:space="preserve"> (H.C.J.). One is whether it is obvious that the action cannot succeed, as is the case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plaintiff submitted three articles to this Court to support his claim that the alleged technology to read and control his mind and to communicate with him by microchip exists. Two of the articles appeared in legal journals: Ian R. Kerr, Max Binnie &amp; Cynthia Aoki, "Tessling on My Brain: The Future of Lie Detection and Brain Privacy in the Criminal Justice System" (2008) 50 Canadian Journal of Criminology and Criminal Justice 367; and Elaine M. Ramesh, "Time Enough? Consequences of Human Microchip Implantation" (1997) 8 Risk: Health, Safety &amp; Environment 373.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"Tessling on My Brain" describes imaging technologies which allow brain waves to be externally and remotely measured. Imaging devices do not yet have the ability to interface with implantable microchips. The authors, at 376, also state: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neuro-imaging technologies really could scan the brain the way a computer scans a hard drive, then there would be a strong argument in support of the claim that brain scans are not meaningless since they would clearly reveal intimate details about an individual's life. However, this is not the current state of the art. EEG scans merely determine whether information is recognized by the subject and fMRI scans only pinpoint brain activity</w:t>
      </w:r>
      <w:r>
        <w:rPr>
          <w:rFonts w:ascii="arial" w:eastAsia="arial" w:hAnsi="arial" w:cs="arial"/>
          <w:b/>
          <w:color w:val="000000"/>
          <w:sz w:val="20"/>
          <w:lang w:val="en-US" w:eastAsia="en-US" w:bidi="ar-SA"/>
        </w:rPr>
        <w:t>;</w:t>
      </w:r>
      <w:r>
        <w:rPr>
          <w:rFonts w:ascii="arial" w:eastAsia="arial" w:hAnsi="arial" w:cs="arial"/>
          <w:color w:val="000000"/>
          <w:sz w:val="20"/>
          <w:lang w:val="en-US" w:eastAsia="en-US" w:bidi="ar-SA"/>
        </w:rPr>
        <w:t xml:space="preserve"> </w:t>
      </w:r>
      <w:r>
        <w:rPr>
          <w:rFonts w:ascii="arial" w:eastAsia="arial" w:hAnsi="arial" w:cs="arial"/>
          <w:color w:val="000000"/>
          <w:sz w:val="20"/>
          <w:u w:val="single"/>
          <w:lang w:val="en-US" w:eastAsia="en-US" w:bidi="ar-SA"/>
        </w:rPr>
        <w:t>neither can actually read a person's mind</w:t>
      </w:r>
      <w:r>
        <w:rPr>
          <w:rFonts w:ascii="arial" w:eastAsia="arial" w:hAnsi="arial" w:cs="arial"/>
          <w:color w:val="000000"/>
          <w:sz w:val="20"/>
          <w:lang w:val="en-US" w:eastAsia="en-US" w:bidi="ar-SA"/>
        </w:rPr>
        <w:t xml:space="preserve"> in a way that WIRED magazine and other popular culture sources would have us believe. [Emphasis added. Citations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Further, at 380, they assert that surreptitious and remote brain scanning is a "far-off possibility."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Ramesh, discussed the possibility of embedding microchips, similar to those currently implanted in animals, into people to read information, such as a person's identification or medical history. She noted, at 374, that this technology has "not yet been perfected," although IBM was working on "personal area network technology" to transfer data stored on a human implant to another person or to an external mechanical system. Further, the plaintiff has alleged that an implanted person can be tracked anywhere in the world, but Ramesh points out at 385-86: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Microprocessor-based implantable telemetry systems have been developed which require batteries for power to emit signals. However, batteries present problems due to their lifetimes and weight. These problems need to be addressed for implantable microchips to have such [tracking] capabilities.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There is nothing in either article to support the plaintiff's theory that this technology would permit a third party to somehow read or control a person's thoughts or that the ability to transfer this data from a distance exists. The third article does support the plaintiff's claims, but it is only available online from websites that are not reputable. It has not been published in any accepted scientific, medical or legal journal and would not meet the test in </w:t>
      </w:r>
      <w:r>
        <w:rPr>
          <w:rFonts w:ascii="arial" w:eastAsia="arial" w:hAnsi="arial" w:cs="arial"/>
          <w:i/>
          <w:color w:val="000000"/>
          <w:sz w:val="20"/>
          <w:lang w:val="en-US" w:eastAsia="en-US" w:bidi="ar-SA"/>
        </w:rPr>
        <w:t>R. v. Mohan</w:t>
      </w:r>
      <w:r>
        <w:rPr>
          <w:rFonts w:ascii="arial" w:eastAsia="arial" w:hAnsi="arial" w:cs="arial"/>
          <w:color w:val="000000"/>
          <w:sz w:val="20"/>
          <w:lang w:val="en-US" w:eastAsia="en-US" w:bidi="ar-SA"/>
        </w:rPr>
        <w:t xml:space="preserve">, </w:t>
      </w:r>
      <w:hyperlink r:id="rId174" w:history="1">
        <w:r>
          <w:rPr>
            <w:rFonts w:ascii="arial" w:eastAsia="arial" w:hAnsi="arial" w:cs="arial"/>
            <w:i/>
            <w:color w:val="0077CC"/>
            <w:sz w:val="20"/>
            <w:u w:val="single"/>
            <w:shd w:val="clear" w:color="auto" w:fill="FFFFFF"/>
            <w:lang w:val="en-US" w:eastAsia="en-US" w:bidi="ar-SA"/>
          </w:rPr>
          <w:t>[1994] 2 S.C.R. 9</w:t>
        </w:r>
      </w:hyperlink>
      <w:r>
        <w:rPr>
          <w:rFonts w:ascii="arial" w:eastAsia="arial" w:hAnsi="arial" w:cs="arial"/>
          <w:color w:val="000000"/>
          <w:sz w:val="20"/>
          <w:lang w:val="en-US" w:eastAsia="en-US" w:bidi="ar-SA"/>
        </w:rPr>
        <w:t xml:space="preserve">, </w:t>
      </w:r>
      <w:hyperlink r:id="rId174" w:history="1">
        <w:r>
          <w:rPr>
            <w:rFonts w:ascii="arial" w:eastAsia="arial" w:hAnsi="arial" w:cs="arial"/>
            <w:i/>
            <w:color w:val="0077CC"/>
            <w:sz w:val="20"/>
            <w:u w:val="single"/>
            <w:shd w:val="clear" w:color="auto" w:fill="FFFFFF"/>
            <w:lang w:val="en-US" w:eastAsia="en-US" w:bidi="ar-SA"/>
          </w:rPr>
          <w:t>114 D.L.R. (4th) 419</w:t>
        </w:r>
      </w:hyperlink>
      <w:r>
        <w:rPr>
          <w:rFonts w:ascii="arial" w:eastAsia="arial" w:hAnsi="arial" w:cs="arial"/>
          <w:color w:val="000000"/>
          <w:sz w:val="20"/>
          <w:lang w:val="en-US" w:eastAsia="en-US" w:bidi="ar-SA"/>
        </w:rPr>
        <w:t>, for the admissibility of expert evidence or novel scientific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There is, in my view, no rational possibility that a court could accept that this technology exists now, let alone existed in 2003. The existence of the technology is a critical component of the plaintiff's claims. Therefore, his pleadings are groundless, fanciful, and cannot succeed; to allow the claims to go forward would waste the court's time since it is inevitably doomed to failure. No amendments to the pleadings could remedy this defect. As such, the pleadings must be struck in their entirety.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Further, as set out in </w:t>
      </w:r>
      <w:r>
        <w:rPr>
          <w:rFonts w:ascii="arial" w:eastAsia="arial" w:hAnsi="arial" w:cs="arial"/>
          <w:i/>
          <w:color w:val="000000"/>
          <w:sz w:val="20"/>
          <w:lang w:val="en-US" w:eastAsia="en-US" w:bidi="ar-SA"/>
        </w:rPr>
        <w:t>Lang Michener</w:t>
      </w:r>
      <w:r>
        <w:rPr>
          <w:rFonts w:ascii="arial" w:eastAsia="arial" w:hAnsi="arial" w:cs="arial"/>
          <w:color w:val="000000"/>
          <w:sz w:val="20"/>
          <w:lang w:val="en-US" w:eastAsia="en-US" w:bidi="ar-SA"/>
        </w:rPr>
        <w:t xml:space="preserve"> at 358, vexatious proceedings exist when an action is brought "to determine an issue which has already been determined by a court of competent jurisdiction" and when grounds and issues that have been raised are "rolled forward into subsequent actions and repeated and supplemented." Similarly, a pleading can be classified as frivolous if it is obviously unsustainable because of estoppel: </w:t>
      </w:r>
      <w:r>
        <w:rPr>
          <w:rFonts w:ascii="arial" w:eastAsia="arial" w:hAnsi="arial" w:cs="arial"/>
          <w:i/>
          <w:color w:val="000000"/>
          <w:sz w:val="20"/>
          <w:lang w:val="en-US" w:eastAsia="en-US" w:bidi="ar-SA"/>
        </w:rPr>
        <w:t>Citizens for Foreign Aid Reform Inc. v. Canadian Jewish Congress</w:t>
      </w:r>
      <w:r>
        <w:rPr>
          <w:rFonts w:ascii="arial" w:eastAsia="arial" w:hAnsi="arial" w:cs="arial"/>
          <w:color w:val="000000"/>
          <w:sz w:val="20"/>
          <w:lang w:val="en-US" w:eastAsia="en-US" w:bidi="ar-SA"/>
        </w:rPr>
        <w:t xml:space="preserve"> </w:t>
      </w:r>
      <w:hyperlink r:id="rId175" w:history="1">
        <w:r>
          <w:rPr>
            <w:rFonts w:ascii="arial" w:eastAsia="arial" w:hAnsi="arial" w:cs="arial"/>
            <w:i/>
            <w:color w:val="0077CC"/>
            <w:sz w:val="20"/>
            <w:u w:val="single"/>
            <w:shd w:val="clear" w:color="auto" w:fill="FFFFFF"/>
            <w:lang w:val="en-US" w:eastAsia="en-US" w:bidi="ar-SA"/>
          </w:rPr>
          <w:t>(1999), 36 C.P.C. (4th) 266</w:t>
        </w:r>
      </w:hyperlink>
      <w:r>
        <w:rPr>
          <w:rFonts w:ascii="arial" w:eastAsia="arial" w:hAnsi="arial" w:cs="arial"/>
          <w:color w:val="000000"/>
          <w:sz w:val="20"/>
          <w:lang w:val="en-US" w:eastAsia="en-US" w:bidi="ar-SA"/>
        </w:rPr>
        <w:t xml:space="preserve"> (B.C.S.C.), at para. 47. A pleading is an abuse of process when a party does not use the processes of court fairly and a party's claims violate principles such as "judicial economy, consistency, finality and the integrity of the administration of justice": </w:t>
      </w:r>
      <w:r>
        <w:rPr>
          <w:rFonts w:ascii="arial" w:eastAsia="arial" w:hAnsi="arial" w:cs="arial"/>
          <w:i/>
          <w:color w:val="000000"/>
          <w:sz w:val="20"/>
          <w:lang w:val="en-US" w:eastAsia="en-US" w:bidi="ar-SA"/>
        </w:rPr>
        <w:t>Dempsey v. Envision Credit Union</w:t>
      </w:r>
      <w:r>
        <w:rPr>
          <w:rFonts w:ascii="arial" w:eastAsia="arial" w:hAnsi="arial" w:cs="arial"/>
          <w:color w:val="000000"/>
          <w:sz w:val="20"/>
          <w:lang w:val="en-US" w:eastAsia="en-US" w:bidi="ar-SA"/>
        </w:rPr>
        <w:t xml:space="preserve">, </w:t>
      </w:r>
      <w:hyperlink r:id="rId176" w:history="1">
        <w:r>
          <w:rPr>
            <w:rFonts w:ascii="arial" w:eastAsia="arial" w:hAnsi="arial" w:cs="arial"/>
            <w:i/>
            <w:color w:val="0077CC"/>
            <w:sz w:val="20"/>
            <w:u w:val="single"/>
            <w:shd w:val="clear" w:color="auto" w:fill="FFFFFF"/>
            <w:lang w:val="en-US" w:eastAsia="en-US" w:bidi="ar-SA"/>
          </w:rPr>
          <w:t>2006 BCSC 750</w:t>
        </w:r>
      </w:hyperlink>
      <w:r>
        <w:rPr>
          <w:rFonts w:ascii="arial" w:eastAsia="arial" w:hAnsi="arial" w:cs="arial"/>
          <w:color w:val="000000"/>
          <w:sz w:val="20"/>
          <w:lang w:val="en-US" w:eastAsia="en-US" w:bidi="ar-SA"/>
        </w:rPr>
        <w:t>, at paras. 9, 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The plaintiff has repeated many of the claims from his three previous Supreme Court actions in this action, although, as I earlier observed, he has changed some of the language. For example, the plaintiff has always alleged a breach of his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rights and this is the third time he has sought damages for the possibility of a brain tumour. Two previous judges have already dismissed these claims and the plaintiff is estopped from proceeding with them. By repeatedly beginning new actions which raise the same allegations and claims, rather than appealing the previous decisions, the plaintiff is abusing the court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only new claims concern the loss of brain privacy and security, the violation of the plaintiff's rights as a First Nations Indian, and the request that the defendants facilitate and pay for an operation to have the microchip removed. However, these claims are still based on the same circumstances and subject matter as in the prior actions. Thus, these new claims should have been raised in the earlier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Therefore, I order that the pleadings be struck and the action be dismissed as against all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Section 18 of the </w:t>
      </w:r>
      <w:r>
        <w:rPr>
          <w:rFonts w:ascii="arial" w:eastAsia="arial" w:hAnsi="arial" w:cs="arial"/>
          <w:i/>
          <w:color w:val="000000"/>
          <w:sz w:val="20"/>
          <w:lang w:val="en-US" w:eastAsia="en-US" w:bidi="ar-SA"/>
        </w:rPr>
        <w:t>Supreme Court Act</w:t>
      </w:r>
      <w:r>
        <w:rPr>
          <w:rFonts w:ascii="arial" w:eastAsia="arial" w:hAnsi="arial" w:cs="arial"/>
          <w:color w:val="000000"/>
          <w:sz w:val="20"/>
          <w:lang w:val="en-US" w:eastAsia="en-US" w:bidi="ar-SA"/>
        </w:rPr>
        <w:t xml:space="preserve"> reads:</w:t>
      </w:r>
      <w:r>
        <w:rPr>
          <w:rFonts w:ascii="arial" w:eastAsia="arial" w:hAnsi="arial" w:cs="arial"/>
          <w:sz w:val="20"/>
          <w:lang w:val="en-US" w:eastAsia="en-US" w:bidi="ar-SA"/>
        </w:rPr>
        <w:cr/>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on application by any person, the court is satisfied that a person has habitually, persistently and without reasonable grounds, instituted vexatious legal proceedings in Supreme Court or in the Provincial Court against the same or different persons, the court may, after hearing that person or giving him or her an opportunity to be heard, order that a legal proceeding must not, without leave of the court, be instituted by that person in any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According to </w:t>
      </w:r>
      <w:r>
        <w:rPr>
          <w:rFonts w:ascii="arial" w:eastAsia="arial" w:hAnsi="arial" w:cs="arial"/>
          <w:i/>
          <w:color w:val="000000"/>
          <w:sz w:val="20"/>
          <w:lang w:val="en-US" w:eastAsia="en-US" w:bidi="ar-SA"/>
        </w:rPr>
        <w:t>British Columbia (Public Guardian and Trustee) v. Brown</w:t>
      </w:r>
      <w:r>
        <w:rPr>
          <w:rFonts w:ascii="arial" w:eastAsia="arial" w:hAnsi="arial" w:cs="arial"/>
          <w:color w:val="000000"/>
          <w:sz w:val="20"/>
          <w:lang w:val="en-US" w:eastAsia="en-US" w:bidi="ar-SA"/>
        </w:rPr>
        <w:t xml:space="preserve">, </w:t>
      </w:r>
      <w:hyperlink r:id="rId177" w:history="1">
        <w:r>
          <w:rPr>
            <w:rFonts w:ascii="arial" w:eastAsia="arial" w:hAnsi="arial" w:cs="arial"/>
            <w:i/>
            <w:color w:val="0077CC"/>
            <w:sz w:val="20"/>
            <w:u w:val="single"/>
            <w:shd w:val="clear" w:color="auto" w:fill="FFFFFF"/>
            <w:lang w:val="en-US" w:eastAsia="en-US" w:bidi="ar-SA"/>
          </w:rPr>
          <w:t>2002 BCSC 1152</w:t>
        </w:r>
      </w:hyperlink>
      <w:r>
        <w:rPr>
          <w:rFonts w:ascii="arial" w:eastAsia="arial" w:hAnsi="arial" w:cs="arial"/>
          <w:color w:val="000000"/>
          <w:sz w:val="20"/>
          <w:lang w:val="en-US" w:eastAsia="en-US" w:bidi="ar-SA"/>
        </w:rPr>
        <w:t>, at paras. 47-48, the applicants must establish two elements in order to be successful:</w:t>
      </w:r>
      <w:r>
        <w:rPr>
          <w:rFonts w:ascii="arial" w:eastAsia="arial" w:hAnsi="arial" w:cs="arial"/>
          <w:sz w:val="20"/>
          <w:lang w:val="en-US" w:eastAsia="en-US" w:bidi="ar-SA"/>
        </w:rPr>
        <w:cr/>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proceedings must be "vexatious"; in other words, they are annoying, irritating, distressing or harassing and are taken without reasonable grounds; and</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Considered objectively, there must be a knowing and deliberate repetition or continuation of the vexatious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In determining whether proceedings are vexatious, it is also necessary to consider "the whole history of the matter" and whether the person instituting the proceedings has failed to pay the costs of unsuccessful proceedings: </w:t>
      </w:r>
      <w:r>
        <w:rPr>
          <w:rFonts w:ascii="arial" w:eastAsia="arial" w:hAnsi="arial" w:cs="arial"/>
          <w:i/>
          <w:color w:val="000000"/>
          <w:sz w:val="20"/>
          <w:lang w:val="en-US" w:eastAsia="en-US" w:bidi="ar-SA"/>
        </w:rPr>
        <w:t>Lang Michener</w:t>
      </w:r>
      <w:r>
        <w:rPr>
          <w:rFonts w:ascii="arial" w:eastAsia="arial" w:hAnsi="arial" w:cs="arial"/>
          <w:color w:val="000000"/>
          <w:sz w:val="20"/>
          <w:lang w:val="en-US" w:eastAsia="en-US" w:bidi="ar-SA"/>
        </w:rPr>
        <w:t xml:space="preserve"> at 358-59.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Two previous judges and I have all found the plaintiff's Supreme Court actions concerning this matter vexatious. Further, the plaintiff has not paid any of the costs orders from the two previous judgments.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 accept that the plaintiff likely believes the allegations he makes and does not see his actions as vexatious. However, it is not necessary that the plaintiff knows that his conduct is vexatious. The plaintiff has filed these four actions over the course of 15 months. The plaintiff commenced this action after assuring Halfyard J. on July 23, 2009, that he would not file another action regarding the same issues until a s. 18 application could be heard. After reading Halfyard J.'s judgment, the plaintiff ought to have known that this action would also be considered vexatious since it was based on similar subject matter with similar claims and could not succeed for that reason alone. Instead, the plaintiff has knowingly and intentionally repeated his vexatious conduct. He has habitually, persistently and without reasonable grounds started legal proceedings against the applicants.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my opinion, if I do not grant the s. 18 order, it is highly likely that the plaintiff will continue to file statements of claim that are derived from the same allegations as those that have already been dismissed. This would require these defendants, and possibly others, to spend time and money defending these vexatious pleadings. Although a s. 18 order is a drastic measure, here it is necessary to ensure the proper administration of justice.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defendants also ask that the s. 18 order apply to the plaintiff continuing any legal actions. In</w:t>
      </w:r>
      <w:r>
        <w:rPr>
          <w:rFonts w:ascii="arial" w:eastAsia="arial" w:hAnsi="arial" w:cs="arial"/>
          <w:i/>
          <w:color w:val="000000"/>
          <w:sz w:val="20"/>
          <w:lang w:val="en-US" w:eastAsia="en-US" w:bidi="ar-SA"/>
        </w:rPr>
        <w:t xml:space="preserve"> Kaiser (Re)</w:t>
      </w:r>
      <w:r>
        <w:rPr>
          <w:rFonts w:ascii="arial" w:eastAsia="arial" w:hAnsi="arial" w:cs="arial"/>
          <w:color w:val="000000"/>
          <w:sz w:val="20"/>
          <w:lang w:val="en-US" w:eastAsia="en-US" w:bidi="ar-SA"/>
        </w:rPr>
        <w:t xml:space="preserve">, </w:t>
      </w:r>
      <w:hyperlink r:id="rId178" w:history="1">
        <w:r>
          <w:rPr>
            <w:rFonts w:ascii="arial" w:eastAsia="arial" w:hAnsi="arial" w:cs="arial"/>
            <w:i/>
            <w:color w:val="0077CC"/>
            <w:sz w:val="20"/>
            <w:u w:val="single"/>
            <w:shd w:val="clear" w:color="auto" w:fill="FFFFFF"/>
            <w:lang w:val="en-US" w:eastAsia="en-US" w:bidi="ar-SA"/>
          </w:rPr>
          <w:t>2008 BCSC 451</w:t>
        </w:r>
      </w:hyperlink>
      <w:r>
        <w:rPr>
          <w:rFonts w:ascii="arial" w:eastAsia="arial" w:hAnsi="arial" w:cs="arial"/>
          <w:color w:val="000000"/>
          <w:sz w:val="20"/>
          <w:lang w:val="en-US" w:eastAsia="en-US" w:bidi="ar-SA"/>
        </w:rPr>
        <w:t xml:space="preserve">, </w:t>
      </w:r>
      <w:hyperlink r:id="rId178" w:history="1">
        <w:r>
          <w:rPr>
            <w:rFonts w:ascii="arial" w:eastAsia="arial" w:hAnsi="arial" w:cs="arial"/>
            <w:i/>
            <w:color w:val="0077CC"/>
            <w:sz w:val="20"/>
            <w:u w:val="single"/>
            <w:shd w:val="clear" w:color="auto" w:fill="FFFFFF"/>
            <w:lang w:val="en-US" w:eastAsia="en-US" w:bidi="ar-SA"/>
          </w:rPr>
          <w:t>41 C.B.R. (5th) 200</w:t>
        </w:r>
      </w:hyperlink>
      <w:r>
        <w:rPr>
          <w:rFonts w:ascii="arial" w:eastAsia="arial" w:hAnsi="arial" w:cs="arial"/>
          <w:color w:val="000000"/>
          <w:sz w:val="20"/>
          <w:lang w:val="en-US" w:eastAsia="en-US" w:bidi="ar-SA"/>
        </w:rPr>
        <w:t>, at paras. 19-20, Chamberlist J. noted that a s. 18 order should not apply to unrelated legal proceedings that were commenced prior to the s. 18 order in the absence of express terms being included in the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With these pleadings dismissed, it appears that the plaintiff's only outstanding action is the one in Provincial Court (Small Claims) against Her Majesty the Queen in right of the Province of British Columbia, the Attorney General of British Columbia, the Solicitor General of British Columbia, and the Nanaimo Provincial Court Sheriff's Department.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The claims in the Small Claims Court action stem from physical injuries, one of which the plaintiff alleges occurred due to a defective door at the RCMP station, and the second which the plaintiff alleges was a result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subsequent actions of the Sheriff's Department. While the plaintiff does, once again, mention cognitive manipulation in his pleadings, the bulk of the claim appears unrelated. I am not prepared to extend the s. 18 order to prohibit the plaintiff continuing the Small Claims Court action. A Provincial Court judge, during a settlement conference or other Small Claims Court proceeding, can determine which portions of the pleading falls under issue estoppel or should otherwise be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conclusion, I grant the s. 18 order: The plaintiff must not, without leave of this court, institute a legal proceeding in any court of British Columbia. This order does not apply to the Provincial Court (Small Claims) action which the plaintiff has already started. If the plaintiff has already commenced any other proceeding, but not yet served it upon the defendants, the defendants have leave to apply to extend the s. 18 order to such a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summary, I strike out the statement of claim and dismiss the proceeding as against all defendants. I grant the s. 18 order on the terms set out above. The defendants are entitled to costs on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M.D. MACAULAY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59" style="position:absolute;z-index:25184358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79"/>
          <w:headerReference w:type="default" r:id="rId180"/>
          <w:footerReference w:type="even" r:id="rId181"/>
          <w:footerReference w:type="default" r:id="rId182"/>
          <w:headerReference w:type="first" r:id="rId183"/>
          <w:footerReference w:type="first" r:id="rId18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85" w:history="1">
        <w:r>
          <w:rPr>
            <w:rFonts w:ascii="arial" w:eastAsia="arial" w:hAnsi="arial" w:cs="arial"/>
            <w:b/>
            <w:bCs/>
            <w:i/>
            <w:color w:val="0077CC"/>
            <w:kern w:val="32"/>
            <w:sz w:val="28"/>
            <w:szCs w:val="32"/>
            <w:u w:val="single"/>
            <w:shd w:val="clear" w:color="auto" w:fill="FFFFFF"/>
            <w:lang w:val="en-US" w:eastAsia="en-US" w:bidi="ar-SA"/>
          </w:rPr>
          <w:t>R. v. Sanford, [2014] B.C.J. No. 326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Chilliwack,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J.M. Gropper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6-8,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January 9,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59779-2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Chilliwack</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[2014] B.C.J. No. 326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2014 BCSC 310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63 M.V.R. (6th) 61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111 W.C.B. (2d) 946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2014 CarswellBC 453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Regina, and Robert Larry Sanford</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60" style="position:absolute;z-index:2516654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46" w:name="Keywords_6"/>
      <w:bookmarkEnd w:id="46"/>
      <w:r>
        <w:rPr>
          <w:rFonts w:ascii="arial" w:eastAsia="arial" w:hAnsi="arial" w:cs="arial"/>
          <w:b/>
          <w:color w:val="000000"/>
          <w:sz w:val="20"/>
          <w:lang w:val="en-US" w:eastAsia="en-US" w:bidi="ar-SA"/>
        </w:rPr>
        <w:t>Criminal law — Criminal Code offences — Offences against person and reputation — Motor vehicles — Dangerous operation of motor vehicle — Causing bodily harm — Trial of Sanford, charged with dangerous driving causing bodily harm — 14-year-old May was crossing a crosswalk on his skateboard when he was struck by Sanford's vehicle — May sustained numerous injuries including fractures and a concussion — Sanford passed another vehicle on the right and left the roadway to do so — While Sanford was careless, his conduct constituted a momentary lapse of attention rather than a marked departure from the norm — Sanford found not guilty.</w:t>
      </w:r>
    </w:p>
    <w:p>
      <w:pPr>
        <w:jc w:val="both"/>
        <w:rPr>
          <w:rFonts w:ascii="arial" w:eastAsia="arial" w:hAnsi="arial" w:cs="arial"/>
          <w:sz w:val="20"/>
          <w:lang w:val="en-US" w:eastAsia="en-US" w:bidi="ar-SA"/>
        </w:rPr>
      </w:pPr>
      <w:bookmarkStart w:id="47" w:name="Legislation Cited_6"/>
      <w:bookmarkEnd w:id="4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61" style="position:absolute;z-index:2517166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Criminal Code, R.S.C. 1985, c. C-46, s. 249(1)(a), s. 249(3)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Motor Vehicle Act, RSBC 1996, CHAPTER 18, s. 158, s. 159, s. 179</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48" w:name="Counsel_6"/>
      <w:bookmarkEnd w:id="48"/>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62" style="position:absolute;z-index:2517678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Crown: G. Lindsey.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Accused: J. Reveley.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49" w:name="Judgment_6"/>
      <w:bookmarkEnd w:id="49"/>
      <w:r>
        <w:pict>
          <v:line id="_x0000_s1063" style="position:absolute;z-index:25181900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Oral 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8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50" w:name="J.M. GROPPER J. (orally)"/>
            <w:bookmarkEnd w:id="50"/>
            <w:r>
              <w:rPr>
                <w:rFonts w:ascii="arial" w:eastAsia="arial" w:hAnsi="arial" w:cs="arial"/>
                <w:b/>
                <w:color w:val="000000"/>
                <w:sz w:val="30"/>
                <w:lang w:val="en-US" w:eastAsia="en-US" w:bidi="ar-SA"/>
              </w:rPr>
              <w:t>J.M. GROPPER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November 4, 2011, between 7:30 and 8:00 p.m., Gavin May, who was 14 years old at the time, was heading down Charles Street in Chilliwack going south as a pedestrian to meet his friend at a church located on the southeast corner of the intersection of First Avenue and Charles Street. He was travelling by skateboard. He was dressed in a dark brown or black jacket, blue jeans, and black shoes. He was wearing an olive green tuque. It was dark.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First Avenue is a through street and it can be busy with cars, pedestrians, bicyclists, and skateboarders. The evidence is not clear about whether it was busy on November 4, 2011 between 7:30 and 8:00 p.m.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First Avenue has one lane in each direction. On the western side of the intersection at Charles Street, there is a marked crosswalk. On the eastbound side adjacent to the roadway there is a marked bicycle lane, and there is also a pedestrian crossing sign at the southern end of the crosswalk facing the eastbound traffic.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When Gavin May got to the intersection of Charles and First Avenue, he stopped at the northwest corner of the intersection, picked up his skateboard and looked around. His intention was to cross First Avenue to the other side of Charles at the marked crosswalk. He says that before he started across he saw a car stopped across the street in the westbound lane and a truck stopped in the eastbound lane that had its blinker on, signalling a left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As the east and westbound cars were stopped, Mr. May says "I assumed that I was good to go. I put my skateboard down and got on it and pushed twice and went across the crosswalk."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May did not make it across the crosswalk. He got across the westbound lane and in front of the truck he saw in the eastbound lane with its blinker. At that moment, Mr. Sanford had pulled to the right of the truck with its blinker on and drove through the intersection. Mr. Sanford's vehicle collided with Mr. May. Mr. May became airborne and landed in the middle of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As a result of the collision, Mr. May was in and out of consciousness at the scene. He suffered several injuries including a right elbow fracture, a right fibula fracture, a right tibia fracture, abrasions on his head, back, chest and left hand, and a concussion.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Mr. Sanford is charged with dangerous driving causing bodily harm, contrary to s. 249(3) of the </w:t>
      </w:r>
      <w:r>
        <w:rPr>
          <w:rFonts w:ascii="arial" w:eastAsia="arial" w:hAnsi="arial" w:cs="arial"/>
          <w:i/>
          <w:color w:val="000000"/>
          <w:sz w:val="20"/>
          <w:lang w:val="en-US" w:eastAsia="en-US" w:bidi="ar-SA"/>
        </w:rPr>
        <w:t>Criminal</w:t>
      </w:r>
      <w:r>
        <w:rPr>
          <w:rFonts w:ascii="arial" w:eastAsia="arial" w:hAnsi="arial" w:cs="arial"/>
          <w:color w:val="000000"/>
          <w:sz w:val="20"/>
          <w:lang w:val="en-US" w:eastAsia="en-US" w:bidi="ar-SA"/>
        </w:rPr>
        <w:t xml:space="preserve"> Code, R.S.C. 1985, c. C-46:</w:t>
      </w:r>
      <w:r>
        <w:rPr>
          <w:rFonts w:ascii="arial" w:eastAsia="arial" w:hAnsi="arial" w:cs="arial"/>
          <w:sz w:val="20"/>
          <w:lang w:val="en-US" w:eastAsia="en-US" w:bidi="ar-SA"/>
        </w:rPr>
        <w:cr/>
      </w:r>
    </w:p>
    <w:p>
      <w:pPr>
        <w:numPr>
          <w:numId w:val="9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Every one commits an offence who operates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motor vehicle in a manner that is dangerous to the public, having regard to all the circumstances, including the nature, condition and use of the place at which the motor vehicle is being operated and the amount of traffic that at the time is or might reasonably be expected to be at that place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Every one who commits an offence under subsection (1) and thereby causes bodily harm to any other person is guilty of an indictable offence and liable to imprisonment for a term not exceeding ten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reviewing the evidence I have included quotes from the witnesses. The quotes are from my notes of the evidence, which is not a transcript.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and Mrs. Davis were eastbound in the vehicle directly behind Mr. Sanford's which they described as a white van. The Davis' followed the white van for some time. Neither Mr. nor Mrs. Davis noticed anything remarkable about how the white van was being driven.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Mrs. Davis says,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we neared Charles I was conversing with my husband. The vehicle in front of us was slowing; the vehicle in front of the van was stopped before the crosswalk. The van pulled around to the right. On the right there was not another lane. There was no sidewalk. There may be a bike lane but I can't say for 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Later in her evidence she says,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After the van pulled to the right my husband was slowing down and then I saw a blur of a person coming. The stopped vehicle in front of us at the driver's side is where I first saw that person. I could not make anything out. It was a person coming fast across the crosswalk. It was faster than a walk. The speed of the person and the speed of the van; the van was going to hit the person. The person and the van connected and the kid went flying.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Davis' recollection is similar. Neither Mr. nor Mrs. Davis could say whether there was a vehicle stopped across the intersection in the westbound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Greg Young was stopped in the eastbound lane on First Avenue. He intended to turn left onto Charles Street, that is, north. He says he pulled up to the crosswalk and he signalled to turn left. He stopped to let "the kid", who we know is Gavin May, cross. He says there was someone stopped on the opposite side of First Avenue in the westbound lane. As Mr. Young was waiting for Mr. May to cross, Mr. Young says, "the vehicle went around my right side. I didn't notice the vehicle before the kid got hit. I can't remember if I heard a braking, it happened so fast." Mr. Young is referring to Mr. Sanford's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At the same time, Branden Vanden Eykel was heading to his friend's house and was travelling in his vehicle westbound on First Avenue towards Charles Street, at the speed limit or slightly faster. He says he did not think that there was a car ahead of him driving in the same direction.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As he headed west, Mr. Vanden Eykel says he saw a car stopped with its blinker on across Charles on the opposite side of First Avenue. When he was about 200 feet from the intersection, Mr. Vanden Eykel said he noticed a shadow crossing in front of the stopped car's headlights. He slowed down and about two seconds later, when Mr. Vanden Eykel was about 100 feet from the crosswalk, he said he heard a thump. He did not know what it was at first. He saw a white van that passed the stopped vehicle to its right which then drove through the intersection and pulled over. He realized that the thump was the sound of the collision between the white van and Mr. May.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Vanden Eykel says if there was no one crossing First Avenue in the crosswalk on the western side of the intersection a left turning vehicle would have had time to pass in front of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Position of the Parties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Crown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 Crown argues that Mr. Sanford engaged in dangerous driving when he passed on the right of Mr. Young's vehicle that was stopped at the crosswalk and proceeded through the intersection without stopping. In doing so, the Crown says, Mr. Sanford breached several sections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18</w:t>
      </w:r>
      <w:r>
        <w:rPr>
          <w:rFonts w:ascii="arial" w:eastAsia="arial" w:hAnsi="arial" w:cs="arial"/>
          <w:color w:val="000000"/>
          <w:sz w:val="20"/>
          <w:lang w:val="en-US" w:eastAsia="en-US" w:bidi="ar-SA"/>
        </w:rPr>
        <w:t>: he passed on the right by driving off a roadway (s. 158); he left the designated roadway and entered a marked vehicle lane (s. 159); and he passed a vehicle that was stopped to permit a pedestrian to cross (s. 179).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Although Mr. Vanden Eykel says he was not stopped in the westbound lane on the eastern side of the intersection, the Crown says I should prefer the evidence of Gavin May that he was "good to go" having observed vehicles in the eastbound and westbound lanes stopped on First Avenue at Charles Street and the evidence of Greg Young which was that a car was stopped opposite to him in the westbound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Crown asserts that Mr. Vanden Eykel may simply be wrong about where he was when he first observed a shadow in the headlights of the eastbound vehicle, that is, Mr. Young's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Crown says that the presence of those vehicles stopped would have alerted Mr. Sanford that there was a reason to stop at the intersection and not to pass Mr. Young's vehicle and proceed through the intersection without stopping. This the Crown says is a marked departure from the standard of care expected of a reasonable person in Mr. Sanford's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Crown says that even if I do not find that there was a vehicle stopped in the westbound lane, that is, if I accept Mr. Vanden Eykel's evidence, a reasonable driver in Mr. Sanford's position still observing Mr. Young's vehicle stopped would have been alerted to there being something in the intersection which caused Mr. Young's vehicle to stop. If the westbound vehicle was as far away as Mr. Vanden Eykel said he was, Mr. Young would have been able to make his left hand turn. This should have signalled to Mr. Sanford that Mr. Young was stopped for a reason, likely a pedestrian.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With or without the presence of the westbound vehicle stopped on First Avenue at Charles Street, the Crown says Mr. Sanford's decision not to stop and check and proceed through the intersection by passing Mr. Young on the right satisfies the </w:t>
      </w:r>
      <w:r>
        <w:rPr>
          <w:rFonts w:ascii="arial" w:eastAsia="arial" w:hAnsi="arial" w:cs="arial"/>
          <w:i/>
          <w:color w:val="000000"/>
          <w:sz w:val="20"/>
          <w:lang w:val="en-US" w:eastAsia="en-US" w:bidi="ar-SA"/>
        </w:rPr>
        <w:t>mens rea</w:t>
      </w:r>
      <w:r>
        <w:rPr>
          <w:rFonts w:ascii="arial" w:eastAsia="arial" w:hAnsi="arial" w:cs="arial"/>
          <w:color w:val="000000"/>
          <w:sz w:val="20"/>
          <w:lang w:val="en-US" w:eastAsia="en-US" w:bidi="ar-SA"/>
        </w:rPr>
        <w:t xml:space="preserve"> of the offence. A reasonable person would have foreseen the risk and taken steps to avoid it if possible. Mr. Sanford's failure to do so was a marked departure from the standard of care expected of a reasonable person in Mr. Sanford's circumstances.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Mr. Sanford asserts that a breach of a section or sections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is not determinative of dangerous driving. He says that Gavin May was wearing dark clothes on a dark night and crossed on his skateboard faster than walking speed. Neither one of the Davis witnesses saw Mr. May before the collision, and he was only a shadow to Mr. Vanden Eykel. He was not obviously visible.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accused argues that the only rational conclusion is that Mr. Sanford saw the lights of the oncoming vehicle, that is, Mr. Vanden Eykel's vehicle, and Mr. Young's vehicle with its left turn signal on and thought that Mr. Young was waiting for the westbound vehicle to pass before he made his left turn onto Charles.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those circumstances Mr. Sanford argues he slowed down and then pulled to the right with the intent of passing the Young vehicle turning left and proceeding east on First Avenue. The defence argues that this is not failing to see a risk nor was it a marked departure from the standard of care expected of a reasonable person in the accused's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Legal Framework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The nature of the offence of dangerous driving causing bodily harm has been described by the Supreme Court of Canada in the decision of </w:t>
      </w:r>
      <w:r>
        <w:rPr>
          <w:rFonts w:ascii="arial" w:eastAsia="arial" w:hAnsi="arial" w:cs="arial"/>
          <w:i/>
          <w:color w:val="000000"/>
          <w:sz w:val="20"/>
          <w:lang w:val="en-US" w:eastAsia="en-US" w:bidi="ar-SA"/>
        </w:rPr>
        <w:t>R. v. Roy</w:t>
      </w:r>
      <w:r>
        <w:rPr>
          <w:rFonts w:ascii="arial" w:eastAsia="arial" w:hAnsi="arial" w:cs="arial"/>
          <w:color w:val="000000"/>
          <w:sz w:val="20"/>
          <w:lang w:val="en-US" w:eastAsia="en-US" w:bidi="ar-SA"/>
        </w:rPr>
        <w:t xml:space="preserve">, </w:t>
      </w:r>
      <w:hyperlink r:id="rId186" w:history="1">
        <w:r>
          <w:rPr>
            <w:rFonts w:ascii="arial" w:eastAsia="arial" w:hAnsi="arial" w:cs="arial"/>
            <w:i/>
            <w:color w:val="0077CC"/>
            <w:sz w:val="20"/>
            <w:u w:val="single"/>
            <w:shd w:val="clear" w:color="auto" w:fill="FFFFFF"/>
            <w:lang w:val="en-US" w:eastAsia="en-US" w:bidi="ar-SA"/>
          </w:rPr>
          <w:t>2012 SCC 26</w:t>
        </w:r>
      </w:hyperlink>
      <w:r>
        <w:rPr>
          <w:rFonts w:ascii="arial" w:eastAsia="arial" w:hAnsi="arial" w:cs="arial"/>
          <w:color w:val="000000"/>
          <w:sz w:val="20"/>
          <w:lang w:val="en-US" w:eastAsia="en-US" w:bidi="ar-SA"/>
        </w:rPr>
        <w:t>. The Court begins at paras. 1 and 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 Dangerous driving causing death is a serious criminal offence punishable by up to 14 years in prison. [And I will say that dangerous driving causing bodily harm is also a serious criminal offence punishable up to ten years in prison]. Like all criminal offences, it consists of two components: prohibited conduct -- operating a motor vehicle in a dangerous manner resulting in death -- and a required degree of fault -- a marked departure from the standard of care that a reasonable person would observe in all the circumstances. The fault component is critical, as it ensures that criminal punishment is only imposed on those deserving the stigma of a criminal conviction. While a mere departure from the standard of care justifies imposing civil liability, only a marked departure justifies the fault requirement for this serious criminal offence.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 Defining and applying this fault element is important, but also challenging, given the inherently dangerous nature of driving. Even simple carelessness may result in tragic consequences which may tempt judges and juries to unduly extend the reach of the criminal law to those responsible. Yet, as the Court put in </w:t>
      </w:r>
      <w:r>
        <w:rPr>
          <w:rFonts w:ascii="arial" w:eastAsia="arial" w:hAnsi="arial" w:cs="arial"/>
          <w:i/>
          <w:color w:val="000000"/>
          <w:sz w:val="20"/>
          <w:lang w:val="en-US" w:eastAsia="en-US" w:bidi="ar-SA"/>
        </w:rPr>
        <w:t>R. v. Beatty</w:t>
      </w:r>
      <w:r>
        <w:rPr>
          <w:rFonts w:ascii="arial" w:eastAsia="arial" w:hAnsi="arial" w:cs="arial"/>
          <w:color w:val="000000"/>
          <w:sz w:val="20"/>
          <w:lang w:val="en-US" w:eastAsia="en-US" w:bidi="ar-SA"/>
        </w:rPr>
        <w:t xml:space="preserve">, </w:t>
      </w:r>
      <w:hyperlink r:id="rId187" w:history="1">
        <w:r>
          <w:rPr>
            <w:rFonts w:ascii="arial" w:eastAsia="arial" w:hAnsi="arial" w:cs="arial"/>
            <w:i/>
            <w:color w:val="0077CC"/>
            <w:sz w:val="20"/>
            <w:u w:val="single"/>
            <w:shd w:val="clear" w:color="auto" w:fill="FFFFFF"/>
            <w:lang w:val="en-US" w:eastAsia="en-US" w:bidi="ar-SA"/>
          </w:rPr>
          <w:t>2008 SCC 5</w:t>
        </w:r>
      </w:hyperlink>
      <w:r>
        <w:rPr>
          <w:rFonts w:ascii="arial" w:eastAsia="arial" w:hAnsi="arial" w:cs="arial"/>
          <w:color w:val="000000"/>
          <w:sz w:val="20"/>
          <w:lang w:val="en-US" w:eastAsia="en-US" w:bidi="ar-SA"/>
        </w:rPr>
        <w:t xml:space="preserve">, </w:t>
      </w:r>
      <w:hyperlink r:id="rId187" w:history="1">
        <w:r>
          <w:rPr>
            <w:rFonts w:ascii="arial" w:eastAsia="arial" w:hAnsi="arial" w:cs="arial"/>
            <w:i/>
            <w:color w:val="0077CC"/>
            <w:sz w:val="20"/>
            <w:u w:val="single"/>
            <w:shd w:val="clear" w:color="auto" w:fill="FFFFFF"/>
            <w:lang w:val="en-US" w:eastAsia="en-US" w:bidi="ar-SA"/>
          </w:rPr>
          <w:t>[2008] 1 S.C.R. 49</w:t>
        </w:r>
      </w:hyperlink>
      <w:r>
        <w:rPr>
          <w:rFonts w:ascii="arial" w:eastAsia="arial" w:hAnsi="arial" w:cs="arial"/>
          <w:color w:val="000000"/>
          <w:sz w:val="20"/>
          <w:lang w:val="en-US" w:eastAsia="en-US" w:bidi="ar-SA"/>
        </w:rPr>
        <w:t>, at para. 34, "If every departure from the civil norm is to be criminalized, regardless of the degree, we risk casting the net too widely and branding as criminals persons who are in reality not morally blameworthy." Giving careful attention to the fault element of the offence is essential if we are to avoid making criminals out of the merely careless.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this case, there are two issues:</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Has the Crown proven beyond a reasonable doubt that at the relevant time Mr. Sanford was operating his motor vehicle as set out in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in a manner dangerous to the public having regard to all the circumstances including the nature, condition and use of the place at which the vehicle was being operated and the amount of traffic at the time or might reasonably be expected to be at that place?</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dangerous driving is proven, has the Crown proven beyond a reasonable doubt that the bodily harm to Mr. May was caused by Mr. Sanford's dangerous driving?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The legal principles that apply in respect to dangerous driving are set out in the two cases to which I have referred: </w:t>
      </w:r>
      <w:r>
        <w:rPr>
          <w:rFonts w:ascii="arial" w:eastAsia="arial" w:hAnsi="arial" w:cs="arial"/>
          <w:i/>
          <w:color w:val="000000"/>
          <w:sz w:val="20"/>
          <w:lang w:val="en-US" w:eastAsia="en-US" w:bidi="ar-SA"/>
        </w:rPr>
        <w:t>Beatty</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Roy</w:t>
      </w:r>
      <w:r>
        <w:rPr>
          <w:rFonts w:ascii="arial" w:eastAsia="arial" w:hAnsi="arial" w:cs="arial"/>
          <w:color w:val="000000"/>
          <w:sz w:val="20"/>
          <w:lang w:val="en-US" w:eastAsia="en-US" w:bidi="ar-SA"/>
        </w:rPr>
        <w:t>. The principles are:</w:t>
      </w:r>
      <w:r>
        <w:rPr>
          <w:rFonts w:ascii="arial" w:eastAsia="arial" w:hAnsi="arial" w:cs="arial"/>
          <w:sz w:val="20"/>
          <w:lang w:val="en-US" w:eastAsia="en-US" w:bidi="ar-SA"/>
        </w:rPr>
        <w:cr/>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offence of dangerous driving is focussed on the manner of driving, not the condition of the driver; and</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analytical process to determine whether dangerous driving has been proven is defined as follows:</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i/>
          <w:color w:val="000000"/>
          <w:sz w:val="20"/>
          <w:lang w:val="en-US" w:eastAsia="en-US" w:bidi="ar-SA"/>
        </w:rPr>
        <w:t>actus reus</w:t>
      </w:r>
      <w:r>
        <w:rPr>
          <w:rFonts w:ascii="arial" w:eastAsia="arial" w:hAnsi="arial" w:cs="arial"/>
          <w:color w:val="000000"/>
          <w:sz w:val="20"/>
          <w:lang w:val="en-US" w:eastAsia="en-US" w:bidi="ar-SA"/>
        </w:rPr>
        <w:t xml:space="preserve"> is defined in para. 34 of </w:t>
      </w:r>
      <w:r>
        <w:rPr>
          <w:rFonts w:ascii="arial" w:eastAsia="arial" w:hAnsi="arial" w:cs="arial"/>
          <w:i/>
          <w:color w:val="000000"/>
          <w:sz w:val="20"/>
          <w:lang w:val="en-US" w:eastAsia="en-US" w:bidi="ar-SA"/>
        </w:rPr>
        <w:t>Roy</w:t>
      </w:r>
      <w:r>
        <w:rPr>
          <w:rFonts w:ascii="arial" w:eastAsia="arial" w:hAnsi="arial" w:cs="arial"/>
          <w:color w:val="000000"/>
          <w:sz w:val="20"/>
          <w:lang w:val="en-US" w:eastAsia="en-US" w:bidi="ar-SA"/>
        </w:rPr>
        <w: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[34] In considering whether the </w:t>
      </w:r>
      <w:r>
        <w:rPr>
          <w:rFonts w:ascii="arial" w:eastAsia="arial" w:hAnsi="arial" w:cs="arial"/>
          <w:i/>
          <w:color w:val="000000"/>
          <w:sz w:val="20"/>
          <w:lang w:val="en-US" w:eastAsia="en-US" w:bidi="ar-SA"/>
        </w:rPr>
        <w:t>actus reus</w:t>
      </w:r>
      <w:r>
        <w:rPr>
          <w:rFonts w:ascii="arial" w:eastAsia="arial" w:hAnsi="arial" w:cs="arial"/>
          <w:color w:val="000000"/>
          <w:sz w:val="20"/>
          <w:lang w:val="en-US" w:eastAsia="en-US" w:bidi="ar-SA"/>
        </w:rPr>
        <w:t xml:space="preserve"> has been established, the question is whether the driving, viewed objectively, was dangerous to the public in all of the circumstances. The focus of this inquiry must be on the risks created by the accused's manner of driving, not the consequences, such as an accident in which he or she was involved. As Charron J. put it, at para. 46 of </w:t>
      </w:r>
      <w:r>
        <w:rPr>
          <w:rFonts w:ascii="arial" w:eastAsia="arial" w:hAnsi="arial" w:cs="arial"/>
          <w:i/>
          <w:color w:val="000000"/>
          <w:sz w:val="20"/>
          <w:lang w:val="en-US" w:eastAsia="en-US" w:bidi="ar-SA"/>
        </w:rPr>
        <w:t>Beatty</w:t>
      </w:r>
      <w:r>
        <w:rPr>
          <w:rFonts w:ascii="arial" w:eastAsia="arial" w:hAnsi="arial" w:cs="arial"/>
          <w:color w:val="000000"/>
          <w:sz w:val="20"/>
          <w:lang w:val="en-US" w:eastAsia="en-US" w:bidi="ar-SA"/>
        </w:rPr>
        <w:t xml:space="preserve">, "The court must not leap to its conclusion about the manner of driving based on the consequence. </w:t>
      </w:r>
      <w:r>
        <w:rPr>
          <w:rFonts w:ascii="arial" w:eastAsia="arial" w:hAnsi="arial" w:cs="arial"/>
          <w:color w:val="000000"/>
          <w:sz w:val="20"/>
          <w:u w:val="single"/>
          <w:lang w:val="en-US" w:eastAsia="en-US" w:bidi="ar-SA"/>
        </w:rPr>
        <w:t>There must be a meaningful inquiry into the manner of driving"</w:t>
      </w:r>
      <w:r>
        <w:rPr>
          <w:rFonts w:ascii="arial" w:eastAsia="arial" w:hAnsi="arial" w:cs="arial"/>
          <w:color w:val="000000"/>
          <w:sz w:val="20"/>
          <w:lang w:val="en-US" w:eastAsia="en-US" w:bidi="ar-SA"/>
        </w:rPr>
        <w:t>. A manner of driving can rightly be qualified as dangerous when it endangers the public. It is the risk of damage or injury created by the manner of driving that is relevant, not the consequences of a subsequent accident. In conducting this inquiry into the manner of driving, it must be borne in mind that driving is an inherently dangerous activity, but one that is both legal and of social value (</w:t>
      </w:r>
      <w:r>
        <w:rPr>
          <w:rFonts w:ascii="arial" w:eastAsia="arial" w:hAnsi="arial" w:cs="arial"/>
          <w:i/>
          <w:color w:val="000000"/>
          <w:sz w:val="20"/>
          <w:lang w:val="en-US" w:eastAsia="en-US" w:bidi="ar-SA"/>
        </w:rPr>
        <w:t>Beatty</w:t>
      </w:r>
      <w:r>
        <w:rPr>
          <w:rFonts w:ascii="arial" w:eastAsia="arial" w:hAnsi="arial" w:cs="arial"/>
          <w:color w:val="000000"/>
          <w:sz w:val="20"/>
          <w:lang w:val="en-US" w:eastAsia="en-US" w:bidi="ar-SA"/>
        </w:rPr>
        <w:t>, at paras. 31 and 34). Accidents caused by these inherent risks materializing should generally not result in criminal convictions.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i/>
          <w:color w:val="000000"/>
          <w:sz w:val="20"/>
          <w:lang w:val="en-US" w:eastAsia="en-US" w:bidi="ar-SA"/>
        </w:rPr>
        <w:t>mens rea</w:t>
      </w:r>
      <w:r>
        <w:rPr>
          <w:rFonts w:ascii="arial" w:eastAsia="arial" w:hAnsi="arial" w:cs="arial"/>
          <w:color w:val="000000"/>
          <w:sz w:val="20"/>
          <w:lang w:val="en-US" w:eastAsia="en-US" w:bidi="ar-SA"/>
        </w:rPr>
        <w:t xml:space="preserve"> is also described in </w:t>
      </w:r>
      <w:r>
        <w:rPr>
          <w:rFonts w:ascii="arial" w:eastAsia="arial" w:hAnsi="arial" w:cs="arial"/>
          <w:i/>
          <w:color w:val="000000"/>
          <w:sz w:val="20"/>
          <w:lang w:val="en-US" w:eastAsia="en-US" w:bidi="ar-SA"/>
        </w:rPr>
        <w:t>Roy,</w:t>
      </w:r>
      <w:r>
        <w:rPr>
          <w:rFonts w:ascii="arial" w:eastAsia="arial" w:hAnsi="arial" w:cs="arial"/>
          <w:color w:val="000000"/>
          <w:sz w:val="20"/>
          <w:lang w:val="en-US" w:eastAsia="en-US" w:bidi="ar-SA"/>
        </w:rPr>
        <w:t xml:space="preserve"> at para. 36:</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[36] The focus of the </w:t>
      </w:r>
      <w:r>
        <w:rPr>
          <w:rFonts w:ascii="arial" w:eastAsia="arial" w:hAnsi="arial" w:cs="arial"/>
          <w:i/>
          <w:color w:val="000000"/>
          <w:sz w:val="20"/>
          <w:lang w:val="en-US" w:eastAsia="en-US" w:bidi="ar-SA"/>
        </w:rPr>
        <w:t>mens rea</w:t>
      </w:r>
      <w:r>
        <w:rPr>
          <w:rFonts w:ascii="arial" w:eastAsia="arial" w:hAnsi="arial" w:cs="arial"/>
          <w:color w:val="000000"/>
          <w:sz w:val="20"/>
          <w:lang w:val="en-US" w:eastAsia="en-US" w:bidi="ar-SA"/>
        </w:rPr>
        <w:t xml:space="preserve"> analysis is on whether the dangerous manner of driving was the result of a marked departure from the standard of care which a reasonable person would have exercised in the same circumstances (</w:t>
      </w:r>
      <w:r>
        <w:rPr>
          <w:rFonts w:ascii="arial" w:eastAsia="arial" w:hAnsi="arial" w:cs="arial"/>
          <w:i/>
          <w:color w:val="000000"/>
          <w:sz w:val="20"/>
          <w:lang w:val="en-US" w:eastAsia="en-US" w:bidi="ar-SA"/>
        </w:rPr>
        <w:t>Beatty</w:t>
      </w:r>
      <w:r>
        <w:rPr>
          <w:rFonts w:ascii="arial" w:eastAsia="arial" w:hAnsi="arial" w:cs="arial"/>
          <w:color w:val="000000"/>
          <w:sz w:val="20"/>
          <w:lang w:val="en-US" w:eastAsia="en-US" w:bidi="ar-SA"/>
        </w:rPr>
        <w:t>, at para. 48). It is helpful to approach the issue by asking two questions. The first is whether, in light of all of the relevant evidence, a reasonable person would have foreseen the risk and taken steps to avoid it if possible. If so, the second question is whether the accused's failure to foresee the risk and take steps to avoid it, if possible, was a marked departure from the standard of care expected of a reasonable person in the accused's circumstances.</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While the actual consequences that follow upon the driving are not the focus on the enquiry, they are not entirely irrelevant. They may be considered as part of the risk;</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court must be cautious in finding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 constituting a criminal offence. There is a fine line; driving is an inherently dangerous activity. The fault component must be carefully examined. It is important for the court to ensure that the line between civil and criminal liability is respected. As Cromwell J. made clear in </w:t>
      </w:r>
      <w:r>
        <w:rPr>
          <w:rFonts w:ascii="arial" w:eastAsia="arial" w:hAnsi="arial" w:cs="arial"/>
          <w:i/>
          <w:color w:val="000000"/>
          <w:sz w:val="20"/>
          <w:lang w:val="en-US" w:eastAsia="en-US" w:bidi="ar-SA"/>
        </w:rPr>
        <w:t>Roy,</w:t>
      </w:r>
      <w:r>
        <w:rPr>
          <w:rFonts w:ascii="arial" w:eastAsia="arial" w:hAnsi="arial" w:cs="arial"/>
          <w:color w:val="000000"/>
          <w:sz w:val="20"/>
          <w:lang w:val="en-US" w:eastAsia="en-US" w:bidi="ar-SA"/>
        </w:rPr>
        <w:t xml:space="preserve"> a mere departure from the standard of care justifies civil liability. For criminal liability to be found, nothing less than a marked departure will suffice.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I must consider whether I can properly conclude that the necessary elements have been proven by the Crown beyond a reasonable doubt. The first issue is whether or not the necessary </w:t>
      </w:r>
      <w:r>
        <w:rPr>
          <w:rFonts w:ascii="arial" w:eastAsia="arial" w:hAnsi="arial" w:cs="arial"/>
          <w:i/>
          <w:color w:val="000000"/>
          <w:sz w:val="20"/>
          <w:lang w:val="en-US" w:eastAsia="en-US" w:bidi="ar-SA"/>
        </w:rPr>
        <w:t>actus reus</w:t>
      </w:r>
      <w:r>
        <w:rPr>
          <w:rFonts w:ascii="arial" w:eastAsia="arial" w:hAnsi="arial" w:cs="arial"/>
          <w:color w:val="000000"/>
          <w:sz w:val="20"/>
          <w:lang w:val="en-US" w:eastAsia="en-US" w:bidi="ar-SA"/>
        </w:rPr>
        <w:t xml:space="preserve"> has been proven. That entails an examination of the manner of driving viewed objectively and the risks created by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The driving in this case resulted in a terrible collision and serious injuries to Mr. May. However, the authorities make it clear that it is not determinative that the driving was dangerous so as to constitute proof of the </w:t>
      </w:r>
      <w:r>
        <w:rPr>
          <w:rFonts w:ascii="arial" w:eastAsia="arial" w:hAnsi="arial" w:cs="arial"/>
          <w:i/>
          <w:color w:val="000000"/>
          <w:sz w:val="20"/>
          <w:lang w:val="en-US" w:eastAsia="en-US" w:bidi="ar-SA"/>
        </w:rPr>
        <w:t>actus reus</w:t>
      </w:r>
      <w:r>
        <w:rPr>
          <w:rFonts w:ascii="arial" w:eastAsia="arial" w:hAnsi="arial" w:cs="arial"/>
          <w:color w:val="000000"/>
          <w:sz w:val="20"/>
          <w:lang w:val="en-US" w:eastAsia="en-US" w:bidi="ar-SA"/>
        </w:rPr>
        <w:t>. It is the manner of the driving which must be examined, not the outcome.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Mr. Sanford, in passing Mr. Young's vehicle on the right, leaving the roadway, and driving in a marked vehicle lane to do so and then proceeding through the intersection when Mr. Young was stopped as he did, failed to observe Mr. May in the crosswalk. Mr. Sanford failed to stop and take the opportunity to observe whether there was a pedestrian in the crosswalk.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As the Crown noted, each of these actions: passing on the right, leaving the roadway to do so, and driving in a marked bicycle lane, and failing to stop to permit a pedestrian to cross are breaches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However, this is not a trial concerning whether those provisions were breached. This is a trial concerning dangerous driving and whether at the relevant time Mr. Sanford was operating his motor vehicle in a manner dangerous to the public as set out in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xml:space="preserve"> provision, that is, having regard to all the circumstances including the nature, condition, use of the place at which the vehicle was being operated and the amount of traffic at the time was or might reasonably be expected.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considering this, I must decide whether the evidence supports a conclusion that there was a vehicle stopped on both the eastern and western side of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It is beyond doubt that Mr. Young was stopped on the western side and had his left turn signal on. I cannot find that there was a vehicle stopped on the eastern side of the intersection. Mr. Vanden Eykel was very clear in his evidence that he was not at the intersection and he was not stopped there when he saw a shadow cross in front of Mr. Young's vehicle headlights and when he heard the thump. He does not recall a vehicle ahead of him in the westbound lane stopped at the intersection. If there was, Mr. Vanden Eykel would not have observed the shadow crossing: the vehicle ahead of him would have obscured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Mr. May and Mr. Young describe a vehicle stopped in the westbound lane. I must make a determination on the evidence presented and in this case I find that there was not a vehicle stopped in the westbound lane opposite to Mr. Young's vehicle. In other words, I accept Mr. Vanden Eykel's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With that finding of fact, I must now consider whether the Crown has proven the elements of the offence beyond a reasonable doubt.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 disagree with the Crown's assertion that the presence or not of a westbound vehicle at a full stop on the eastern side of the intersection is an irrelevant consideration. Without the presence of such a vehicle, Mr. Sanford would only have observed Mr. Young's vehicle stopped with its left turn signal illuminated.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light of that, has the Crown proven that at the relevant time Mr. Sanford was operating his motor vehicle in a manner dangerous to the public, having regard to all the circumstances including the nature, condition, and use of the place at which the vehicle was being operated and the amount of traffic at the time was or might reasonably be expected at that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Section 158(1)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allows a driver to pass on the right where the driver ahead is signalling a left turn. I am not saying that Mr. Sanford was right in doing so, quite the contrary, he left the travelled roadway, entered into a marked bicycle lane and did not slow down or stop at the crosswalk to permit Mr. May to cross. But applying the test that I must, I cannot find that having regard to all the circumstances that Mr. Sanford's driving was dangerous to the public. Neither can I find that the Crown has established the </w:t>
      </w:r>
      <w:r>
        <w:rPr>
          <w:rFonts w:ascii="arial" w:eastAsia="arial" w:hAnsi="arial" w:cs="arial"/>
          <w:i/>
          <w:color w:val="000000"/>
          <w:sz w:val="20"/>
          <w:lang w:val="en-US" w:eastAsia="en-US" w:bidi="ar-SA"/>
        </w:rPr>
        <w:t>mens rea</w:t>
      </w:r>
      <w:r>
        <w:rPr>
          <w:rFonts w:ascii="arial" w:eastAsia="arial" w:hAnsi="arial" w:cs="arial"/>
          <w:color w:val="000000"/>
          <w:sz w:val="20"/>
          <w:lang w:val="en-US" w:eastAsia="en-US" w:bidi="ar-SA"/>
        </w:rPr>
        <w:t xml:space="preserve"> of the offence in accordance with the two part test:</w:t>
      </w:r>
      <w:r>
        <w:rPr>
          <w:rFonts w:ascii="arial" w:eastAsia="arial" w:hAnsi="arial" w:cs="arial"/>
          <w:sz w:val="20"/>
          <w:lang w:val="en-US" w:eastAsia="en-US" w:bidi="ar-SA"/>
        </w:rPr>
        <w:cr/>
      </w:r>
    </w:p>
    <w:p>
      <w:pPr>
        <w:numPr>
          <w:numId w:val="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light of all the relevant evidence, would a reasonable person have foreseen the risk and taken steps to avoid it if possible; and</w:t>
      </w:r>
    </w:p>
    <w:p>
      <w:pPr>
        <w:numPr>
          <w:numId w:val="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so, was the accused's failure to foresee the risk and take steps to avoid it if possible a marked departure from the standard of care expected of a reasonable person in the accused's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 will deal first with whether a reasonable person would have foreseen the risk of this manner of driving and taken steps to avoid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A reasonable person in Mr. Sanford's position must have recognized the risks of driving in the fashion that he did in those circumstances, and assuming that a person acts reasonably, would have taken steps to avoid it. There was a marked crosswalk, a sign indicating pedestrian crossing and a vehicle that was stopped at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As for the second question, whether Mr. Sanford failed to foresee the risk and take steps to avoid it if possible constitutes a marked departure from the standard of care expected of a reasonable person in Mr. Sanford's circumstances, I find that Mr. Sanford's conduct falls within the type of conduct described by Madam Justice Charron as </w:t>
      </w:r>
      <w:r>
        <w:rPr>
          <w:rFonts w:ascii="arial" w:eastAsia="arial" w:hAnsi="arial" w:cs="arial"/>
          <w:i/>
          <w:color w:val="000000"/>
          <w:sz w:val="20"/>
          <w:lang w:val="en-US" w:eastAsia="en-US" w:bidi="ar-SA"/>
        </w:rPr>
        <w:t>Beatty, supra</w:t>
      </w:r>
      <w:r>
        <w:rPr>
          <w:rFonts w:ascii="arial" w:eastAsia="arial" w:hAnsi="arial" w:cs="arial"/>
          <w:color w:val="000000"/>
          <w:sz w:val="20"/>
          <w:lang w:val="en-US" w:eastAsia="en-US" w:bidi="ar-SA"/>
        </w:rPr>
        <w:t>, as a momentary lapse of attention. It was not a marked departure from the norm.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Mr. Sanford did not stop to allow Mr. May to cross First Avenue in the marked crosswalk. The collision caused Mr. May to suffer serious injuries. I must be mindful of what the Court said in </w:t>
      </w:r>
      <w:r>
        <w:rPr>
          <w:rFonts w:ascii="arial" w:eastAsia="arial" w:hAnsi="arial" w:cs="arial"/>
          <w:i/>
          <w:color w:val="000000"/>
          <w:sz w:val="20"/>
          <w:lang w:val="en-US" w:eastAsia="en-US" w:bidi="ar-SA"/>
        </w:rPr>
        <w:t>Roy,</w:t>
      </w:r>
      <w:r>
        <w:rPr>
          <w:rFonts w:ascii="arial" w:eastAsia="arial" w:hAnsi="arial" w:cs="arial"/>
          <w:color w:val="000000"/>
          <w:sz w:val="20"/>
          <w:lang w:val="en-US" w:eastAsia="en-US" w:bidi="ar-SA"/>
        </w:rPr>
        <w:t xml:space="preserve"> to which I have already referred: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every departure from the civil norm is to be criminalized, regardless of the degree, we risk casting the net too widely and branding as criminals persons who are in reality not morally blameworthy." Giving careful attention to the fault element of the offence is essential if we are to avoid making criminals out of the merely careless.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 find that Mr. Sanford was careless, but is not guilty of the charge of dangerous driving causing bodily harm.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J.M. GROPPER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64" style="position:absolute;z-index:25184460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88"/>
          <w:headerReference w:type="default" r:id="rId189"/>
          <w:footerReference w:type="even" r:id="rId190"/>
          <w:footerReference w:type="default" r:id="rId191"/>
          <w:headerReference w:type="first" r:id="rId192"/>
          <w:footerReference w:type="first" r:id="rId19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94" w:history="1">
        <w:r>
          <w:rPr>
            <w:rFonts w:ascii="arial" w:eastAsia="arial" w:hAnsi="arial" w:cs="arial"/>
            <w:b/>
            <w:bCs/>
            <w:i/>
            <w:color w:val="0077CC"/>
            <w:kern w:val="32"/>
            <w:sz w:val="28"/>
            <w:szCs w:val="32"/>
            <w:u w:val="single"/>
            <w:shd w:val="clear" w:color="auto" w:fill="FFFFFF"/>
            <w:lang w:val="en-US" w:eastAsia="en-US" w:bidi="ar-SA"/>
          </w:rPr>
          <w:t>Sharbern Holding Inc. v. Vancouver Airport Centre Ltd., [2008] B.C.J. No. 639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C.A. Wedge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18-20,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15,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S033260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[2008] B.C.J. No. 639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2008 BCSC 442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166 A.C.W.S. (3d) 12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Sharbern Holding Inc., Plaintiff, and Vancouver Airport Centre Ltd., Larco Hospitality Management Inc. and MM&amp;R Valuation Services, Inc. doing business as HVS International - Canada and HVS International - Canada,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65" style="position:absolute;z-index:2516664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51" w:name="Keywords_7"/>
      <w:bookmarkEnd w:id="51"/>
      <w:r>
        <w:rPr>
          <w:rFonts w:ascii="arial" w:eastAsia="arial" w:hAnsi="arial" w:cs="arial"/>
          <w:b/>
          <w:color w:val="000000"/>
          <w:sz w:val="20"/>
          <w:lang w:val="en-US" w:eastAsia="en-US" w:bidi="ar-SA"/>
        </w:rPr>
        <w:t>Civil litigation — Civil procedure — Parties — Class or representative actions — Common interests and issues — Discovery — Production and inspection of documents — Privileged documents — Documents prepared for the purpose of settlement — Application by class to certify common issues concerning the remedies available allowed — Application for production of settlement documents dismissed — There were remedial issues commons to all members of the class including issues related to rescission, damages and awards based on breach of fiduciary duties — Documents were protected by settlement privilege — No compelling or overriding interest which mandated an exception to the protection</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52" w:name="Case Summary_6"/>
            <w:bookmarkEnd w:id="5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to certify common issues concerning the remedies available to the class. Application for production of certain documents. Class members brought action against defendant for misrepresentations related to the purchase by members of units in a hotel. The defendant was found to have misrepresented certain conflicts of interest. The class sought to certify common issues related to the remedies available to the class. The class sought disclosure of documents related to settlement discussions and the assignment of the contract of management of the hotel.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53" w:name="Holdings of Court_4"/>
            <w:bookmarkEnd w:id="53"/>
            <w:r>
              <w:rPr>
                <w:rFonts w:ascii="arial" w:eastAsia="arial" w:hAnsi="arial" w:cs="arial"/>
                <w:color w:val="000000"/>
                <w:sz w:val="20"/>
                <w:lang w:val="en-US" w:eastAsia="en-US" w:bidi="ar-SA"/>
              </w:rPr>
              <w:t>HELD: Application for an order certifying common issues related to available remedies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Statement of common remedial issues was ordered. There were issues commons to al members of the class. The statement included issues related to rescission, damages and awards based on breach of fiduciary duties. Application for production of certain documents dismissed in part. Application for documents related to settlement negotiation dismissed. The documents were protected by settlement privilege. There was no compelling or overriding interest which mandated an exception to the protection. Application for production of documents related to the assignment of the management contract adjourned. All relevant documents to that point had been produced.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54" w:name="Legislation Cited_7"/>
      <w:bookmarkEnd w:id="5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66" style="position:absolute;z-index:2517176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Real Estate Act, </w:t>
      </w:r>
      <w:hyperlink r:id="rId195" w:history="1">
        <w:r>
          <w:rPr>
            <w:rFonts w:ascii="arial" w:eastAsia="arial" w:hAnsi="arial" w:cs="arial"/>
            <w:i/>
            <w:color w:val="0077CC"/>
            <w:sz w:val="20"/>
            <w:u w:val="single"/>
            <w:shd w:val="clear" w:color="auto" w:fill="FFFFFF"/>
            <w:lang w:val="en-US" w:eastAsia="en-US" w:bidi="ar-SA"/>
          </w:rPr>
          <w:t>R.S.B.C. 1996, c. 397</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55" w:name="Counsel_7"/>
      <w:bookmarkEnd w:id="55"/>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67" style="position:absolute;z-index:2517688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Stephen R. Schachter, Q.C. and Geoffrey B. Gomery.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R.J. Randall Hordo, Q.C. and M. Ali Lakhani.</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56" w:name="Judgment_7"/>
      <w:bookmarkEnd w:id="56"/>
      <w:r>
        <w:pict>
          <v:line id="_x0000_s1068" style="position:absolute;z-index:25182003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Application to Certify Common Remedial Issues;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Application for Production of Documents</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57" w:name="C.A. WEDGE J."/>
            <w:bookmarkEnd w:id="57"/>
            <w:r>
              <w:rPr>
                <w:rFonts w:ascii="arial" w:eastAsia="arial" w:hAnsi="arial" w:cs="arial"/>
                <w:b/>
                <w:color w:val="000000"/>
                <w:sz w:val="30"/>
                <w:lang w:val="en-US" w:eastAsia="en-US" w:bidi="ar-SA"/>
              </w:rPr>
              <w:t>C.A. WEDGE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representative plaintiff in this class proceeding, Sharbern Holding Inc. ("Sharbern"), brings two applications.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first is an application to certify common issues concerning the remedies available to the class. This application follows the trial of the common issues concerning liability and arises from my reasons for judgment on those issues (</w:t>
      </w:r>
      <w:r>
        <w:rPr>
          <w:rFonts w:ascii="arial" w:eastAsia="arial" w:hAnsi="arial" w:cs="arial"/>
          <w:b/>
          <w:i/>
          <w:color w:val="000000"/>
          <w:sz w:val="20"/>
          <w:lang w:val="en-US" w:eastAsia="en-US" w:bidi="ar-SA"/>
        </w:rPr>
        <w:t>Sharbern Holding Inc. v. Vancouver Airport Centre Ltd.,</w:t>
      </w:r>
      <w:r>
        <w:rPr>
          <w:rFonts w:ascii="arial" w:eastAsia="arial" w:hAnsi="arial" w:cs="arial"/>
          <w:color w:val="000000"/>
          <w:sz w:val="20"/>
          <w:lang w:val="en-US" w:eastAsia="en-US" w:bidi="ar-SA"/>
        </w:rPr>
        <w:t xml:space="preserve"> </w:t>
      </w:r>
      <w:hyperlink r:id="rId196" w:history="1">
        <w:r>
          <w:rPr>
            <w:rFonts w:ascii="arial" w:eastAsia="arial" w:hAnsi="arial" w:cs="arial"/>
            <w:i/>
            <w:color w:val="0077CC"/>
            <w:sz w:val="20"/>
            <w:u w:val="single"/>
            <w:shd w:val="clear" w:color="auto" w:fill="FFFFFF"/>
            <w:lang w:val="en-US" w:eastAsia="en-US" w:bidi="ar-SA"/>
          </w:rPr>
          <w:t>2007 BCSC 1262</w:t>
        </w:r>
      </w:hyperlink>
      <w:r>
        <w:rPr>
          <w:rFonts w:ascii="arial" w:eastAsia="arial" w:hAnsi="arial" w:cs="arial"/>
          <w:color w:val="000000"/>
          <w:sz w:val="20"/>
          <w:lang w:val="en-US" w:eastAsia="en-US" w:bidi="ar-SA"/>
        </w:rPr>
        <w:t xml:space="preserve"> ("First Common Issues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In its second application, Sharbern seeks production of certain documents in the possession of Vancouver Airport Centre Ltd. ("VAC") that may bear on the remedial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background to the litigation can be found in the reasons for judgment published following the application to certify the action as a class proceeding (</w:t>
      </w:r>
      <w:r>
        <w:rPr>
          <w:rFonts w:ascii="arial" w:eastAsia="arial" w:hAnsi="arial" w:cs="arial"/>
          <w:b/>
          <w:i/>
          <w:color w:val="000000"/>
          <w:sz w:val="20"/>
          <w:lang w:val="en-US" w:eastAsia="en-US" w:bidi="ar-SA"/>
        </w:rPr>
        <w:t>Sharbern Holding Inc. v. Vancouver Airport Centre</w:t>
      </w:r>
      <w:r>
        <w:rPr>
          <w:rFonts w:ascii="arial" w:eastAsia="arial" w:hAnsi="arial" w:cs="arial"/>
          <w:color w:val="000000"/>
          <w:sz w:val="20"/>
          <w:lang w:val="en-US" w:eastAsia="en-US" w:bidi="ar-SA"/>
        </w:rPr>
        <w:t xml:space="preserve">, </w:t>
      </w:r>
      <w:hyperlink r:id="rId197" w:history="1">
        <w:r>
          <w:rPr>
            <w:rFonts w:ascii="arial" w:eastAsia="arial" w:hAnsi="arial" w:cs="arial"/>
            <w:i/>
            <w:color w:val="0077CC"/>
            <w:sz w:val="20"/>
            <w:u w:val="single"/>
            <w:shd w:val="clear" w:color="auto" w:fill="FFFFFF"/>
            <w:lang w:val="en-US" w:eastAsia="en-US" w:bidi="ar-SA"/>
          </w:rPr>
          <w:t>2005 BCSC 232</w:t>
        </w:r>
      </w:hyperlink>
      <w:r>
        <w:rPr>
          <w:rFonts w:ascii="arial" w:eastAsia="arial" w:hAnsi="arial" w:cs="arial"/>
          <w:color w:val="000000"/>
          <w:sz w:val="20"/>
          <w:lang w:val="en-US" w:eastAsia="en-US" w:bidi="ar-SA"/>
        </w:rPr>
        <w:t xml:space="preserve"> ("First Certification Application")) and the reasons in the First Common Issues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Briefly stated, the class action arose from the investment by private investors, including Sharbern, in strata units of the Vancouver Airport Hilton Hotel (the "Hilton") in 1998. The developer, VAC, marketed the units under a prospectus known as the Offering Memorandum and Disclosure Statement (the "Hilton Disclosure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Hilton did not perform financially as projected by VAC. The Hilton owners lost money each year instead of obtaining the projected annual returns. Sharbern brought this action, which was subsequently certified as a class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Sharbern alleged that the Hilton Disclosure Statement contained certain misrepresentations. The first alleged misrepresentation concerned the projected financial returns of the strata units. The second concerned VAC's assertion that, with respect to its arrangements with unit owners of the Vancouver Airport Marriott Hotel (the "Marriott Owners"), it was not aware of "any existing or potential conflicts of interest that could reasonably be expected to materially affect the purchaser's investment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Sharbern also alleged that VAC owed fiduciary duties to the class members and breached those duties by managing both the Marriott and the Hilton when it had an incentive to favour the Marriott.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First Common Issues Trial resolved many aspects of Sharbern's claim. The reasons for judgment included the following conclusions:</w:t>
      </w:r>
      <w:r>
        <w:rPr>
          <w:rFonts w:ascii="arial" w:eastAsia="arial" w:hAnsi="arial" w:cs="arial"/>
          <w:sz w:val="20"/>
          <w:lang w:val="en-US" w:eastAsia="en-US" w:bidi="ar-SA"/>
        </w:rPr>
        <w:cr/>
      </w:r>
    </w:p>
    <w:p>
      <w:pPr>
        <w:numPr>
          <w:numId w:val="9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were no misrepresentations by VAC relating to the financial projections;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VAC negligently misrepresented the absence of conflicts of interest and the nature of the agreements governing VAC and the Marriott Owners;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VAC's misrepresentations regarding conflicts were material;</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members of the class are deemed to have relied on the impugned representations pursuant to s. 75(2) of the </w:t>
      </w:r>
      <w:r>
        <w:rPr>
          <w:rFonts w:ascii="arial" w:eastAsia="arial" w:hAnsi="arial" w:cs="arial"/>
          <w:b/>
          <w:i/>
          <w:color w:val="000000"/>
          <w:sz w:val="20"/>
          <w:lang w:val="en-US" w:eastAsia="en-US" w:bidi="ar-SA"/>
        </w:rPr>
        <w:t>Real Estate Act</w:t>
      </w:r>
      <w:r>
        <w:rPr>
          <w:rFonts w:ascii="arial" w:eastAsia="arial" w:hAnsi="arial" w:cs="arial"/>
          <w:color w:val="000000"/>
          <w:sz w:val="20"/>
          <w:lang w:val="en-US" w:eastAsia="en-US" w:bidi="ar-SA"/>
        </w:rPr>
        <w:t xml:space="preserve">, </w:t>
      </w:r>
      <w:hyperlink r:id="rId195" w:history="1">
        <w:r>
          <w:rPr>
            <w:rFonts w:ascii="arial" w:eastAsia="arial" w:hAnsi="arial" w:cs="arial"/>
            <w:i/>
            <w:color w:val="0077CC"/>
            <w:sz w:val="20"/>
            <w:u w:val="single"/>
            <w:shd w:val="clear" w:color="auto" w:fill="FFFFFF"/>
            <w:lang w:val="en-US" w:eastAsia="en-US" w:bidi="ar-SA"/>
          </w:rPr>
          <w:t>R.S.B.C. 1996, c. 397</w:t>
        </w:r>
      </w:hyperlink>
      <w:r>
        <w:rPr>
          <w:rFonts w:ascii="arial" w:eastAsia="arial" w:hAnsi="arial" w:cs="arial"/>
          <w:color w:val="000000"/>
          <w:sz w:val="20"/>
          <w:lang w:val="en-US" w:eastAsia="en-US" w:bidi="ar-SA"/>
        </w:rPr>
        <w:t>;</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VAC owes the class members fiduciary duties in respect of the operation of the Hilton; and</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certain respects, VAC breached its fiduciary duties to the class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nature of the remedies available to the class members and the quantum of the loss they have suffered are issues that remain to be determined. Some of the outstanding issues will be common to the class. Other issues may raise individual considerations.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II. The Common Remedial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Sharbern has proposed a statement of the common issues which is reproduced in Schedule "A" to these reasons. The statement of common issues proposed by VAC is reproduced in Schedule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1. Rescission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Rescission is the primary remedy sought by the class with respect to the negligent misrepresentation claim. If rescission is not granted, the class seeks damages as its primary alternative relief.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Some remedial issues are patently common to the class. However, the parties have widely divergent views as to whether rescission and damages, or significant aspects of those remedies, raise issues common to the class and, if so, how those common issues ought to be stated.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Sharbern's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Sharbern submits that rescission is a discretionary remedy available in respect of claims for negligent misrepresentation so long as certain factors are established by the plaintiff. In </w:t>
      </w:r>
      <w:r>
        <w:rPr>
          <w:rFonts w:ascii="arial" w:eastAsia="arial" w:hAnsi="arial" w:cs="arial"/>
          <w:b/>
          <w:i/>
          <w:color w:val="000000"/>
          <w:sz w:val="20"/>
          <w:lang w:val="en-US" w:eastAsia="en-US" w:bidi="ar-SA"/>
        </w:rPr>
        <w:t>Kingu v. Walmar Ventures Ltd.</w:t>
      </w:r>
      <w:r>
        <w:rPr>
          <w:rFonts w:ascii="arial" w:eastAsia="arial" w:hAnsi="arial" w:cs="arial"/>
          <w:color w:val="000000"/>
          <w:sz w:val="20"/>
          <w:lang w:val="en-US" w:eastAsia="en-US" w:bidi="ar-SA"/>
        </w:rPr>
        <w:t xml:space="preserve"> </w:t>
      </w:r>
      <w:hyperlink r:id="rId198" w:history="1">
        <w:r>
          <w:rPr>
            <w:rFonts w:ascii="arial" w:eastAsia="arial" w:hAnsi="arial" w:cs="arial"/>
            <w:i/>
            <w:color w:val="0077CC"/>
            <w:sz w:val="20"/>
            <w:u w:val="single"/>
            <w:shd w:val="clear" w:color="auto" w:fill="FFFFFF"/>
            <w:lang w:val="en-US" w:eastAsia="en-US" w:bidi="ar-SA"/>
          </w:rPr>
          <w:t>(1986), 38 C.C.L.T. 51</w:t>
        </w:r>
      </w:hyperlink>
      <w:r>
        <w:rPr>
          <w:rFonts w:ascii="arial" w:eastAsia="arial" w:hAnsi="arial" w:cs="arial"/>
          <w:color w:val="000000"/>
          <w:sz w:val="20"/>
          <w:lang w:val="en-US" w:eastAsia="en-US" w:bidi="ar-SA"/>
        </w:rPr>
        <w:t xml:space="preserve"> (B.C.C.A.), McLachlin J.A. (as she then was), described those factors, which I will summarize as follows:</w:t>
      </w:r>
      <w:r>
        <w:rPr>
          <w:rFonts w:ascii="arial" w:eastAsia="arial" w:hAnsi="arial" w:cs="arial"/>
          <w:sz w:val="20"/>
          <w:lang w:val="en-US" w:eastAsia="en-US" w:bidi="ar-SA"/>
        </w:rPr>
        <w:cr/>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must have made a positive misrepresentation. Where the defendant owes a fiduciary duty to the plaintiff, failure to disclose material facts may suffice.</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representation was of an existing fact;</w:t>
      </w:r>
    </w:p>
    <w:p>
      <w:pPr>
        <w:numPr>
          <w:numId w:val="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intended that the plaintiff should act on it;</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representation induced the plaintiff to enter into the contract;</w:t>
      </w:r>
    </w:p>
    <w:p>
      <w:pPr>
        <w:numPr>
          <w:numId w:val="1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acted promptly after learning of the misrepresentation to disaffirm the contract;</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 innocent third parties acquired rights for value regarding the contract property;</w:t>
      </w:r>
    </w:p>
    <w:p>
      <w:pPr>
        <w:numPr>
          <w:numId w:val="1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possible to restore the parties substantially to their pre-contract positions;</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executed contract for the sale of an interest in land will not be rescinded unless fraud is shown.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It is Sharbern's position that rescission is a remedy common to the class members, and that the first four of the above factors have been addressed in the reasons for judgment issued following the First Common Issues Trial. In the event rescission is ordered, there will be a consequential accounting but no further issues will be left to determine; that is, the remedy of rescission does not require consideration of any other remedies or resolution of any individual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On the issue of inducement or reliance (the fourth </w:t>
      </w:r>
      <w:r>
        <w:rPr>
          <w:rFonts w:ascii="arial" w:eastAsia="arial" w:hAnsi="arial" w:cs="arial"/>
          <w:b/>
          <w:i/>
          <w:color w:val="000000"/>
          <w:sz w:val="20"/>
          <w:lang w:val="en-US" w:eastAsia="en-US" w:bidi="ar-SA"/>
        </w:rPr>
        <w:t>Kingu</w:t>
      </w:r>
      <w:r>
        <w:rPr>
          <w:rFonts w:ascii="arial" w:eastAsia="arial" w:hAnsi="arial" w:cs="arial"/>
          <w:color w:val="000000"/>
          <w:sz w:val="20"/>
          <w:lang w:val="en-US" w:eastAsia="en-US" w:bidi="ar-SA"/>
        </w:rPr>
        <w:t xml:space="preserve"> factor), Sharbern says that as this is a prospectus case, reliance has been deemed by operation of s. 75(2) of the </w:t>
      </w:r>
      <w:r>
        <w:rPr>
          <w:rFonts w:ascii="arial" w:eastAsia="arial" w:hAnsi="arial" w:cs="arial"/>
          <w:b/>
          <w:i/>
          <w:color w:val="000000"/>
          <w:sz w:val="20"/>
          <w:lang w:val="en-US" w:eastAsia="en-US" w:bidi="ar-SA"/>
        </w:rPr>
        <w:t>Real Estate Act</w:t>
      </w:r>
      <w:r>
        <w:rPr>
          <w:rFonts w:ascii="arial" w:eastAsia="arial" w:hAnsi="arial" w:cs="arial"/>
          <w:color w:val="000000"/>
          <w:sz w:val="20"/>
          <w:lang w:val="en-US" w:eastAsia="en-US" w:bidi="ar-SA"/>
        </w:rPr>
        <w:t>. Thus questions such as the purpose of the investment, the knowledge of individual investors and whether individual investors were induced by the impugned representations to purchase their units are not individual issues. Those questions have been resolved by the deemed reliance provision: one relies on statements in a prospectus by entering into the contract presented by the prospectus.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Sharbern submits that most of the remaining factors involve issues common to the class as a whole, although the issue of whether the class members acted promptly after learning of the misrepresentation to disaffirm the contract may also involve individual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With respect to the last of the factors, there may be an issue as to whether rescission is available with respect to an executed contract for the sale of land. That, says Sharbern, depends on whether the parties intended the representation to survive the conveyance, or, in other words, whether merger was intended (</w:t>
      </w:r>
      <w:r>
        <w:rPr>
          <w:rFonts w:ascii="arial" w:eastAsia="arial" w:hAnsi="arial" w:cs="arial"/>
          <w:b/>
          <w:i/>
          <w:color w:val="000000"/>
          <w:sz w:val="20"/>
          <w:lang w:val="en-US" w:eastAsia="en-US" w:bidi="ar-SA"/>
        </w:rPr>
        <w:t>Fraser-Reid v. Droumtsekas</w:t>
      </w:r>
      <w:r>
        <w:rPr>
          <w:rFonts w:ascii="arial" w:eastAsia="arial" w:hAnsi="arial" w:cs="arial"/>
          <w:color w:val="000000"/>
          <w:sz w:val="20"/>
          <w:lang w:val="en-US" w:eastAsia="en-US" w:bidi="ar-SA"/>
        </w:rPr>
        <w:t xml:space="preserve"> </w:t>
      </w:r>
      <w:hyperlink r:id="rId199" w:history="1">
        <w:r>
          <w:rPr>
            <w:rFonts w:ascii="arial" w:eastAsia="arial" w:hAnsi="arial" w:cs="arial"/>
            <w:i/>
            <w:color w:val="0077CC"/>
            <w:sz w:val="20"/>
            <w:u w:val="single"/>
            <w:shd w:val="clear" w:color="auto" w:fill="FFFFFF"/>
            <w:lang w:val="en-US" w:eastAsia="en-US" w:bidi="ar-SA"/>
          </w:rPr>
          <w:t>(1979), 103 D.L.R. (3d) 385</w:t>
        </w:r>
      </w:hyperlink>
      <w:r>
        <w:rPr>
          <w:rFonts w:ascii="arial" w:eastAsia="arial" w:hAnsi="arial" w:cs="arial"/>
          <w:color w:val="000000"/>
          <w:sz w:val="20"/>
          <w:lang w:val="en-US" w:eastAsia="en-US" w:bidi="ar-SA"/>
        </w:rPr>
        <w:t xml:space="preserve"> (S.C.C.)). Sharbern's position is that the Hilton Disclosure Statement, on its face, establishes the intention of the parties that their rights and obligations survive the closing. Section 29 of Schedule A to the Disclosure Statement states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SURVIVAL</w:t>
      </w:r>
      <w:r>
        <w:rPr>
          <w:rFonts w:ascii="arial" w:eastAsia="arial" w:hAnsi="arial" w:cs="arial"/>
          <w:color w:val="000000"/>
          <w:sz w:val="20"/>
          <w:lang w:val="en-US" w:eastAsia="en-US" w:bidi="ar-SA"/>
        </w:rPr>
        <w:t xml:space="preserve"> The rights and obligations of the parties contained herein will continue and will not be merged with the completion of the sale and purchase of the Strata Lot on the Completion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the event VAC disagrees, the matter would be tried as a common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Finally, if there is a rescission remedy, it will require an accounting. This would be a common issue for the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VAC's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VAC's position is that this case does not support any claim for rescission, but acknowledges the court must proceed as if some class members might be entitled to the remedy based on the claims advanced by Sharbern. However, VAC's view of law concerning rescission differs substantially from that of Sharbern. According to VAC, in the case of innocent misrepresentation (as distinct from fraud) entitlement to the remedy depends on a finding that the misrepresentation affected the </w:t>
      </w:r>
      <w:r>
        <w:rPr>
          <w:rFonts w:ascii="arial" w:eastAsia="arial" w:hAnsi="arial" w:cs="arial"/>
          <w:i/>
          <w:color w:val="000000"/>
          <w:sz w:val="20"/>
          <w:lang w:val="en-US" w:eastAsia="en-US" w:bidi="ar-SA"/>
        </w:rPr>
        <w:t>substance</w:t>
      </w:r>
      <w:r>
        <w:rPr>
          <w:rFonts w:ascii="arial" w:eastAsia="arial" w:hAnsi="arial" w:cs="arial"/>
          <w:color w:val="000000"/>
          <w:sz w:val="20"/>
          <w:lang w:val="en-US" w:eastAsia="en-US" w:bidi="ar-SA"/>
        </w:rPr>
        <w:t xml:space="preserve"> of the investment rather than affecting only its </w:t>
      </w:r>
      <w:r>
        <w:rPr>
          <w:rFonts w:ascii="arial" w:eastAsia="arial" w:hAnsi="arial" w:cs="arial"/>
          <w:i/>
          <w:color w:val="000000"/>
          <w:sz w:val="20"/>
          <w:lang w:val="en-US" w:eastAsia="en-US" w:bidi="ar-SA"/>
        </w:rPr>
        <w:t>quality</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Kennedy v. Panama Mail Co.</w:t>
      </w:r>
      <w:r>
        <w:rPr>
          <w:rFonts w:ascii="arial" w:eastAsia="arial" w:hAnsi="arial" w:cs="arial"/>
          <w:color w:val="000000"/>
          <w:sz w:val="20"/>
          <w:lang w:val="en-US" w:eastAsia="en-US" w:bidi="ar-SA"/>
        </w:rPr>
        <w:t xml:space="preserve"> (1867), L.R. 2 Q.B. 580; </w:t>
      </w:r>
      <w:r>
        <w:rPr>
          <w:rFonts w:ascii="arial" w:eastAsia="arial" w:hAnsi="arial" w:cs="arial"/>
          <w:b/>
          <w:i/>
          <w:color w:val="000000"/>
          <w:sz w:val="20"/>
          <w:lang w:val="en-US" w:eastAsia="en-US" w:bidi="ar-SA"/>
        </w:rPr>
        <w:t>Leaf v. International Galleries</w:t>
      </w:r>
      <w:r>
        <w:rPr>
          <w:rFonts w:ascii="arial" w:eastAsia="arial" w:hAnsi="arial" w:cs="arial"/>
          <w:color w:val="000000"/>
          <w:sz w:val="20"/>
          <w:lang w:val="en-US" w:eastAsia="en-US" w:bidi="ar-SA"/>
        </w:rPr>
        <w:t>, [1950] 1 All E.R. 693).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Accordingly, says VAC, it would materially advance the litigation for the court to make a preliminary determination as to whether, based solely on the terms of the Hilton Disclosure Statement, the misrepresentation affected the substance or merely the quality of the transaction. VAC submits the court ought to address only that aspect of the issue of rescission, and proposes the common issue be stated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Having regard to the Disclosure Statement alone, does the misrepresentation concerning conflicts of interest, as found, affect the </w:t>
      </w:r>
      <w:r>
        <w:rPr>
          <w:rFonts w:ascii="arial" w:eastAsia="arial" w:hAnsi="arial" w:cs="arial"/>
          <w:i/>
          <w:color w:val="000000"/>
          <w:sz w:val="20"/>
          <w:lang w:val="en-US" w:eastAsia="en-US" w:bidi="ar-SA"/>
        </w:rPr>
        <w:t>substance</w:t>
      </w:r>
      <w:r>
        <w:rPr>
          <w:rFonts w:ascii="arial" w:eastAsia="arial" w:hAnsi="arial" w:cs="arial"/>
          <w:color w:val="000000"/>
          <w:sz w:val="20"/>
          <w:lang w:val="en-US" w:eastAsia="en-US" w:bidi="ar-SA"/>
        </w:rPr>
        <w:t xml:space="preserve"> or the </w:t>
      </w:r>
      <w:r>
        <w:rPr>
          <w:rFonts w:ascii="arial" w:eastAsia="arial" w:hAnsi="arial" w:cs="arial"/>
          <w:i/>
          <w:color w:val="000000"/>
          <w:sz w:val="20"/>
          <w:lang w:val="en-US" w:eastAsia="en-US" w:bidi="ar-SA"/>
        </w:rPr>
        <w:t>quality</w:t>
      </w:r>
      <w:r>
        <w:rPr>
          <w:rFonts w:ascii="arial" w:eastAsia="arial" w:hAnsi="arial" w:cs="arial"/>
          <w:color w:val="000000"/>
          <w:sz w:val="20"/>
          <w:lang w:val="en-US" w:eastAsia="en-US" w:bidi="ar-SA"/>
        </w:rPr>
        <w:t xml:space="preserve"> of the purchase transaction?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VAC argues further that individual entitlement to compensation will depend on a finding that the misrepresentation was an "inducing misrepresentation" - that is, one that caused the class members to enter into the contract, or, to put it differently, a misrepresentation but for which they would not have entered into the contract. VAC says inducement in the context of the remedial issues is not the same as reliance. For that reason, discovery of individual class members may be required to determine whether each member was in fact induced by the misrepresentation to make the investment.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VAC also takes a very different view of the basis for the equitable rule that, in the absence of fraud, rescission is not available with respect to an executed contract for the sale of land. It argues that the rule is not based solely on the doctrine of merger (</w:t>
      </w:r>
      <w:r>
        <w:rPr>
          <w:rFonts w:ascii="arial" w:eastAsia="arial" w:hAnsi="arial" w:cs="arial"/>
          <w:b/>
          <w:i/>
          <w:color w:val="000000"/>
          <w:sz w:val="20"/>
          <w:lang w:val="en-US" w:eastAsia="en-US" w:bidi="ar-SA"/>
        </w:rPr>
        <w:t>Redican v. Nesbitt</w:t>
      </w:r>
      <w:r>
        <w:rPr>
          <w:rFonts w:ascii="arial" w:eastAsia="arial" w:hAnsi="arial" w:cs="arial"/>
          <w:color w:val="000000"/>
          <w:sz w:val="20"/>
          <w:lang w:val="en-US" w:eastAsia="en-US" w:bidi="ar-SA"/>
        </w:rPr>
        <w:t xml:space="preserve">, </w:t>
      </w:r>
      <w:hyperlink r:id="rId200" w:history="1">
        <w:r>
          <w:rPr>
            <w:rFonts w:ascii="arial" w:eastAsia="arial" w:hAnsi="arial" w:cs="arial"/>
            <w:i/>
            <w:color w:val="0077CC"/>
            <w:sz w:val="20"/>
            <w:u w:val="single"/>
            <w:shd w:val="clear" w:color="auto" w:fill="FFFFFF"/>
            <w:lang w:val="en-US" w:eastAsia="en-US" w:bidi="ar-SA"/>
          </w:rPr>
          <w:t>[1924] S.C.R. 135</w:t>
        </w:r>
      </w:hyperlink>
      <w:r>
        <w:rPr>
          <w:rFonts w:ascii="arial" w:eastAsia="arial" w:hAnsi="arial" w:cs="arial"/>
          <w:color w:val="000000"/>
          <w:sz w:val="20"/>
          <w:lang w:val="en-US" w:eastAsia="en-US" w:bidi="ar-SA"/>
        </w:rPr>
        <w:t>). As a result, the rule will not be displaced simply because the parties intended particular representations to survive the conveyance.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law of equity does allow one exception: an executed contract for the sale of land can be rescinded on the basis of a negligent misrepresentation if it results in the purchaser being deprived of the substance of the bargain so as to amount to a total failure of consideration (</w:t>
      </w:r>
      <w:r>
        <w:rPr>
          <w:rFonts w:ascii="arial" w:eastAsia="arial" w:hAnsi="arial" w:cs="arial"/>
          <w:b/>
          <w:i/>
          <w:color w:val="000000"/>
          <w:sz w:val="20"/>
          <w:lang w:val="en-US" w:eastAsia="en-US" w:bidi="ar-SA"/>
        </w:rPr>
        <w:t>Kennedy</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Leaf</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Cherris v. Bosa Development Corp.</w:t>
      </w:r>
      <w:r>
        <w:rPr>
          <w:rFonts w:ascii="arial" w:eastAsia="arial" w:hAnsi="arial" w:cs="arial"/>
          <w:color w:val="000000"/>
          <w:sz w:val="20"/>
          <w:lang w:val="en-US" w:eastAsia="en-US" w:bidi="ar-SA"/>
        </w:rPr>
        <w:t xml:space="preserve">, </w:t>
      </w:r>
      <w:hyperlink r:id="rId201" w:history="1">
        <w:r>
          <w:rPr>
            <w:rFonts w:ascii="arial" w:eastAsia="arial" w:hAnsi="arial" w:cs="arial"/>
            <w:i/>
            <w:color w:val="0077CC"/>
            <w:sz w:val="20"/>
            <w:u w:val="single"/>
            <w:shd w:val="clear" w:color="auto" w:fill="FFFFFF"/>
            <w:lang w:val="en-US" w:eastAsia="en-US" w:bidi="ar-SA"/>
          </w:rPr>
          <w:t>2001 BCSC 228</w:t>
        </w:r>
      </w:hyperlink>
      <w:r>
        <w:rPr>
          <w:rFonts w:ascii="arial" w:eastAsia="arial" w:hAnsi="arial" w:cs="arial"/>
          <w:color w:val="000000"/>
          <w:sz w:val="20"/>
          <w:lang w:val="en-US" w:eastAsia="en-US" w:bidi="ar-SA"/>
        </w:rPr>
        <w:t>). VAC submits that to the extent Sharbern bases its claim for rescission on the premise that the misrepresentation affected the substance of the transaction, it raises a new issue not addressed in the First Common Issues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2.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Sharbern seeks, as its primary alternative remedy, damages for the losses suffered by the class members. Once again, the parties have very different views as to the legal framework governing the issue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Sharbern's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court has a discretion concerning the assessment date. Sharbern submits that in the case of negligent misrepresentation, there is authority suggesting the assessment date ought to be the date at which the plaintiff was in a position to sell the property with knowledge of the misrepresentation (</w:t>
      </w:r>
      <w:r>
        <w:rPr>
          <w:rFonts w:ascii="arial" w:eastAsia="arial" w:hAnsi="arial" w:cs="arial"/>
          <w:b/>
          <w:i/>
          <w:color w:val="000000"/>
          <w:sz w:val="20"/>
          <w:lang w:val="en-US" w:eastAsia="en-US" w:bidi="ar-SA"/>
        </w:rPr>
        <w:t>Begusic v. Clark, Wilson and Co.</w:t>
      </w:r>
      <w:r>
        <w:rPr>
          <w:rFonts w:ascii="arial" w:eastAsia="arial" w:hAnsi="arial" w:cs="arial"/>
          <w:color w:val="000000"/>
          <w:sz w:val="20"/>
          <w:lang w:val="en-US" w:eastAsia="en-US" w:bidi="ar-SA"/>
        </w:rPr>
        <w:t xml:space="preserve"> </w:t>
      </w:r>
      <w:hyperlink r:id="rId202" w:history="1">
        <w:r>
          <w:rPr>
            <w:rFonts w:ascii="arial" w:eastAsia="arial" w:hAnsi="arial" w:cs="arial"/>
            <w:i/>
            <w:color w:val="0077CC"/>
            <w:sz w:val="20"/>
            <w:u w:val="single"/>
            <w:shd w:val="clear" w:color="auto" w:fill="FFFFFF"/>
            <w:lang w:val="en-US" w:eastAsia="en-US" w:bidi="ar-SA"/>
          </w:rPr>
          <w:t>(1991), 57 B.C.L.R. (2d) 273</w:t>
        </w:r>
      </w:hyperlink>
      <w:r>
        <w:rPr>
          <w:rFonts w:ascii="arial" w:eastAsia="arial" w:hAnsi="arial" w:cs="arial"/>
          <w:color w:val="000000"/>
          <w:sz w:val="20"/>
          <w:lang w:val="en-US" w:eastAsia="en-US" w:bidi="ar-SA"/>
        </w:rPr>
        <w:t xml:space="preserve"> (C.A.)). A class member would then be entitled to recover the difference between the price paid for the unit and the value at the assessment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issue of requisite knowledge could be viewed as an individual issue, but Sharbern says that in any practical sense, given the particular circumstances of the case, it is not. A process can be designed to address valuation on a basis that will materially advance the litigation and likely avoid the need to determine the valuation issue in 202 separate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There are 202 strata units in issue. The units fall into 3 categories, depending on size and location in the building. All of the sales from VAC were completed in 1999. The hotel market was softening by 1999, and the financial performance of the Hilton deteriorated thereafter until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Sharbern submits that it is reasonable to assume the variation in the value of the units was dependent upon the economic performance of the Hilton, which was an essential element of the original marketing. Each unit earns income based on the net rental income of the Hotel. The allocated income to each unit depends on the size of the unit but not its location. Sharbern anticipates that expert evidence will demonstrate that each unit would have suffered a similar percentage decline in value after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 group of the unit owners retained counsel in late 2002. In early 2003, a claim was made for production of financial information. The claim was amended in early 2004 to advance the present claims on behalf of the class. The requisite knowledge of any one unit owner could have been obtained at any time between 2000 and 2004. Sharbern submits that even if the values of the units changed annually, the common issue trial could resolve the valuation issue for the class in one proceeding. The only individual issue may be the timing of the knowledge of individual owners. VAC may allege that all of the class members had knowledge at the same point in time, in which case a further common issue arises.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VAC's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VAC submits that the damages claim of the class requires a determination of the class members' losses and the extent to which they were causes by VAC's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wrong for which the class seeks compensation is the misrepresentation regarding the absence of a potential conflict of interest and non-disclosure of certain agreements between VAC and the Marriott Owners. Thus the class members are entitled to compensation that will put them in the same position they would have been had VAC made full and true disclosure of those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other words, the court can be assisted in determining the value of the units by determining the amount the market would have paid but for the particular misrepresentations.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VAC accepts that a determination of the difference between the amount paid and the value of a representative unit is a common issue that can be addressed initially by expert opinion evidence. However, it says the damages sought by Sharbern will be permitted only if there is a finding of inducement into the transaction by the misrepresentation. VAC refers to such damages as "transactional losses", which it says cannot be recovered unless the class members establish that but for the misrepresentation they would not have entered into the transactions (</w:t>
      </w:r>
      <w:r>
        <w:rPr>
          <w:rFonts w:ascii="arial" w:eastAsia="arial" w:hAnsi="arial" w:cs="arial"/>
          <w:b/>
          <w:i/>
          <w:color w:val="000000"/>
          <w:sz w:val="20"/>
          <w:lang w:val="en-US" w:eastAsia="en-US" w:bidi="ar-SA"/>
        </w:rPr>
        <w:t>Rainbow Industrial Caterers Ltd. v. Canadian National Railway Co.</w:t>
      </w:r>
      <w:r>
        <w:rPr>
          <w:rFonts w:ascii="arial" w:eastAsia="arial" w:hAnsi="arial" w:cs="arial"/>
          <w:color w:val="000000"/>
          <w:sz w:val="20"/>
          <w:lang w:val="en-US" w:eastAsia="en-US" w:bidi="ar-SA"/>
        </w:rPr>
        <w:t xml:space="preserve">, </w:t>
      </w:r>
      <w:hyperlink r:id="rId203" w:history="1">
        <w:r>
          <w:rPr>
            <w:rFonts w:ascii="arial" w:eastAsia="arial" w:hAnsi="arial" w:cs="arial"/>
            <w:i/>
            <w:color w:val="0077CC"/>
            <w:sz w:val="20"/>
            <w:u w:val="single"/>
            <w:shd w:val="clear" w:color="auto" w:fill="FFFFFF"/>
            <w:lang w:val="en-US" w:eastAsia="en-US" w:bidi="ar-SA"/>
          </w:rPr>
          <w:t>[1991] 3 S.C.R. 3</w:t>
        </w:r>
      </w:hyperlink>
      <w:r>
        <w:rPr>
          <w:rFonts w:ascii="arial" w:eastAsia="arial" w:hAnsi="arial" w:cs="arial"/>
          <w:color w:val="000000"/>
          <w:sz w:val="20"/>
          <w:lang w:val="en-US" w:eastAsia="en-US" w:bidi="ar-SA"/>
        </w:rPr>
        <w:t>). If not, says VAC, the class members are only entitled to any depreciation in the initial value of the units attributable to the impugned representations (</w:t>
      </w:r>
      <w:r>
        <w:rPr>
          <w:rFonts w:ascii="arial" w:eastAsia="arial" w:hAnsi="arial" w:cs="arial"/>
          <w:b/>
          <w:i/>
          <w:color w:val="000000"/>
          <w:sz w:val="20"/>
          <w:lang w:val="en-US" w:eastAsia="en-US" w:bidi="ar-SA"/>
        </w:rPr>
        <w:t>BG Checo International Ltd. v. B.C. Hydro and Power Authority</w:t>
      </w:r>
      <w:r>
        <w:rPr>
          <w:rFonts w:ascii="arial" w:eastAsia="arial" w:hAnsi="arial" w:cs="arial"/>
          <w:color w:val="000000"/>
          <w:sz w:val="20"/>
          <w:lang w:val="en-US" w:eastAsia="en-US" w:bidi="ar-SA"/>
        </w:rPr>
        <w:t xml:space="preserve">, </w:t>
      </w:r>
      <w:hyperlink r:id="rId204" w:history="1">
        <w:r>
          <w:rPr>
            <w:rFonts w:ascii="arial" w:eastAsia="arial" w:hAnsi="arial" w:cs="arial"/>
            <w:i/>
            <w:color w:val="0077CC"/>
            <w:sz w:val="20"/>
            <w:u w:val="single"/>
            <w:shd w:val="clear" w:color="auto" w:fill="FFFFFF"/>
            <w:lang w:val="en-US" w:eastAsia="en-US" w:bidi="ar-SA"/>
          </w:rPr>
          <w:t>[1993] 1 S.C.R. 12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Assuming the court might find evidence of inducement (which would require individual inquiries), VAC agrees that it may advance the litigation materially to frame a common issue quantifying these amounts for a representative unit at various dates.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3. Fiduciary Remedies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Sharbern submits that the remedial issues arising from the breach by VAC of its fiduciary duty are all issues common to the class. It seeks a declaration that VAC was not entitled to management fees while acting in a conflict of interest, and an accounting of those management fees and any financial benefits obtained by VAC in breach of its fiduciary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Sharbern says there are two additional common issues. The first is whether there are any individual defences. The second is whether the class members are entitled to inspect the financial records of VAC relating to the business conducted on behalf of the class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VAC submits that one of two remedies may be available to class members in respect of VAC's breach of fiduciary duties. They may be entitled to either compensation for losses suffered or disgorgement of profits obtained by VAC. Once these amounts are determined, each class member may elect between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According to VAC, the common starting point is a quantification of the losses (if any) flowing from VAC's management of the Hilton </w:t>
      </w:r>
      <w:r>
        <w:rPr>
          <w:rFonts w:ascii="arial" w:eastAsia="arial" w:hAnsi="arial" w:cs="arial"/>
          <w:i/>
          <w:color w:val="000000"/>
          <w:sz w:val="20"/>
          <w:lang w:val="en-US" w:eastAsia="en-US" w:bidi="ar-SA"/>
        </w:rPr>
        <w:t>while having an undisclosed interest</w:t>
      </w:r>
      <w:r>
        <w:rPr>
          <w:rFonts w:ascii="arial" w:eastAsia="arial" w:hAnsi="arial" w:cs="arial"/>
          <w:color w:val="000000"/>
          <w:sz w:val="20"/>
          <w:lang w:val="en-US" w:eastAsia="en-US" w:bidi="ar-SA"/>
        </w:rPr>
        <w:t xml:space="preserve"> in favouring the Marriott Owners, and of the profit available for disgorgement to the class. These matters could be determined by an accounting and the results fairly extrapolated to each class member in subsequent proceedings. The difference between the amounts would permit each class member to make an informed decision as to whether an election should be made and, if so, which remedy should be elected.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4. 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 accept the submission of Sharbern that in the context of this class proceeding, the court must ask first, whether there is a common remedy that may be available to the entire class; and second, to the extent that a common remedy is not available, whether there are efficient processes that can be put in place for the fair resolution of the individual claims of the class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issues of rescission and damages are among the more complex issues, but I am satisfied these remedies - or at least significant aspects of them - raise issues that are common to the class and dictate against a multiplicity of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Rescission may or may not be available to the class. As noted, there is little common ground between the parties as to the law concerning rescission and its application to the circumstances of this proceeding. However, the question of whether rescission is available as a remedy in the circumstances of this case is, at the very least, a common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The statement of the common issue concerning rescission that has been proposed by VAC is one that assumes a particular view of the governing law. It assumes that rescission is more arguably available for innocent misrepresentation as to substance as distinct from misrepresentation as to quality. VAC may or may not persuade me at the trial of the remedial issues that its view of the law is the correct one. The decision of the court in </w:t>
      </w:r>
      <w:r>
        <w:rPr>
          <w:rFonts w:ascii="arial" w:eastAsia="arial" w:hAnsi="arial" w:cs="arial"/>
          <w:b/>
          <w:i/>
          <w:color w:val="000000"/>
          <w:sz w:val="20"/>
          <w:lang w:val="en-US" w:eastAsia="en-US" w:bidi="ar-SA"/>
        </w:rPr>
        <w:t>Redican</w:t>
      </w:r>
      <w:r>
        <w:rPr>
          <w:rFonts w:ascii="arial" w:eastAsia="arial" w:hAnsi="arial" w:cs="arial"/>
          <w:color w:val="000000"/>
          <w:sz w:val="20"/>
          <w:lang w:val="en-US" w:eastAsia="en-US" w:bidi="ar-SA"/>
        </w:rPr>
        <w:t xml:space="preserve">, for example, does not appear to rest primarily on a distinction between the substance and quality of the transaction in question. The rationale for the rule appears to be that in a contract for the sale of land, the purchaser has the opportunity to protect himself against misrepresentation by inserting warranties or other covenants into the conveyance document. Absent such protection, the rule of </w:t>
      </w:r>
      <w:r>
        <w:rPr>
          <w:rFonts w:ascii="arial" w:eastAsia="arial" w:hAnsi="arial" w:cs="arial"/>
          <w:i/>
          <w:color w:val="000000"/>
          <w:sz w:val="20"/>
          <w:lang w:val="en-US" w:eastAsia="en-US" w:bidi="ar-SA"/>
        </w:rPr>
        <w:t>caveat emptor</w:t>
      </w:r>
      <w:r>
        <w:rPr>
          <w:rFonts w:ascii="arial" w:eastAsia="arial" w:hAnsi="arial" w:cs="arial"/>
          <w:color w:val="000000"/>
          <w:sz w:val="20"/>
          <w:lang w:val="en-US" w:eastAsia="en-US" w:bidi="ar-SA"/>
        </w:rPr>
        <w:t xml:space="preserve"> should prevail.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 accept Sharbern's submission that the court should not commit itself to the defendants' legal analysis in the formulation of the common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Moreover, VAC acknowledged that answering the question it proposes as a statement of the common issue concerning rescission will not determine the question of the availability of rescission as a remedy; it will merely assist the parties in assessing the strength of their respective positions. That, in my view, is not a practical approach to the formulation of common remedial issues in a class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Nor am I persuaded at this stage of the proceedings that VAC's position concerning inducement is the correct one. The first certification application was argued and allowed on the basis of the deemed reliance provisions of the </w:t>
      </w:r>
      <w:r>
        <w:rPr>
          <w:rFonts w:ascii="arial" w:eastAsia="arial" w:hAnsi="arial" w:cs="arial"/>
          <w:b/>
          <w:i/>
          <w:color w:val="000000"/>
          <w:sz w:val="20"/>
          <w:lang w:val="en-US" w:eastAsia="en-US" w:bidi="ar-SA"/>
        </w:rPr>
        <w:t>Real Estate Act</w:t>
      </w:r>
      <w:r>
        <w:rPr>
          <w:rFonts w:ascii="arial" w:eastAsia="arial" w:hAnsi="arial" w:cs="arial"/>
          <w:color w:val="000000"/>
          <w:sz w:val="20"/>
          <w:lang w:val="en-US" w:eastAsia="en-US" w:bidi="ar-SA"/>
        </w:rPr>
        <w:t>. While I am not closing the door on VAC's argument, I am not prepared to accept at this point that inducement is a new issue or a legal concept distinct from reliance.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Both parties accept that at this stage of the class action the court is not called upon to arrive at conclusions of law concerning the remedial issues. That being the case, I am of the view that the statement of the common remedial issues ought to permit both parties to fully argue their positions unless the underlying legal principles are not controversial.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VAC's proposed statement of the common issues concerning damages and breach of fiduciary duty are also based upon certain legal assumptions which are not accepted by Sharbern and have yet to be fully argued on the basis of the evidence that will be called at the trial of the common remedial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On the issue of damages, it is premature to determine which date may be the appropriate date to assess damages. It is also premature to decide whether the approach taken to the measure of damages by the court in </w:t>
      </w:r>
      <w:r>
        <w:rPr>
          <w:rFonts w:ascii="arial" w:eastAsia="arial" w:hAnsi="arial" w:cs="arial"/>
          <w:b/>
          <w:i/>
          <w:color w:val="000000"/>
          <w:sz w:val="20"/>
          <w:lang w:val="en-US" w:eastAsia="en-US" w:bidi="ar-SA"/>
        </w:rPr>
        <w:t>Rainbow Caterers</w:t>
      </w:r>
      <w:r>
        <w:rPr>
          <w:rFonts w:ascii="arial" w:eastAsia="arial" w:hAnsi="arial" w:cs="arial"/>
          <w:color w:val="000000"/>
          <w:sz w:val="20"/>
          <w:lang w:val="en-US" w:eastAsia="en-US" w:bidi="ar-SA"/>
        </w:rPr>
        <w:t xml:space="preserve"> and other authorities cited by VAC ought to be taken in the circumstances of the present case - which involves claims arising out of strata units marketed under a prospectus. In </w:t>
      </w:r>
      <w:r>
        <w:rPr>
          <w:rFonts w:ascii="arial" w:eastAsia="arial" w:hAnsi="arial" w:cs="arial"/>
          <w:b/>
          <w:i/>
          <w:color w:val="000000"/>
          <w:sz w:val="20"/>
          <w:lang w:val="en-US" w:eastAsia="en-US" w:bidi="ar-SA"/>
        </w:rPr>
        <w:t>B.C. Checo</w:t>
      </w:r>
      <w:r>
        <w:rPr>
          <w:rFonts w:ascii="arial" w:eastAsia="arial" w:hAnsi="arial" w:cs="arial"/>
          <w:color w:val="000000"/>
          <w:sz w:val="20"/>
          <w:lang w:val="en-US" w:eastAsia="en-US" w:bidi="ar-SA"/>
        </w:rPr>
        <w:t>, for example, the court found that the plaintiff would have entered into the contract despite the negligent misrepresentation, but would have altered its bid on the contract. That finding persuaded the court to adopt a different measure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Similarly, the wording of the common issues relating to remedies available for breach of fiduciary duty must permit both parties to fully advance and argue their positions. VAC's proposed statement of the common issues assumes a breach of fiduciary duty that continued only so long as the conflict was undisclosed. Whether that is so is a matter for evidence and argument at the next common issues trial. Similarly, whether class members may be entitled to disgorgement of all management fees earned by VAC, or only profits on those fees, is a matter to be determined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VAC has expressed the concern that the stated common issues advanced by Sharbern will lead inevitably to individual inquiries at the common issues trial. That may be so, but whether individual inquiries will result cannot be determined at this stage and should not impede the formulation of the common remedial issues. If, for example, VAC's position on inducement is ultimately accepted, it will give rise to individual issues with respect to the rescission remedy and the court will be required to tailor a process to deal with those issues following the trial of the common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There is also the concern expressed by VAC that common issues posing questions about "entitlement", even if subject to individual issues, will preclude the raising of issues such as inducement or causation. That is not the objective of Sharbern's proposed common issues nor will it be the result if those common issues are certified. The object of the common issues as stated is to ensure that the entitlement of the class members will be decided at the next common issues trial subject only to the determination of purely individual issues. If, for example, the court is persuaded that inducement is a live issue despite deemed reliance under the </w:t>
      </w:r>
      <w:r>
        <w:rPr>
          <w:rFonts w:ascii="arial" w:eastAsia="arial" w:hAnsi="arial" w:cs="arial"/>
          <w:b/>
          <w:i/>
          <w:color w:val="000000"/>
          <w:sz w:val="20"/>
          <w:lang w:val="en-US" w:eastAsia="en-US" w:bidi="ar-SA"/>
        </w:rPr>
        <w:t>Real Estate Act</w:t>
      </w:r>
      <w:r>
        <w:rPr>
          <w:rFonts w:ascii="arial" w:eastAsia="arial" w:hAnsi="arial" w:cs="arial"/>
          <w:color w:val="000000"/>
          <w:sz w:val="20"/>
          <w:lang w:val="en-US" w:eastAsia="en-US" w:bidi="ar-SA"/>
        </w:rPr>
        <w:t>, it will become an individual issue for determination in a subsequent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5.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 have concluded that the common issues as stated by Sharbern and contained in Schedule "A" will permit both parties to fully advance their evidence and arguments at the next common issues trial. As stated, those common issues expressly exclude individual issues and ask the court to identify the individual issues left to be determined at the conclusion of the trial. The legislation contemplates such a process. No unfairness will result to VAC by proceeding in this manner. If there are individual issues remaining at the conclusion of the common issues trial, those issues will be identified such that they can then be managed efficiently and in a manner fair to both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This proceeding is subject to the case management process, which will continue to be available to the parties to deal with any matters arising from the statement of the common issues reproduced in Schedule "A".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III. Production of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Sharbern applies for production of documents relating to:</w:t>
      </w:r>
      <w:r>
        <w:rPr>
          <w:rFonts w:ascii="arial" w:eastAsia="arial" w:hAnsi="arial" w:cs="arial"/>
          <w:sz w:val="20"/>
          <w:lang w:val="en-US" w:eastAsia="en-US" w:bidi="ar-SA"/>
        </w:rPr>
        <w:cr/>
      </w:r>
    </w:p>
    <w:p>
      <w:pPr>
        <w:numPr>
          <w:numId w:val="1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assignment by VAC of the management of the Hilton Hotel to Ocean Pacific Hotels and Resorts Ltd. ("Ocean Pacific"), including correspondence leading to the assignment and any related agreements;</w:t>
      </w:r>
    </w:p>
    <w:p>
      <w:pPr>
        <w:numPr>
          <w:numId w:val="1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all documentation whereby Hilton Hotels, Inc. was requested to approve, and did approve, Ocean Pacific as manager of the Hilton Hotel;</w:t>
      </w:r>
    </w:p>
    <w:p>
      <w:pPr>
        <w:numPr>
          <w:numId w:val="1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settlement documentation in connection with the settlement of the Marriott litigation described in a letter dated January 30, 2008 from VAC to Sharbern;</w:t>
      </w:r>
    </w:p>
    <w:p>
      <w:pPr>
        <w:numPr>
          <w:numId w:val="1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any independent appraisal obtained by VAC or an affiliate and delivered to Ocean Pacific or another third party, or otherwise not subject to litigation privilege.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Sharbern also sought production of any documents to which the class members may be entitled as a result of VAC's status under the Hotel Asset Management Agreement (the "HAMA") as the trustee of the class members. However, counsel advised at the hearing of the application that it was prepared to put this aspect of its application in abeyance until the common remedial issues are settled.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In the reasons for judgment issued following the First Common Issues Trial, I concluded that the HAMA created a fiduciary relationship between VAC and the class members, and that VAC was in breach of those duties by managing both the Hilton and the Marriott in light of certain agreements between VAC and the Marriott Owners. After receiving the reasons for judgment, VAC assigned the management of the Hilton Hotel under the HAMA to Ocean Pacific in order to remove itself from the fiduciary position and end the conflict of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VAC disclosed to all unit owners, including the class members, the assignment agreement it had entered into with Ocean Pacific and a collateral agreement between VAC and the parent company of Ocean Pacific, as well as a letter dated January 15, 2008 from Hilton to VAC granting its approval of Ocean Pacific as the new manager of the hotel. The disclosure was made as a result of the circumstances described by VAC in its letter of January 30, 2008 to all unit owners of the Hilton. That letter states, in part, the following:</w:t>
      </w:r>
      <w:r>
        <w:rPr>
          <w:rFonts w:ascii="arial" w:eastAsia="arial" w:hAnsi="arial" w:cs="arial"/>
          <w:sz w:val="20"/>
          <w:lang w:val="en-US" w:eastAsia="en-US" w:bidi="ar-SA"/>
        </w:rPr>
        <w:cr/>
      </w:r>
    </w:p>
    <w:p>
      <w:pPr>
        <w:numPr>
          <w:numId w:val="1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 affiliate of VAC has recently acquired approximately 40% of the hotel strata lots of the Marriott Hotel adjacent to the Hilton. These units were acquired at an average price of approximately $76,500 per unit pursuant to an agreement between certain owners of Marriott hotel strata lots settling litigation initiated by these owners.</w:t>
      </w:r>
    </w:p>
    <w:p>
      <w:pPr>
        <w:numPr>
          <w:numId w:val="1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VAC is making a follow-up offer to all other Marriott hotel strata lot owners based on the same pricing and similar terms as in the original settlement agreement, in order to create liquidity and provide all Marriott hotel strata lot owners with the opportunity to sell their units.</w:t>
      </w:r>
    </w:p>
    <w:p>
      <w:pPr>
        <w:numPr>
          <w:numId w:val="1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a class action brought on behalf of various Hilton owners by Sharbern Holding Inc., Madam Justice Wedge determined that VAC's personal interest in favouring the Marriott over the Hilton conflicts with its fiduciary duty to the Hilton Owners to not act for other principals, competing in the same hotel market, with respect to whom VAC has a personal interest in favouring."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Counsel for VAC advised the court that the documents already disclosed to the unit owners are the only documents relevant to the agreements with Ocean Pacific and the approval given by Hilton to those arrangements. The documents accurately reflect the agreement with Ocean Pacific, pursuant to which there is complete separation of VAC from the Hilton Hotel with the exception of its ongoing ownership of approximately 10% of the units. VAC continues to have an interest in the management of the hotel, but only as an owner of some of the strata units.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assignment took effect on February 1, 2008 and Ocean Pacific is now managing the hotel.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Under the assignment agreement, VAC has the right to call for the assignment back of the HAMA in the event that Ocean Pacific, at some point in the future, became unable to perform its duties under the HAMA.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With respect to the request for any independent appraisals obtained by VAC that are not subject to litigation privilege, counsel for VAC advised the court that he is not aware of any such appraisals but if they exist, they will be produced so long as they are not privileged.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With respect to Sharbern's request for the settlement documentation respecting the settlement of the Marriott litigation, VAC submits that settlement privilege protects those documents from disclosure (</w:t>
      </w:r>
      <w:r>
        <w:rPr>
          <w:rFonts w:ascii="arial" w:eastAsia="arial" w:hAnsi="arial" w:cs="arial"/>
          <w:b/>
          <w:i/>
          <w:color w:val="000000"/>
          <w:sz w:val="20"/>
          <w:lang w:val="en-US" w:eastAsia="en-US" w:bidi="ar-SA"/>
        </w:rPr>
        <w:t>Middlekamp v</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Fraser Valley Real Estate Board</w:t>
      </w:r>
      <w:r>
        <w:rPr>
          <w:rFonts w:ascii="arial" w:eastAsia="arial" w:hAnsi="arial" w:cs="arial"/>
          <w:color w:val="000000"/>
          <w:sz w:val="20"/>
          <w:lang w:val="en-US" w:eastAsia="en-US" w:bidi="ar-SA"/>
        </w:rPr>
        <w:t xml:space="preserve"> </w:t>
      </w:r>
      <w:hyperlink r:id="rId205" w:history="1">
        <w:r>
          <w:rPr>
            <w:rFonts w:ascii="arial" w:eastAsia="arial" w:hAnsi="arial" w:cs="arial"/>
            <w:i/>
            <w:color w:val="0077CC"/>
            <w:sz w:val="20"/>
            <w:u w:val="single"/>
            <w:shd w:val="clear" w:color="auto" w:fill="FFFFFF"/>
            <w:lang w:val="en-US" w:eastAsia="en-US" w:bidi="ar-SA"/>
          </w:rPr>
          <w:t>(1992), 71 B.C.L.R. (2d) 276</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VAC has advised the court there is no one document setting out the terms of the settlement. Those terms are contained in electronic correspondence between opposing counsel to the parties in the Marriott dispute exchanged during negotiations undertaken in an effort to settle the dispute. In any event, says VAC, both the correspondence leading to the settlement, and the settlement agreement itself, are protected by the privilege (</w:t>
      </w:r>
      <w:r>
        <w:rPr>
          <w:rFonts w:ascii="arial" w:eastAsia="arial" w:hAnsi="arial" w:cs="arial"/>
          <w:b/>
          <w:i/>
          <w:color w:val="000000"/>
          <w:sz w:val="20"/>
          <w:lang w:val="en-US" w:eastAsia="en-US" w:bidi="ar-SA"/>
        </w:rPr>
        <w:t>British Columbia Children's Hospital v. Air Products Canada Ltd.</w:t>
      </w:r>
      <w:r>
        <w:rPr>
          <w:rFonts w:ascii="arial" w:eastAsia="arial" w:hAnsi="arial" w:cs="arial"/>
          <w:color w:val="000000"/>
          <w:sz w:val="20"/>
          <w:lang w:val="en-US" w:eastAsia="en-US" w:bidi="ar-SA"/>
        </w:rPr>
        <w:t xml:space="preserve">, </w:t>
      </w:r>
      <w:hyperlink r:id="rId206" w:history="1">
        <w:r>
          <w:rPr>
            <w:rFonts w:ascii="arial" w:eastAsia="arial" w:hAnsi="arial" w:cs="arial"/>
            <w:i/>
            <w:color w:val="0077CC"/>
            <w:sz w:val="20"/>
            <w:u w:val="single"/>
            <w:shd w:val="clear" w:color="auto" w:fill="FFFFFF"/>
            <w:lang w:val="en-US" w:eastAsia="en-US" w:bidi="ar-SA"/>
          </w:rPr>
          <w:t>2003 BCCA 177</w:t>
        </w:r>
      </w:hyperlink>
      <w:r>
        <w:rPr>
          <w:rFonts w:ascii="arial" w:eastAsia="arial" w:hAnsi="arial" w:cs="arial"/>
          <w:color w:val="000000"/>
          <w:sz w:val="20"/>
          <w:lang w:val="en-US" w:eastAsia="en-US" w:bidi="ar-SA"/>
        </w:rPr>
        <w:t xml:space="preserve">, </w:t>
      </w:r>
      <w:hyperlink r:id="rId206" w:history="1">
        <w:r>
          <w:rPr>
            <w:rFonts w:ascii="arial" w:eastAsia="arial" w:hAnsi="arial" w:cs="arial"/>
            <w:i/>
            <w:color w:val="0077CC"/>
            <w:sz w:val="20"/>
            <w:u w:val="single"/>
            <w:shd w:val="clear" w:color="auto" w:fill="FFFFFF"/>
            <w:lang w:val="en-US" w:eastAsia="en-US" w:bidi="ar-SA"/>
          </w:rPr>
          <w:t>[2003] B.C.J. No. 591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Sharbern has not argued that VAC waived the privilege by referring to the settlement in its January 30, 2008 correspondence. Instead, Sharbern submits that while correspondence exchanged with a view to settling the dispute is arguably privileged, the final terms of the settlement agreement are not. VAC submits that while waiver was not argued, it is significant to note that the January 30 letter to strata unit owners discloses only the fact of the settlement and the average price paid for the units under the settlement. The latter information is a matter of public record, says VAC. The exact price paid for the various units can be obtained from the Land Titles Office. For these reasons, says VAC, it is not open to Sharbern to argue waiver in any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VAC has not yet had an opportunity to list the documents in a supplemental list of documents, but intends to do so in the near future. Those documents will all be listed as protected by privilege.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(a) Documents concerning the assignment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documents reflecting the agreement between VAC and Ocean Pacific concerning the assignment of VAC's rights under the HAMA bear on the common issue of VAC's position as a fiduciary under the HAMA and its breach of that duty. VAC's position at this stage of the proceedings is that it has rectified any breach of fiduciary duty by assigning its rights under the HAMA to Ocean Pacific. The documents are clearly relevant to that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VAC accepts that the documents concerning the assignment are relevant. However, all of the documents relating to the issue have been produced. In the event that further relevant documentation is created, it too will be produced. I am satisfied that no order for production need be made at this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(b) Settlement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Settlement privilege is a blanket protection which applies whether or not settlement negotiations succeed. The scope of the privilege was described by McEachern C.J.B.C. in </w:t>
      </w:r>
      <w:r>
        <w:rPr>
          <w:rFonts w:ascii="arial" w:eastAsia="arial" w:hAnsi="arial" w:cs="arial"/>
          <w:b/>
          <w:i/>
          <w:color w:val="000000"/>
          <w:sz w:val="20"/>
          <w:lang w:val="en-US" w:eastAsia="en-US" w:bidi="ar-SA"/>
        </w:rPr>
        <w:t>Middlekamp</w:t>
      </w:r>
      <w:r>
        <w:rPr>
          <w:rFonts w:ascii="arial" w:eastAsia="arial" w:hAnsi="arial" w:cs="arial"/>
          <w:color w:val="000000"/>
          <w:sz w:val="20"/>
          <w:lang w:val="en-US" w:eastAsia="en-US" w:bidi="ar-SA"/>
        </w:rPr>
        <w:t xml:space="preserve"> at paras. 18 and 19: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 find myself in agreement with the House of Lords that the public interest in the settlement of disputes generally requires "without prejudice" documents or communications created for, or communicated in the course of, settlement negotiations to be privileged. I would classify this as a "blanket, prima facie, common law, or "class" privilege because it arises from settlement negotiations and protects the class of communications exchanged in the course of that worthwhile endeavour.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judgment this privilege protects documents and communications created for such purposes both from production to other parties to the negotiations and to strangers, and extends as well to admissibility, and whether or not a settlement is reached. This is because, as I have said, a party communicating a proposal related to settlement, or responding to one, usually has no control over what the other side may do with such documents. Without such protection, the public interest in encouraging settlements will not be served.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The Law of Evidence in Canada</w:t>
      </w:r>
      <w:r>
        <w:rPr>
          <w:rFonts w:ascii="arial" w:eastAsia="arial" w:hAnsi="arial" w:cs="arial"/>
          <w:color w:val="000000"/>
          <w:sz w:val="20"/>
          <w:lang w:val="en-US" w:eastAsia="en-US" w:bidi="ar-SA"/>
        </w:rPr>
        <w:t>, the test for the application of settlement privilege is described as follows:</w:t>
      </w:r>
      <w:r>
        <w:rPr>
          <w:rFonts w:ascii="arial" w:eastAsia="arial" w:hAnsi="arial" w:cs="arial"/>
          <w:sz w:val="20"/>
          <w:lang w:val="en-US" w:eastAsia="en-US" w:bidi="ar-SA"/>
        </w:rPr>
        <w:cr/>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litigious dispute must be in existence or within contemplation;</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communication must be made with the express or implied intention that it would not be disclosed to the court in the event negotiations failed; and</w:t>
      </w:r>
    </w:p>
    <w:p>
      <w:pPr>
        <w:numPr>
          <w:numId w:val="2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purpose of the communication must be to attempt to effect a settlement.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(J. Sopinka, S.N. Lederman &amp; A.W. Bryant, </w:t>
      </w:r>
      <w:r>
        <w:rPr>
          <w:rFonts w:ascii="arial" w:eastAsia="arial" w:hAnsi="arial" w:cs="arial"/>
          <w:i/>
          <w:color w:val="000000"/>
          <w:sz w:val="20"/>
          <w:lang w:val="en-US" w:eastAsia="en-US" w:bidi="ar-SA"/>
        </w:rPr>
        <w:t>The Law of Evidence in Canada,</w:t>
      </w:r>
      <w:r>
        <w:rPr>
          <w:rFonts w:ascii="arial" w:eastAsia="arial" w:hAnsi="arial" w:cs="arial"/>
          <w:color w:val="000000"/>
          <w:sz w:val="20"/>
          <w:lang w:val="en-US" w:eastAsia="en-US" w:bidi="ar-SA"/>
        </w:rPr>
        <w:t xml:space="preserve"> 2d. ed. (Toronto: Butterworths, 1999) at para. 14.207)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 have concluded that the exchange of correspondence leading to settlement of the dispute concerning the Marriott Owners meets the test for settlement privilege.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The terms of the settlement are contained in the correspondence. Even assuming they were formalized in a settlement agreement, the agreement itself is privileged. In </w:t>
      </w:r>
      <w:r>
        <w:rPr>
          <w:rFonts w:ascii="arial" w:eastAsia="arial" w:hAnsi="arial" w:cs="arial"/>
          <w:b/>
          <w:i/>
          <w:color w:val="000000"/>
          <w:sz w:val="20"/>
          <w:lang w:val="en-US" w:eastAsia="en-US" w:bidi="ar-SA"/>
        </w:rPr>
        <w:t>British Columbia Children's Hospital</w:t>
      </w:r>
      <w:r>
        <w:rPr>
          <w:rFonts w:ascii="arial" w:eastAsia="arial" w:hAnsi="arial" w:cs="arial"/>
          <w:color w:val="000000"/>
          <w:sz w:val="20"/>
          <w:lang w:val="en-US" w:eastAsia="en-US" w:bidi="ar-SA"/>
        </w:rPr>
        <w:t xml:space="preserve">, the Court of Appeal rejected the argument that the settlement agreement was distinguishable from the correspondence reflecting the negotiations. In my view, that conclusion did not turn on the fact that the settlement agreement in question contained a non-disclosure or confidentiality clause. The court's rejection of the distinction between documents leading to the settlement and the settlement agreement itself rests not on a particular provision in the settlement agreement but more broadly on the principals endorsed in </w:t>
      </w:r>
      <w:r>
        <w:rPr>
          <w:rFonts w:ascii="arial" w:eastAsia="arial" w:hAnsi="arial" w:cs="arial"/>
          <w:b/>
          <w:i/>
          <w:color w:val="000000"/>
          <w:sz w:val="20"/>
          <w:lang w:val="en-US" w:eastAsia="en-US" w:bidi="ar-SA"/>
        </w:rPr>
        <w:t>Middlekamp</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Dos Santos (Committee of) v. Sun Life Assurance Co. of Canada</w:t>
      </w:r>
      <w:r>
        <w:rPr>
          <w:rFonts w:ascii="arial" w:eastAsia="arial" w:hAnsi="arial" w:cs="arial"/>
          <w:color w:val="000000"/>
          <w:sz w:val="20"/>
          <w:lang w:val="en-US" w:eastAsia="en-US" w:bidi="ar-SA"/>
        </w:rPr>
        <w:t xml:space="preserve">, </w:t>
      </w:r>
      <w:hyperlink r:id="rId207" w:history="1">
        <w:r>
          <w:rPr>
            <w:rFonts w:ascii="arial" w:eastAsia="arial" w:hAnsi="arial" w:cs="arial"/>
            <w:i/>
            <w:color w:val="0077CC"/>
            <w:sz w:val="20"/>
            <w:u w:val="single"/>
            <w:shd w:val="clear" w:color="auto" w:fill="FFFFFF"/>
            <w:lang w:val="en-US" w:eastAsia="en-US" w:bidi="ar-SA"/>
          </w:rPr>
          <w:t>2005 BCCA 4</w:t>
        </w:r>
      </w:hyperlink>
      <w:r>
        <w:rPr>
          <w:rFonts w:ascii="arial" w:eastAsia="arial" w:hAnsi="arial" w:cs="arial"/>
          <w:color w:val="000000"/>
          <w:sz w:val="20"/>
          <w:lang w:val="en-US" w:eastAsia="en-US" w:bidi="ar-SA"/>
        </w:rPr>
        <w:t xml:space="preserve">, </w:t>
      </w:r>
      <w:hyperlink r:id="rId207" w:history="1">
        <w:r>
          <w:rPr>
            <w:rFonts w:ascii="arial" w:eastAsia="arial" w:hAnsi="arial" w:cs="arial"/>
            <w:i/>
            <w:color w:val="0077CC"/>
            <w:sz w:val="20"/>
            <w:u w:val="single"/>
            <w:shd w:val="clear" w:color="auto" w:fill="FFFFFF"/>
            <w:lang w:val="en-US" w:eastAsia="en-US" w:bidi="ar-SA"/>
          </w:rPr>
          <w:t>[2005] B.C.J. No. 5</w:t>
        </w:r>
      </w:hyperlink>
      <w:r>
        <w:rPr>
          <w:rFonts w:ascii="arial" w:eastAsia="arial" w:hAnsi="arial" w:cs="arial"/>
          <w:color w:val="000000"/>
          <w:sz w:val="20"/>
          <w:lang w:val="en-US" w:eastAsia="en-US" w:bidi="ar-SA"/>
        </w:rPr>
        <w:t>, the Court described at para. 20 the test that must be met in order to establish an exception to settlement privilege: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[applicant] must show that a competing public interest outweighs the public interest in encouraging settlement. An exception should only be found where the documents sought are both </w:t>
      </w:r>
      <w:r>
        <w:rPr>
          <w:rFonts w:ascii="arial" w:eastAsia="arial" w:hAnsi="arial" w:cs="arial"/>
          <w:color w:val="000000"/>
          <w:sz w:val="20"/>
          <w:u w:val="single"/>
          <w:lang w:val="en-US" w:eastAsia="en-US" w:bidi="ar-SA"/>
        </w:rPr>
        <w:t>relevant</w:t>
      </w:r>
      <w:r>
        <w:rPr>
          <w:rFonts w:ascii="arial" w:eastAsia="arial" w:hAnsi="arial" w:cs="arial"/>
          <w:color w:val="000000"/>
          <w:sz w:val="20"/>
          <w:lang w:val="en-US" w:eastAsia="en-US" w:bidi="ar-SA"/>
        </w:rPr>
        <w:t xml:space="preserve">, and </w:t>
      </w:r>
      <w:r>
        <w:rPr>
          <w:rFonts w:ascii="arial" w:eastAsia="arial" w:hAnsi="arial" w:cs="arial"/>
          <w:color w:val="000000"/>
          <w:sz w:val="20"/>
          <w:u w:val="single"/>
          <w:lang w:val="en-US" w:eastAsia="en-US" w:bidi="ar-SA"/>
        </w:rPr>
        <w:t>necessary in the circumstances of the case</w:t>
      </w:r>
      <w:r>
        <w:rPr>
          <w:rFonts w:ascii="arial" w:eastAsia="arial" w:hAnsi="arial" w:cs="arial"/>
          <w:color w:val="000000"/>
          <w:sz w:val="20"/>
          <w:lang w:val="en-US" w:eastAsia="en-US" w:bidi="ar-SA"/>
        </w:rPr>
        <w:t xml:space="preserve"> to achieve either the agreement of the parties to the settlement, or another compelling or overriding interest of justice.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It was not argued by Sharbern that any such "compelling or overriding interest" existed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Accordingly, the application for production of the settlement documents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5. Summary of Conclusions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My conclusions on the applications are as follows:</w:t>
      </w:r>
      <w:r>
        <w:rPr>
          <w:rFonts w:ascii="arial" w:eastAsia="arial" w:hAnsi="arial" w:cs="arial"/>
          <w:sz w:val="20"/>
          <w:lang w:val="en-US" w:eastAsia="en-US" w:bidi="ar-SA"/>
        </w:rPr>
        <w:cr/>
      </w:r>
    </w:p>
    <w:p>
      <w:pPr>
        <w:numPr>
          <w:numId w:val="24"/>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statement of common remedial issues will be as proposed by Sharbern and attached as Schedule A;</w:t>
      </w:r>
    </w:p>
    <w:p>
      <w:pPr>
        <w:numPr>
          <w:numId w:val="24"/>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Sharbern's application for production of the settlement documents is dismissed. The application for documents concerning the assignment of the HAMA is adjourned generally.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C.A. WEDGE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SCHEDULE "A"</w:t>
      </w:r>
      <w:r>
        <w:rPr>
          <w:rFonts w:ascii="arial" w:eastAsia="arial" w:hAnsi="arial" w:cs="arial"/>
          <w:sz w:val="20"/>
          <w:lang w:val="en-US" w:eastAsia="en-US" w:bidi="ar-SA"/>
        </w:rPr>
        <w:cr/>
      </w:r>
    </w:p>
    <w:p>
      <w:pPr>
        <w:numPr>
          <w:numId w:val="25"/>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following common issues will be certified for determination at a further trial of common issues: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Remedies</w:t>
      </w:r>
    </w:p>
    <w:p>
      <w:pPr>
        <w:numPr>
          <w:numId w:val="26"/>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only to any individual defences, are the Owners in the Class entitled to the following remedies as against Vancouver Airport Centre Ltd ( VAC') as a result of VAC's misrepresentations and breach of fiduciary duty:</w:t>
      </w:r>
    </w:p>
    <w:p>
      <w:pPr>
        <w:numPr>
          <w:numId w:val="27"/>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Rescission of the Owners' purchases of their strata lots?</w:t>
      </w:r>
    </w:p>
    <w:p>
      <w:pPr>
        <w:numPr>
          <w:numId w:val="2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 accounting of the amounts owing to the Owners in consequence of the order for rescission?</w:t>
      </w:r>
    </w:p>
    <w:p>
      <w:pPr>
        <w:numPr>
          <w:numId w:val="29"/>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Damages or statutory compensation pursuant to s. 75(2)(h) of the </w:t>
      </w:r>
      <w:r>
        <w:rPr>
          <w:rFonts w:ascii="arial" w:eastAsia="arial" w:hAnsi="arial" w:cs="arial"/>
          <w:i/>
          <w:color w:val="000000"/>
          <w:sz w:val="20"/>
          <w:lang w:val="en-US" w:eastAsia="en-US" w:bidi="ar-SA"/>
        </w:rPr>
        <w:t>Real Estate Act?</w:t>
      </w:r>
    </w:p>
    <w:p>
      <w:pPr>
        <w:numPr>
          <w:numId w:val="30"/>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declaration that VAC is not entitled to receive management fees while it participates in the management and operation of the Vancouver Airport Marriott?</w:t>
      </w:r>
    </w:p>
    <w:p>
      <w:pPr>
        <w:numPr>
          <w:numId w:val="3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 accounting of management fees received by VAC and an order for the payment of money owing to the Owners?</w:t>
      </w:r>
    </w:p>
    <w:p>
      <w:pPr>
        <w:numPr>
          <w:numId w:val="3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 accounting of financial benefits obtained by VAC through its breach of fiduciary duty and an order for the payment of money owing to the Owners?</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Class or the individual Owners are entitled to damages or statutory compensation, what is the measure of the claim and how is it to be calculated?</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measure of damages or statutory compensation depends in whole or in part on the fair market value of the strata lots in the Hotel at a given time, what was the fair market value of the strata lots at the relevant time(s)?</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Are there individual defences and, if so, what are they?</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Are the Owners entitled to an aggregate award of monetary relief pursuant to s. 29 of the </w:t>
      </w:r>
      <w:r>
        <w:rPr>
          <w:rFonts w:ascii="arial" w:eastAsia="arial" w:hAnsi="arial" w:cs="arial"/>
          <w:i/>
          <w:color w:val="000000"/>
          <w:sz w:val="20"/>
          <w:lang w:val="en-US" w:eastAsia="en-US" w:bidi="ar-SA"/>
        </w:rPr>
        <w:t>Class Proceedings Act?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SCHEDULE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Rescission</w:t>
      </w:r>
      <w:r>
        <w:rPr>
          <w:rFonts w:ascii="arial" w:eastAsia="arial" w:hAnsi="arial" w:cs="arial"/>
          <w:sz w:val="20"/>
          <w:lang w:val="en-US" w:eastAsia="en-US" w:bidi="ar-SA"/>
        </w:rPr>
        <w:cr/>
      </w:r>
    </w:p>
    <w:p>
      <w:pPr>
        <w:numPr>
          <w:numId w:val="34"/>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Having regard to the Offering Memorandum alone, does the misrepresentation concerning conflicts of interest, as found, affect the </w:t>
      </w:r>
      <w:r>
        <w:rPr>
          <w:rFonts w:ascii="arial" w:eastAsia="arial" w:hAnsi="arial" w:cs="arial"/>
          <w:i/>
          <w:color w:val="000000"/>
          <w:sz w:val="20"/>
          <w:lang w:val="en-US" w:eastAsia="en-US" w:bidi="ar-SA"/>
        </w:rPr>
        <w:t>substance</w:t>
      </w:r>
      <w:r>
        <w:rPr>
          <w:rFonts w:ascii="arial" w:eastAsia="arial" w:hAnsi="arial" w:cs="arial"/>
          <w:color w:val="000000"/>
          <w:sz w:val="20"/>
          <w:lang w:val="en-US" w:eastAsia="en-US" w:bidi="ar-SA"/>
        </w:rPr>
        <w:t xml:space="preserve"> or the </w:t>
      </w:r>
      <w:r>
        <w:rPr>
          <w:rFonts w:ascii="arial" w:eastAsia="arial" w:hAnsi="arial" w:cs="arial"/>
          <w:i/>
          <w:color w:val="000000"/>
          <w:sz w:val="20"/>
          <w:lang w:val="en-US" w:eastAsia="en-US" w:bidi="ar-SA"/>
        </w:rPr>
        <w:t>quality</w:t>
      </w:r>
      <w:r>
        <w:rPr>
          <w:rFonts w:ascii="arial" w:eastAsia="arial" w:hAnsi="arial" w:cs="arial"/>
          <w:color w:val="000000"/>
          <w:sz w:val="20"/>
          <w:lang w:val="en-US" w:eastAsia="en-US" w:bidi="ar-SA"/>
        </w:rPr>
        <w:t xml:space="preserve"> of the purchase transaction?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Fiduciary Remedies</w:t>
      </w:r>
      <w:r>
        <w:rPr>
          <w:rFonts w:ascii="arial" w:eastAsia="arial" w:hAnsi="arial" w:cs="arial"/>
          <w:sz w:val="20"/>
          <w:lang w:val="en-US" w:eastAsia="en-US" w:bidi="ar-SA"/>
        </w:rPr>
        <w:cr/>
      </w:r>
    </w:p>
    <w:p>
      <w:pPr>
        <w:numPr>
          <w:numId w:val="35"/>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Did VAC's management of the Hilton while it was in breach of its fiduciary duties, as found, cause the owner of a Representative Unit(s) to suffer any loss?</w:t>
      </w:r>
    </w:p>
    <w:p>
      <w:pPr>
        <w:numPr>
          <w:numId w:val="35"/>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answer to (b) is "yes", then what is the amount of that loss available, upon election, and without regard to individual defences, to an owner of a Representative Unit(s)?</w:t>
      </w:r>
    </w:p>
    <w:p>
      <w:pPr>
        <w:numPr>
          <w:numId w:val="35"/>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Did VAC obtain any additional profit as a result of being in breach of its fiduciary duties, as found?</w:t>
      </w:r>
    </w:p>
    <w:p>
      <w:pPr>
        <w:numPr>
          <w:numId w:val="35"/>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answer to (d) is "yes," then what amount of profit is available, upon election, and without regard to individual defences, for disgorgement to the owner of a Representative Unit(s)?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w:t>
      </w:r>
      <w:r>
        <w:rPr>
          <w:rFonts w:ascii="arial" w:eastAsia="arial" w:hAnsi="arial" w:cs="arial"/>
          <w:sz w:val="20"/>
          <w:lang w:val="en-US" w:eastAsia="en-US" w:bidi="ar-SA"/>
        </w:rPr>
        <w:cr/>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was the fair value of a Representative Unit(s) at the Hilton if VAC had made full, true, and plain disclosure concerning conflicts of interest on:</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date of purchase;</w:t>
      </w:r>
    </w:p>
    <w:p>
      <w:pPr>
        <w:numPr>
          <w:numId w:val="38"/>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date on which the Sharbern's action was commenced; and</w:t>
      </w:r>
    </w:p>
    <w:p>
      <w:pPr>
        <w:numPr>
          <w:numId w:val="39"/>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date of release of the Trial Reasons?</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was the fair market value of the Representative Unit(s) on these dates?</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69" style="position:absolute;z-index:25184563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08"/>
          <w:headerReference w:type="default" r:id="rId209"/>
          <w:footerReference w:type="even" r:id="rId210"/>
          <w:footerReference w:type="default" r:id="rId211"/>
          <w:headerReference w:type="first" r:id="rId212"/>
          <w:footerReference w:type="first" r:id="rId21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14" w:history="1">
        <w:r>
          <w:rPr>
            <w:rFonts w:ascii="arial" w:eastAsia="arial" w:hAnsi="arial" w:cs="arial"/>
            <w:b/>
            <w:bCs/>
            <w:i/>
            <w:color w:val="0077CC"/>
            <w:kern w:val="32"/>
            <w:sz w:val="28"/>
            <w:szCs w:val="32"/>
            <w:u w:val="single"/>
            <w:shd w:val="clear" w:color="auto" w:fill="FFFFFF"/>
            <w:lang w:val="en-US" w:eastAsia="en-US" w:bidi="ar-SA"/>
          </w:rPr>
          <w:t>Skelly (Re), [2007] B.C.J. No. 1132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(In Bankruptcy and Insolvency)</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Dorgan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14,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29,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Victoria Registry No. 234008-VI/02</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[2007] B.C.J. No. 1132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2007 BCSC 736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32 C.B.R. (5th) 162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157 A.C.W.S. (3d) 896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2007 CarswellBC 1161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IN THE MATTER OF the Bankruptcy of Jean-Marie Skelly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70" style="position:absolute;z-index:2516674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58" w:name="Keywords_8"/>
      <w:bookmarkEnd w:id="58"/>
      <w:r>
        <w:rPr>
          <w:rFonts w:ascii="arial" w:eastAsia="arial" w:hAnsi="arial" w:cs="arial"/>
          <w:b/>
          <w:color w:val="000000"/>
          <w:sz w:val="20"/>
          <w:lang w:val="en-US" w:eastAsia="en-US" w:bidi="ar-SA"/>
        </w:rPr>
        <w:t>Insolvency law — Discharge of bankrupt — Debts not released by discharge — Debts arising from fraud, misconduct, or breach of fiduciary duty — The bankrupt had committed defalcation and misappropriation while acting in a fiduciary capacity by failing to return the excess wage loss benefits paid to her under the collective agreement after reaching a settlement in her third party action, and this debt to the province was declared to have survived the bankruptcy.</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59" w:name="Case Summary_7"/>
            <w:bookmarkEnd w:id="5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applicant province, a creditor in the bankruptcy, sought a declaration that a debt owed it survived the bankruptcy -- The bankrupt had been injured in a motor vehicle accident, and as a unionized employee of the province she was paid various benefits after being off work for several months -- The collective agreement stated that when an employee succeeded in a wage loss claim against a third party, the employer was entitled to recover any benefits which, combined with the award, exceeded 100 per cent of the employee's pay over the relevant period -- The province claimed the bankrupt had breached her fiduciary duty to return the excess funds after receiving her settlement payments -- HELD: The bankrupt was not released from the debt for $43,419 -- The bankrupt had committed defalcation and misappropriation while acting in a fiduciary capacity -- The bankrupt was acting in a fiduciary capacity once the province extended her benefits under the collective agreement; there was an express mutual agreement that the bankrupt would reimburse her employer the benefits extended to her -- The bankrupt was represented by counsel and made fully aware of her obligations to the province upon receiving the benefits -- Her lawyer led the province to believe that he was holding the monies in trust to repay the LTD benefits -- The benefits only belonged to the bankrupt if, combined with the ICBC settlement, they did not exceed 100 per cent of her salary -- After that point, they belonged to the province.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60" w:name="Legislation Cited_8"/>
      <w:bookmarkEnd w:id="6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71" style="position:absolute;z-index:2517186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Bankruptcy and Insolvency Act, </w:t>
      </w:r>
      <w:hyperlink r:id="rId215" w:history="1">
        <w:r>
          <w:rPr>
            <w:rFonts w:ascii="arial" w:eastAsia="arial" w:hAnsi="arial" w:cs="arial"/>
            <w:i/>
            <w:color w:val="0077CC"/>
            <w:sz w:val="20"/>
            <w:u w:val="single"/>
            <w:shd w:val="clear" w:color="auto" w:fill="FFFFFF"/>
            <w:lang w:val="en-US" w:eastAsia="en-US" w:bidi="ar-SA"/>
          </w:rPr>
          <w:t>R.S.C. 1985, c. B-3, s. 178</w:t>
        </w:r>
      </w:hyperlink>
      <w:r>
        <w:rPr>
          <w:rFonts w:ascii="arial" w:eastAsia="arial" w:hAnsi="arial" w:cs="arial"/>
          <w:color w:val="000000"/>
          <w:sz w:val="20"/>
          <w:lang w:val="en-US" w:eastAsia="en-US" w:bidi="ar-SA"/>
        </w:rPr>
        <w:t>(1) (d)</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61" w:name="Counsel_8"/>
      <w:bookmarkEnd w:id="61"/>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72" style="position:absolute;z-index:2517698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Applicant Province of British Columbia: A. Welch.</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62" w:name="Judgment_8"/>
      <w:bookmarkEnd w:id="62"/>
      <w:r>
        <w:pict>
          <v:line id="_x0000_s1073" style="position:absolute;z-index:25182105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63" w:name="DORGAN J."/>
            <w:bookmarkEnd w:id="63"/>
            <w:r>
              <w:rPr>
                <w:rFonts w:ascii="arial" w:eastAsia="arial" w:hAnsi="arial" w:cs="arial"/>
                <w:b/>
                <w:color w:val="000000"/>
                <w:sz w:val="30"/>
                <w:lang w:val="en-US" w:eastAsia="en-US" w:bidi="ar-SA"/>
              </w:rPr>
              <w:t>DORGAN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applicant, the Province of British Columbia (the "Province"), is an opposing creditor in the bankruptcy of Jean-Marie Skelly. The issue is whether Ms. Skelly's debt to the Province survives her bankruptcy. This requires the court to determine whether the debt arose from defalcation or misappropriation while Ms. Skelly acted in a fiduciary capacity. Ms. Skelly was served but did not appear on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On March 10, 1997, Ms. Skelly was injured in a motor vehicle accident and was off work for several months as a result. As a unionized employee with the Province, the Province paid Ms. Skelly $22,579.59 in Short Term Illness and Injury Plan ("STIIP") benefits from March 10 to October 9, 1997 followed by $21,993.66 in Long Term Disability ("LTD") benefits from October 10, 1997 to June 30, 1998 (collectively the "Benefits"). STIIP benefits are administered entirely by the Province; whereas, Great-West Life Assurance Company ("Great-West") acts as the Province's claims paying agent for LTD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Ms. Skelly's entitlement to the Benefits arose pursuant to the Collective Agreement between the Province and the B.C. Government and Service Employees' Union. The Collective Agreement states that when an employee succeeds in a wage loss claim against a third party for an injury for which the employee received Benefits, the Province is entitled to recover or decrease the benefits so that the benefits combined with the wage loss claim do not exceed more than 100% of the employee's pay. The amount of LTD benefits the Province could recover would be reduced by the legal fees attributed to the employee's share of the total claim recovered.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Ms. Skelly, through her counsel, settled her motor vehicle claim for $166,368 plus disbursements. Of that amount, past wage lost represented $117,000. Great-West and the Province reminded Ms. Skelly, both before and after her settlement with ICBC, that she must report to them any settlement monies paid to her and that the Province had a right to recover Benefits that, combined with her wage settlement claim, exceeded 100% of her pay.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other words, both Ms. Skelly and her counsel knew that the Province intended to assert its recovery claims if the circumstances warranted.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Despite assurances that Great-West would be kept apprised of the status of Ms. Skelly's claim, and an assurance that a portion of settlement monies would be withheld, Ms. Skelly's counsel, on her instructions, paid all the settlement funds including the wage loss funds to Ms. Skelly on November 17, 1998, without notice to the Province. The Province did not become aware of this fact until August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Ms. Skelly resigned from her position with the Province in December 1999, without paying any money to the Province from her wage settlement claim. On February 9, 2000, the Province pursued a grievance against Ms. Skelly under the Collective Agreement in respect of the Benefits. After accounting for legal fees for the LTD benefits, the arbitrator found that Ms. Skelly's benefits and wage settlement claim exceeded 100% of her salary. The arbitrator concluded that Ms. Skelly owed the Province $43,419.03.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arbitration award was filed in this court on November 7, 2001, thereby converting it to an Order of the Court, a judgment, for all relevant purposes.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Ms. Skelly did not appeal the arbitrator's award. I am satisfied that she knew she was obligated to repay the Benefits she received under the terms of the Collective Agreement. No funds have been repaid to the Province. Ms. Skelly declared bankruptcy on December 6, 2002 and has yet to be discharged.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Section 178(1)(d) of the </w:t>
      </w:r>
      <w:r>
        <w:rPr>
          <w:rFonts w:ascii="arial" w:eastAsia="arial" w:hAnsi="arial" w:cs="arial"/>
          <w:b/>
          <w:i/>
          <w:color w:val="000000"/>
          <w:sz w:val="20"/>
          <w:lang w:val="en-US" w:eastAsia="en-US" w:bidi="ar-SA"/>
        </w:rPr>
        <w:t>Bankruptcy and Insolvency Act</w:t>
      </w:r>
      <w:r>
        <w:rPr>
          <w:rFonts w:ascii="arial" w:eastAsia="arial" w:hAnsi="arial" w:cs="arial"/>
          <w:color w:val="000000"/>
          <w:sz w:val="20"/>
          <w:lang w:val="en-US" w:eastAsia="en-US" w:bidi="ar-SA"/>
        </w:rPr>
        <w:t xml:space="preserve">, </w:t>
      </w:r>
      <w:hyperlink r:id="rId216" w:history="1">
        <w:r>
          <w:rPr>
            <w:rFonts w:ascii="arial" w:eastAsia="arial" w:hAnsi="arial" w:cs="arial"/>
            <w:i/>
            <w:color w:val="0077CC"/>
            <w:sz w:val="20"/>
            <w:u w:val="single"/>
            <w:shd w:val="clear" w:color="auto" w:fill="FFFFFF"/>
            <w:lang w:val="en-US" w:eastAsia="en-US" w:bidi="ar-SA"/>
          </w:rPr>
          <w:t>R.S.C. 1985, c. B-3</w:t>
        </w:r>
      </w:hyperlink>
      <w:r>
        <w:rPr>
          <w:rFonts w:ascii="arial" w:eastAsia="arial" w:hAnsi="arial" w:cs="arial"/>
          <w:color w:val="000000"/>
          <w:sz w:val="20"/>
          <w:lang w:val="en-US" w:eastAsia="en-US" w:bidi="ar-SA"/>
        </w:rPr>
        <w:t xml:space="preserve"> (the "Act")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Debts not released by order of discharge</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(1) An order of discharge does not release the bankrupt from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9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debt or liability arising out of ... misappropriation or defalcation while acting in a fiduciary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Fiduciary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Pivotal in the determination of whether one is acting in a fiduciary capacity is the nature of the relationship at issue. It is the nature of the relationship, not the specific categories of those involved, that gives rise to fiduciary duties (</w:t>
      </w:r>
      <w:r>
        <w:rPr>
          <w:rFonts w:ascii="arial" w:eastAsia="arial" w:hAnsi="arial" w:cs="arial"/>
          <w:b/>
          <w:i/>
          <w:color w:val="000000"/>
          <w:sz w:val="20"/>
          <w:lang w:val="en-US" w:eastAsia="en-US" w:bidi="ar-SA"/>
        </w:rPr>
        <w:t>Hodgkinson v. Simms</w:t>
      </w:r>
      <w:r>
        <w:rPr>
          <w:rFonts w:ascii="arial" w:eastAsia="arial" w:hAnsi="arial" w:cs="arial"/>
          <w:color w:val="000000"/>
          <w:sz w:val="20"/>
          <w:lang w:val="en-US" w:eastAsia="en-US" w:bidi="ar-SA"/>
        </w:rPr>
        <w:t xml:space="preserve"> </w:t>
      </w:r>
      <w:hyperlink r:id="rId65" w:history="1">
        <w:r>
          <w:rPr>
            <w:rFonts w:ascii="arial" w:eastAsia="arial" w:hAnsi="arial" w:cs="arial"/>
            <w:i/>
            <w:color w:val="0077CC"/>
            <w:sz w:val="20"/>
            <w:u w:val="single"/>
            <w:shd w:val="clear" w:color="auto" w:fill="FFFFFF"/>
            <w:lang w:val="en-US" w:eastAsia="en-US" w:bidi="ar-SA"/>
          </w:rPr>
          <w:t>(1994), 117 D.L.R. (4th) 161</w:t>
        </w:r>
      </w:hyperlink>
      <w:r>
        <w:rPr>
          <w:rFonts w:ascii="arial" w:eastAsia="arial" w:hAnsi="arial" w:cs="arial"/>
          <w:color w:val="000000"/>
          <w:sz w:val="20"/>
          <w:lang w:val="en-US" w:eastAsia="en-US" w:bidi="ar-SA"/>
        </w:rPr>
        <w:t xml:space="preserve"> (S.C.C.) at 175). In </w:t>
      </w:r>
      <w:r>
        <w:rPr>
          <w:rFonts w:ascii="arial" w:eastAsia="arial" w:hAnsi="arial" w:cs="arial"/>
          <w:b/>
          <w:i/>
          <w:color w:val="000000"/>
          <w:sz w:val="20"/>
          <w:lang w:val="en-US" w:eastAsia="en-US" w:bidi="ar-SA"/>
        </w:rPr>
        <w:t>Frame v. Smith</w:t>
      </w:r>
      <w:r>
        <w:rPr>
          <w:rFonts w:ascii="arial" w:eastAsia="arial" w:hAnsi="arial" w:cs="arial"/>
          <w:color w:val="000000"/>
          <w:sz w:val="20"/>
          <w:lang w:val="en-US" w:eastAsia="en-US" w:bidi="ar-SA"/>
        </w:rPr>
        <w:t xml:space="preserve">, </w:t>
      </w:r>
      <w:hyperlink r:id="rId64" w:history="1">
        <w:r>
          <w:rPr>
            <w:rFonts w:ascii="arial" w:eastAsia="arial" w:hAnsi="arial" w:cs="arial"/>
            <w:i/>
            <w:color w:val="0077CC"/>
            <w:sz w:val="20"/>
            <w:u w:val="single"/>
            <w:shd w:val="clear" w:color="auto" w:fill="FFFFFF"/>
            <w:lang w:val="en-US" w:eastAsia="en-US" w:bidi="ar-SA"/>
          </w:rPr>
          <w:t>[1987] 2 S.C.R. 99</w:t>
        </w:r>
      </w:hyperlink>
      <w:r>
        <w:rPr>
          <w:rFonts w:ascii="arial" w:eastAsia="arial" w:hAnsi="arial" w:cs="arial"/>
          <w:color w:val="000000"/>
          <w:sz w:val="20"/>
          <w:lang w:val="en-US" w:eastAsia="en-US" w:bidi="ar-SA"/>
        </w:rPr>
        <w:t xml:space="preserve"> at 136, Wilson J. provided for a three-step analysis to assist courts in determining new fiduciary relationships:</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fiduciary has scope for the exercise of some discretion or power.</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fiduciary can unilaterally exercise that power or discretion so as to affect the beneficiary's legal or practical interests.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beneficiary is peculiarly vulnerable to or at the mercy of the fiduciary holding the discretion or power.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The Supreme Court of Canada recognized in </w:t>
      </w:r>
      <w:r>
        <w:rPr>
          <w:rFonts w:ascii="arial" w:eastAsia="arial" w:hAnsi="arial" w:cs="arial"/>
          <w:b/>
          <w:i/>
          <w:color w:val="000000"/>
          <w:sz w:val="20"/>
          <w:lang w:val="en-US" w:eastAsia="en-US" w:bidi="ar-SA"/>
        </w:rPr>
        <w:t>Hodgkinson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at 176, that this three-step analysis is ill-suited to identify fiduciary obligations that arise out of specific circumstances particular to a relationship rather than innate to a given relationship:</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In these cases, the question to ask is whether, given all the surrounding circumstances, one party could reasonably have expected that the other party would act in the former's best interests with respect to the subject-matter at issue. Discretion, influence, vulnerability and trust were mentioned as non-exhaustive examples of evidential factors to be considered in making this determination.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Consequently, there are two uses of the term fiduciary: categories of fiduciary relationships that are innate to the relationship, such as trustee-beneficiary; and relationships in which fiduciary obligations arise out of specific circumstances. In describing the second use of the term fiduciary, Romilly J. states in </w:t>
      </w:r>
      <w:r>
        <w:rPr>
          <w:rFonts w:ascii="arial" w:eastAsia="arial" w:hAnsi="arial" w:cs="arial"/>
          <w:b/>
          <w:i/>
          <w:color w:val="000000"/>
          <w:sz w:val="20"/>
          <w:lang w:val="en-US" w:eastAsia="en-US" w:bidi="ar-SA"/>
        </w:rPr>
        <w:t>Kitnikone, Re</w:t>
      </w:r>
      <w:r>
        <w:rPr>
          <w:rFonts w:ascii="arial" w:eastAsia="arial" w:hAnsi="arial" w:cs="arial"/>
          <w:color w:val="000000"/>
          <w:sz w:val="20"/>
          <w:lang w:val="en-US" w:eastAsia="en-US" w:bidi="ar-SA"/>
        </w:rPr>
        <w:t xml:space="preserve"> </w:t>
      </w:r>
      <w:hyperlink r:id="rId217" w:history="1">
        <w:r>
          <w:rPr>
            <w:rFonts w:ascii="arial" w:eastAsia="arial" w:hAnsi="arial" w:cs="arial"/>
            <w:i/>
            <w:color w:val="0077CC"/>
            <w:sz w:val="20"/>
            <w:u w:val="single"/>
            <w:shd w:val="clear" w:color="auto" w:fill="FFFFFF"/>
            <w:lang w:val="en-US" w:eastAsia="en-US" w:bidi="ar-SA"/>
          </w:rPr>
          <w:t>(1999), 13 C.B.R. (4th) 76</w:t>
        </w:r>
      </w:hyperlink>
      <w:r>
        <w:rPr>
          <w:rFonts w:ascii="arial" w:eastAsia="arial" w:hAnsi="arial" w:cs="arial"/>
          <w:color w:val="000000"/>
          <w:sz w:val="20"/>
          <w:lang w:val="en-US" w:eastAsia="en-US" w:bidi="ar-SA"/>
        </w:rPr>
        <w:t xml:space="preserve"> (B.C.S.C.) at para. 13: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other words, a fiduciary relationship exists where one party reposes trust and confidence in another party who undertakes to act for or on behalf of the party reposing the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Janco v. Vereecken</w:t>
      </w:r>
      <w:r>
        <w:rPr>
          <w:rFonts w:ascii="arial" w:eastAsia="arial" w:hAnsi="arial" w:cs="arial"/>
          <w:color w:val="000000"/>
          <w:sz w:val="20"/>
          <w:lang w:val="en-US" w:eastAsia="en-US" w:bidi="ar-SA"/>
        </w:rPr>
        <w:t xml:space="preserve"> </w:t>
      </w:r>
      <w:hyperlink r:id="rId218" w:history="1">
        <w:r>
          <w:rPr>
            <w:rFonts w:ascii="arial" w:eastAsia="arial" w:hAnsi="arial" w:cs="arial"/>
            <w:i/>
            <w:color w:val="0077CC"/>
            <w:sz w:val="20"/>
            <w:u w:val="single"/>
            <w:shd w:val="clear" w:color="auto" w:fill="FFFFFF"/>
            <w:lang w:val="en-US" w:eastAsia="en-US" w:bidi="ar-SA"/>
          </w:rPr>
          <w:t>(1982), 40 B.C.L.R. 106</w:t>
        </w:r>
      </w:hyperlink>
      <w:r>
        <w:rPr>
          <w:rFonts w:ascii="arial" w:eastAsia="arial" w:hAnsi="arial" w:cs="arial"/>
          <w:color w:val="000000"/>
          <w:sz w:val="20"/>
          <w:lang w:val="en-US" w:eastAsia="en-US" w:bidi="ar-SA"/>
        </w:rPr>
        <w:t xml:space="preserve"> (B.C.C.A.) at 109, the B.C. Court of Appeal acknowledges that a fiduciary relationship exists whenever one trusts and relies upon another.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Defalcation or Misappropriation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According to the British Columbia and Alberta Courts of Appeal, defalcation does not entail an element of wrongdoing.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Smith v. Henderson</w:t>
      </w:r>
      <w:r>
        <w:rPr>
          <w:rFonts w:ascii="arial" w:eastAsia="arial" w:hAnsi="arial" w:cs="arial"/>
          <w:color w:val="000000"/>
          <w:sz w:val="20"/>
          <w:lang w:val="en-US" w:eastAsia="en-US" w:bidi="ar-SA"/>
        </w:rPr>
        <w:t xml:space="preserve"> </w:t>
      </w:r>
      <w:hyperlink r:id="rId219" w:history="1">
        <w:r>
          <w:rPr>
            <w:rFonts w:ascii="arial" w:eastAsia="arial" w:hAnsi="arial" w:cs="arial"/>
            <w:i/>
            <w:color w:val="0077CC"/>
            <w:sz w:val="20"/>
            <w:u w:val="single"/>
            <w:shd w:val="clear" w:color="auto" w:fill="FFFFFF"/>
            <w:lang w:val="en-US" w:eastAsia="en-US" w:bidi="ar-SA"/>
          </w:rPr>
          <w:t>(1992), 64 B.C.L.R. (2d) 144</w:t>
        </w:r>
      </w:hyperlink>
      <w:r>
        <w:rPr>
          <w:rFonts w:ascii="arial" w:eastAsia="arial" w:hAnsi="arial" w:cs="arial"/>
          <w:color w:val="000000"/>
          <w:sz w:val="20"/>
          <w:lang w:val="en-US" w:eastAsia="en-US" w:bidi="ar-SA"/>
        </w:rPr>
        <w:t xml:space="preserve"> (B.C.C.A.), Legg J.A. held that defalcation does not necessarily involve dishonesty or wrongdoing. At para. 26, he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wording of 178(1)(d) includes liability for wrongdoing arising out of dishonest acts such as fraud or embezzlement while acting in a fiduciary capacity. However, "a defalcation while acting in fiduciary capacity" does not necessarily entail a dishonest or wrongful act. It is sufficient if there is a failure to meet an obligation by a fiduciary. A breach of trust arises whenever a trustee fails to carry out his obligations under the terms of the trust. The trustee may have committed the breach due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incompetence rather than fraud or an act of dishonesty.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 Alberta Court of Appeal agreed with this interpretation of defalcation. In </w:t>
      </w:r>
      <w:r>
        <w:rPr>
          <w:rFonts w:ascii="arial" w:eastAsia="arial" w:hAnsi="arial" w:cs="arial"/>
          <w:b/>
          <w:i/>
          <w:color w:val="000000"/>
          <w:sz w:val="20"/>
          <w:lang w:val="en-US" w:eastAsia="en-US" w:bidi="ar-SA"/>
        </w:rPr>
        <w:t>Confederation Life Insurance Co. v. Waselenak</w:t>
      </w:r>
      <w:r>
        <w:rPr>
          <w:rFonts w:ascii="arial" w:eastAsia="arial" w:hAnsi="arial" w:cs="arial"/>
          <w:color w:val="000000"/>
          <w:sz w:val="20"/>
          <w:lang w:val="en-US" w:eastAsia="en-US" w:bidi="ar-SA"/>
        </w:rPr>
        <w:t xml:space="preserve">, </w:t>
      </w:r>
      <w:hyperlink r:id="rId220" w:history="1">
        <w:r>
          <w:rPr>
            <w:rFonts w:ascii="arial" w:eastAsia="arial" w:hAnsi="arial" w:cs="arial"/>
            <w:i/>
            <w:color w:val="0077CC"/>
            <w:sz w:val="20"/>
            <w:u w:val="single"/>
            <w:shd w:val="clear" w:color="auto" w:fill="FFFFFF"/>
            <w:lang w:val="en-US" w:eastAsia="en-US" w:bidi="ar-SA"/>
          </w:rPr>
          <w:t>[1998] 5 W.W.R. 712</w:t>
        </w:r>
      </w:hyperlink>
      <w:r>
        <w:rPr>
          <w:rFonts w:ascii="arial" w:eastAsia="arial" w:hAnsi="arial" w:cs="arial"/>
          <w:color w:val="000000"/>
          <w:sz w:val="20"/>
          <w:lang w:val="en-US" w:eastAsia="en-US" w:bidi="ar-SA"/>
        </w:rPr>
        <w:t xml:space="preserve"> (Alta. Q.B.) aff'd </w:t>
      </w:r>
      <w:r>
        <w:rPr>
          <w:rFonts w:ascii="arial" w:eastAsia="arial" w:hAnsi="arial" w:cs="arial"/>
          <w:i/>
          <w:color w:val="000000"/>
          <w:sz w:val="20"/>
          <w:lang w:val="en-US" w:eastAsia="en-US" w:bidi="ar-SA"/>
        </w:rPr>
        <w:t>2000 ABCA 136</w:t>
      </w:r>
      <w:r>
        <w:rPr>
          <w:rFonts w:ascii="arial" w:eastAsia="arial" w:hAnsi="arial" w:cs="arial"/>
          <w:color w:val="000000"/>
          <w:sz w:val="20"/>
          <w:lang w:val="en-US" w:eastAsia="en-US" w:bidi="ar-SA"/>
        </w:rPr>
        <w:t>, Gallant J. writes at para. 74: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respectfully adopt the view that dishonesty or a wrongful act like fraud or embezzlement need not be present in order to find that an act of defalcation has occurred, within the meaning of that term in the Act. All that is necessary is that a party fails to account to another if he or she has an obligation to do so and is acting in a fiduciary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The Courts of Appeal in Ontario and Manitoba have adopted a contrary view. In the case of </w:t>
      </w:r>
      <w:r>
        <w:rPr>
          <w:rFonts w:ascii="arial" w:eastAsia="arial" w:hAnsi="arial" w:cs="arial"/>
          <w:b/>
          <w:i/>
          <w:color w:val="000000"/>
          <w:sz w:val="20"/>
          <w:lang w:val="en-US" w:eastAsia="en-US" w:bidi="ar-SA"/>
        </w:rPr>
        <w:t>Simone v. Daley</w:t>
      </w:r>
      <w:r>
        <w:rPr>
          <w:rFonts w:ascii="arial" w:eastAsia="arial" w:hAnsi="arial" w:cs="arial"/>
          <w:color w:val="000000"/>
          <w:sz w:val="20"/>
          <w:lang w:val="en-US" w:eastAsia="en-US" w:bidi="ar-SA"/>
        </w:rPr>
        <w:t xml:space="preserve"> </w:t>
      </w:r>
      <w:hyperlink r:id="rId221" w:history="1">
        <w:r>
          <w:rPr>
            <w:rFonts w:ascii="arial" w:eastAsia="arial" w:hAnsi="arial" w:cs="arial"/>
            <w:i/>
            <w:color w:val="0077CC"/>
            <w:sz w:val="20"/>
            <w:u w:val="single"/>
            <w:shd w:val="clear" w:color="auto" w:fill="FFFFFF"/>
            <w:lang w:val="en-US" w:eastAsia="en-US" w:bidi="ar-SA"/>
          </w:rPr>
          <w:t>(1999), 170 D.L.R. (4th) 215</w:t>
        </w:r>
      </w:hyperlink>
      <w:r>
        <w:rPr>
          <w:rFonts w:ascii="arial" w:eastAsia="arial" w:hAnsi="arial" w:cs="arial"/>
          <w:color w:val="000000"/>
          <w:sz w:val="20"/>
          <w:lang w:val="en-US" w:eastAsia="en-US" w:bidi="ar-SA"/>
        </w:rPr>
        <w:t xml:space="preserve"> (Ont. C.A.), Blair J.A. for the Ontario Court of Appeal states at para. 52: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 am not persuaded that the exception to a release of liability upon a bankruptcy discharge which is provided for in paragraph 178(1) (d) of the </w:t>
      </w:r>
      <w:r>
        <w:rPr>
          <w:rFonts w:ascii="arial" w:eastAsia="arial" w:hAnsi="arial" w:cs="arial"/>
          <w:i/>
          <w:color w:val="000000"/>
          <w:sz w:val="20"/>
          <w:lang w:val="en-US" w:eastAsia="en-US" w:bidi="ar-SA"/>
        </w:rPr>
        <w:t>BIA</w:t>
      </w:r>
      <w:r>
        <w:rPr>
          <w:rFonts w:ascii="arial" w:eastAsia="arial" w:hAnsi="arial" w:cs="arial"/>
          <w:color w:val="000000"/>
          <w:sz w:val="20"/>
          <w:lang w:val="en-US" w:eastAsia="en-US" w:bidi="ar-SA"/>
        </w:rPr>
        <w:t xml:space="preserve"> should be extended to conduct which does not display at least some element of wrongdoing or improper conduct on the part of the fiduciary in question in the sense of a failure to account properly for monies or property entrusted to the fiduciary in that capacity or inappropriate dealing with such trust property. Had Parliament intended that any innocent breach of an obligation on the part of fiduciary would give rise to a debt that would not be released by a discharge from bankruptcy it could very easily have said so, by providing that an order of discharge does not release the bankrupt from any debt or liability arising from a breach of fiduciary obligation. It did not do so. It chose to couch the types of debts or liabilities "while acting in a fiduciary capacity" which would attract the exceptions of subsection 178(1), in the context of debts or liabilities arising from fraud, embezzlement or misappropriation, as well as defalcation. While these notions may have slightly different shades or gradations of meaning, I can only conclude that Parliament intended the words "misappropriation" and "defalcation" to bear their plain and ordinary meaning, as the context in which they are used suggests.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Ross &amp; Associates v. Palmer</w:t>
      </w:r>
      <w:r>
        <w:rPr>
          <w:rFonts w:ascii="arial" w:eastAsia="arial" w:hAnsi="arial" w:cs="arial"/>
          <w:color w:val="000000"/>
          <w:sz w:val="20"/>
          <w:lang w:val="en-US" w:eastAsia="en-US" w:bidi="ar-SA"/>
        </w:rPr>
        <w:t xml:space="preserve">, </w:t>
      </w:r>
      <w:hyperlink r:id="rId222" w:history="1">
        <w:r>
          <w:rPr>
            <w:rFonts w:ascii="arial" w:eastAsia="arial" w:hAnsi="arial" w:cs="arial"/>
            <w:i/>
            <w:color w:val="0077CC"/>
            <w:sz w:val="20"/>
            <w:u w:val="single"/>
            <w:shd w:val="clear" w:color="auto" w:fill="FFFFFF"/>
            <w:lang w:val="en-US" w:eastAsia="en-US" w:bidi="ar-SA"/>
          </w:rPr>
          <w:t>2001 MBCA 17</w:t>
        </w:r>
      </w:hyperlink>
      <w:r>
        <w:rPr>
          <w:rFonts w:ascii="arial" w:eastAsia="arial" w:hAnsi="arial" w:cs="arial"/>
          <w:color w:val="000000"/>
          <w:sz w:val="20"/>
          <w:lang w:val="en-US" w:eastAsia="en-US" w:bidi="ar-SA"/>
        </w:rPr>
        <w:t xml:space="preserve">, Twaddle J.A., albeit in </w:t>
      </w:r>
      <w:r>
        <w:rPr>
          <w:rFonts w:ascii="arial" w:eastAsia="arial" w:hAnsi="arial" w:cs="arial"/>
          <w:i/>
          <w:color w:val="000000"/>
          <w:sz w:val="20"/>
          <w:lang w:val="en-US" w:eastAsia="en-US" w:bidi="ar-SA"/>
        </w:rPr>
        <w:t>obiter dicta</w:t>
      </w:r>
      <w:r>
        <w:rPr>
          <w:rFonts w:ascii="arial" w:eastAsia="arial" w:hAnsi="arial" w:cs="arial"/>
          <w:color w:val="000000"/>
          <w:sz w:val="20"/>
          <w:lang w:val="en-US" w:eastAsia="en-US" w:bidi="ar-SA"/>
        </w:rPr>
        <w:t>, states at para. 24: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words "embezzlement," "misappropriation" and "defalcation" all have similar dictionary meanings. Without suggesting that there is no distinction between the three, all involve the wrongful use of someone else's money. For s. 178(1)(d) of the </w:t>
      </w:r>
      <w:r>
        <w:rPr>
          <w:rFonts w:ascii="arial" w:eastAsia="arial" w:hAnsi="arial" w:cs="arial"/>
          <w:i/>
          <w:color w:val="000000"/>
          <w:sz w:val="20"/>
          <w:lang w:val="en-US" w:eastAsia="en-US" w:bidi="ar-SA"/>
        </w:rPr>
        <w:t>Bankruptcy and Insolvency Act</w:t>
      </w:r>
      <w:r>
        <w:rPr>
          <w:rFonts w:ascii="arial" w:eastAsia="arial" w:hAnsi="arial" w:cs="arial"/>
          <w:color w:val="000000"/>
          <w:sz w:val="20"/>
          <w:lang w:val="en-US" w:eastAsia="en-US" w:bidi="ar-SA"/>
        </w:rPr>
        <w:t xml:space="preserve"> to be engaged, the wrongful use of money must have been made by the user as a fiduciary. There are thus three elements which must be proved: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money taken to create the debt must have belonged to someone other than the taker;</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taking must involve a wrongful use of the money; and</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taker must have received the money as a fiduciary.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Simone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Blair J.A. refers to the fifth edition of </w:t>
      </w:r>
      <w:r>
        <w:rPr>
          <w:rFonts w:ascii="arial" w:eastAsia="arial" w:hAnsi="arial" w:cs="arial"/>
          <w:i/>
          <w:color w:val="000000"/>
          <w:sz w:val="20"/>
          <w:lang w:val="en-US" w:eastAsia="en-US" w:bidi="ar-SA"/>
        </w:rPr>
        <w:t>Black's Law Dictionary</w:t>
      </w:r>
      <w:r>
        <w:rPr>
          <w:rFonts w:ascii="arial" w:eastAsia="arial" w:hAnsi="arial" w:cs="arial"/>
          <w:color w:val="000000"/>
          <w:sz w:val="20"/>
          <w:lang w:val="en-US" w:eastAsia="en-US" w:bidi="ar-SA"/>
        </w:rPr>
        <w:t xml:space="preserve"> to support the position that "defalcation" involves an element of wrongdoing. Blair J.A explains that the reference to a "failure to meet an obligation" must be read in the context of surrounding words, such as embezzlement, misappropriation of trust funds, and failure to properly account. At para. 42, Blair J.A. describes the fifth edition's definition of defalcation 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act of a defaulter; act of embezzling; failure to meet an obligation; misappropriation of trust funds or money held in any fiduciary capacity; failure to properly account for such funds. Commonly spoken of officers of corporations or public officials.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 eighth edition of </w:t>
      </w:r>
      <w:r>
        <w:rPr>
          <w:rFonts w:ascii="arial" w:eastAsia="arial" w:hAnsi="arial" w:cs="arial"/>
          <w:i/>
          <w:color w:val="000000"/>
          <w:sz w:val="20"/>
          <w:lang w:val="en-US" w:eastAsia="en-US" w:bidi="ar-SA"/>
        </w:rPr>
        <w:t>Black's Law Dictionary</w:t>
      </w:r>
      <w:r>
        <w:rPr>
          <w:rFonts w:ascii="arial" w:eastAsia="arial" w:hAnsi="arial" w:cs="arial"/>
          <w:color w:val="000000"/>
          <w:sz w:val="20"/>
          <w:lang w:val="en-US" w:eastAsia="en-US" w:bidi="ar-SA"/>
        </w:rPr>
        <w:t xml:space="preserve"> defines defalcation as follows:</w:t>
      </w:r>
      <w:r>
        <w:rPr>
          <w:rFonts w:ascii="arial" w:eastAsia="arial" w:hAnsi="arial" w:cs="arial"/>
          <w:sz w:val="20"/>
          <w:lang w:val="en-US" w:eastAsia="en-US" w:bidi="ar-SA"/>
        </w:rPr>
        <w:cr/>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Embezzlement. 2. Loosely, the failure to meet an obligation; a non-fraudulent default. 3. </w:t>
      </w:r>
      <w:r>
        <w:rPr>
          <w:rFonts w:ascii="arial" w:eastAsia="arial" w:hAnsi="arial" w:cs="arial"/>
          <w:i/>
          <w:color w:val="000000"/>
          <w:sz w:val="20"/>
          <w:lang w:val="en-US" w:eastAsia="en-US" w:bidi="ar-SA"/>
        </w:rPr>
        <w:t>Archaic</w:t>
      </w:r>
      <w:r>
        <w:rPr>
          <w:rFonts w:ascii="arial" w:eastAsia="arial" w:hAnsi="arial" w:cs="arial"/>
          <w:color w:val="000000"/>
          <w:sz w:val="20"/>
          <w:lang w:val="en-US" w:eastAsia="en-US" w:bidi="ar-SA"/>
        </w:rPr>
        <w:t>. A deduction; a set-off.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It is notable that the eighth edition's definition no longer refers to "misappropriation of funds" or "failure to properly account" and qualifies failure to meet an obligation with "loosely". It is arguable that the eighth edition's definition is supportive of the interpretation of defalcation advanced by the B.C. and Alberta Courts of Appeal. In any event, in the absence of Supreme Court of Canada authority settling the issue, the </w:t>
      </w:r>
      <w:r>
        <w:rPr>
          <w:rFonts w:ascii="arial" w:eastAsia="arial" w:hAnsi="arial" w:cs="arial"/>
          <w:b/>
          <w:i/>
          <w:color w:val="000000"/>
          <w:sz w:val="20"/>
          <w:lang w:val="en-US" w:eastAsia="en-US" w:bidi="ar-SA"/>
        </w:rPr>
        <w:t>Smith</w:t>
      </w:r>
      <w:r>
        <w:rPr>
          <w:rFonts w:ascii="arial" w:eastAsia="arial" w:hAnsi="arial" w:cs="arial"/>
          <w:color w:val="000000"/>
          <w:sz w:val="20"/>
          <w:lang w:val="en-US" w:eastAsia="en-US" w:bidi="ar-SA"/>
        </w:rPr>
        <w:t xml:space="preserve"> decision,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from our Court of Appeal, is authoritative.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Turning to misappropriation, according to </w:t>
      </w:r>
      <w:r>
        <w:rPr>
          <w:rFonts w:ascii="arial" w:eastAsia="arial" w:hAnsi="arial" w:cs="arial"/>
          <w:b/>
          <w:i/>
          <w:color w:val="000000"/>
          <w:sz w:val="20"/>
          <w:lang w:val="en-US" w:eastAsia="en-US" w:bidi="ar-SA"/>
        </w:rPr>
        <w:t>Janco</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at 109, misappropriation in s. 178(1)(d) means "the act of misappropriating or turning to a wrong purpose". A wrong purpose is "any purpose other than that for which the use of the money was intended between the parties" (see </w:t>
      </w:r>
      <w:r>
        <w:rPr>
          <w:rFonts w:ascii="arial" w:eastAsia="arial" w:hAnsi="arial" w:cs="arial"/>
          <w:b/>
          <w:i/>
          <w:color w:val="000000"/>
          <w:sz w:val="20"/>
          <w:lang w:val="en-US" w:eastAsia="en-US" w:bidi="ar-SA"/>
        </w:rPr>
        <w:t>Kitnikone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at para.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Abstainer's Insurance Co. v. Pellegrino</w:t>
      </w:r>
      <w:r>
        <w:rPr>
          <w:rFonts w:ascii="arial" w:eastAsia="arial" w:hAnsi="arial" w:cs="arial"/>
          <w:color w:val="000000"/>
          <w:sz w:val="20"/>
          <w:lang w:val="en-US" w:eastAsia="en-US" w:bidi="ar-SA"/>
        </w:rPr>
        <w:t xml:space="preserve"> </w:t>
      </w:r>
      <w:hyperlink r:id="rId223" w:history="1">
        <w:r>
          <w:rPr>
            <w:rFonts w:ascii="arial" w:eastAsia="arial" w:hAnsi="arial" w:cs="arial"/>
            <w:i/>
            <w:color w:val="0077CC"/>
            <w:sz w:val="20"/>
            <w:u w:val="single"/>
            <w:shd w:val="clear" w:color="auto" w:fill="FFFFFF"/>
            <w:lang w:val="en-US" w:eastAsia="en-US" w:bidi="ar-SA"/>
          </w:rPr>
          <w:t>(1989), 77 C.B.R. (N.S.) 108</w:t>
        </w:r>
      </w:hyperlink>
      <w:r>
        <w:rPr>
          <w:rFonts w:ascii="arial" w:eastAsia="arial" w:hAnsi="arial" w:cs="arial"/>
          <w:color w:val="000000"/>
          <w:sz w:val="20"/>
          <w:lang w:val="en-US" w:eastAsia="en-US" w:bidi="ar-SA"/>
        </w:rPr>
        <w:t xml:space="preserve"> at 111, cited with approval in </w:t>
      </w:r>
      <w:r>
        <w:rPr>
          <w:rFonts w:ascii="arial" w:eastAsia="arial" w:hAnsi="arial" w:cs="arial"/>
          <w:b/>
          <w:i/>
          <w:color w:val="000000"/>
          <w:sz w:val="20"/>
          <w:lang w:val="en-US" w:eastAsia="en-US" w:bidi="ar-SA"/>
        </w:rPr>
        <w:t>Kitnikone</w:t>
      </w:r>
      <w:r>
        <w:rPr>
          <w:rFonts w:ascii="arial" w:eastAsia="arial" w:hAnsi="arial" w:cs="arial"/>
          <w:color w:val="000000"/>
          <w:sz w:val="20"/>
          <w:lang w:val="en-US" w:eastAsia="en-US" w:bidi="ar-SA"/>
        </w:rPr>
        <w:t xml:space="preserve"> at para. 4, Herold D.C.J. describes misappropriation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word "misappropriate" in the </w:t>
      </w:r>
      <w:r>
        <w:rPr>
          <w:rFonts w:ascii="arial" w:eastAsia="arial" w:hAnsi="arial" w:cs="arial"/>
          <w:i/>
          <w:color w:val="000000"/>
          <w:sz w:val="20"/>
          <w:lang w:val="en-US" w:eastAsia="en-US" w:bidi="ar-SA"/>
        </w:rPr>
        <w:t>Bankruptcy Act</w:t>
      </w:r>
      <w:r>
        <w:rPr>
          <w:rFonts w:ascii="arial" w:eastAsia="arial" w:hAnsi="arial" w:cs="arial"/>
          <w:color w:val="000000"/>
          <w:sz w:val="20"/>
          <w:lang w:val="en-US" w:eastAsia="en-US" w:bidi="ar-SA"/>
        </w:rPr>
        <w:t xml:space="preserve"> is not, as I read the cases, used in any pejorative or accusatory sense; rather, it may simply be the failure of a person to account when he is called upon to do so, particularly where, as here, he is in possession of the necessary funds to do so and chooses for reasons which he believes are valid not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determining whether Ms. Skelly was acting in a fiduciary capacity, I have considered whether the Province could reasonably expect that Ms. Skelly would act in its best interests with respect to the Benefits. In other words, did the Province place trust and confidence in Ms. Skelly to act on its behalf?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Ms. Skelly's entitlement to the Benefits arose from the negotiated terms of the Collective Agreement. The Province provided Ms. Skelly with the Benefits on the basis that she was to inform the Province of any settlement she received from ICBC and to reimburse the Province for any amount that exceeded 100% of her salary. The Province trusted Ms. Skelly to follow the terms of the Collective Agreement and to return any provincial money extended to her to which she was not entitled.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Ms. Skelly was represented by counsel and was made fully aware of her obligations to the Province upon receiving the Benefits. Her lawyer led the Province to believe that he was holding monies in trust in order to repay the LTD benefits. The Benefits only belonged to Ms. Skelly if, combined with the ICBC settlement, they did not exceed 100% of her salary. As soon as the ICBC settlement exceeded 100% of her salary, the Benefits no longer belonged to Ms. Skelly and the Province trusted her to act in its best interests by returning the funds.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 have concluded that Ms. Skelly was acting in a fiduciary capacity once the Province extended her benefits under the Collective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I agree with the Province's submission that the case at bar is analogous to </w:t>
      </w:r>
      <w:r>
        <w:rPr>
          <w:rFonts w:ascii="arial" w:eastAsia="arial" w:hAnsi="arial" w:cs="arial"/>
          <w:b/>
          <w:i/>
          <w:color w:val="000000"/>
          <w:sz w:val="20"/>
          <w:lang w:val="en-US" w:eastAsia="en-US" w:bidi="ar-SA"/>
        </w:rPr>
        <w:t>Confederation Life</w:t>
      </w:r>
      <w:r>
        <w:rPr>
          <w:rFonts w:ascii="arial" w:eastAsia="arial" w:hAnsi="arial" w:cs="arial"/>
          <w:color w:val="000000"/>
          <w:sz w:val="20"/>
          <w:lang w:val="en-US" w:eastAsia="en-US" w:bidi="ar-SA"/>
        </w:rPr>
        <w:t xml:space="preserve"> where Gallant J. found a fiduciary relationship between the employee and his employer because of the express mutual agreement that the employee would reimburse his employer the illness benefits extended to him from any award he received from the Workers' Compensation Board.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Further, I find that Ms. Skelly committed both defalcation and misappropriation while acting in a fiduciary capacity. Ms. Skelly was obligated to inform the Province of the amount of her settlement and reimburse the Province for all or part of the Benefits she received that, combined with her wage settlement, exceeded her salary by 100%. She failed in both obligations.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Ms. Skelly misappropriated the funds because she used the Benefits in a manner that was not intended by the parties. The terms of the Collective Agreement only enabled her to use that portion of the Benefits that did not, coupled with the wage settlement, exceed 100% of her salary. Ms. Skelly received enough money from her settlement to account for the Benefits she received. She has not disputed this obligation to account, but has refused to account for the monies and has used them for another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Accordingly, this court declares that, upon discharge, Ms. Skelly is not released from her debt to the Province, in the amount of $43,419.03, plus interest, pursuant to s. 178(1)(d) of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DORGAN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74" style="position:absolute;z-index:25184665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24"/>
          <w:headerReference w:type="default" r:id="rId225"/>
          <w:footerReference w:type="even" r:id="rId226"/>
          <w:footerReference w:type="default" r:id="rId227"/>
          <w:headerReference w:type="first" r:id="rId228"/>
          <w:footerReference w:type="first" r:id="rId22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30" w:history="1">
        <w:r>
          <w:rPr>
            <w:rFonts w:ascii="arial" w:eastAsia="arial" w:hAnsi="arial" w:cs="arial"/>
            <w:b/>
            <w:bCs/>
            <w:i/>
            <w:color w:val="0077CC"/>
            <w:kern w:val="32"/>
            <w:sz w:val="28"/>
            <w:szCs w:val="32"/>
            <w:u w:val="single"/>
            <w:shd w:val="clear" w:color="auto" w:fill="FFFFFF"/>
            <w:lang w:val="en-US" w:eastAsia="en-US" w:bidi="ar-SA"/>
          </w:rPr>
          <w:t>Soussan v. Wolthers, [2005] B.C.J. No. 1375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Silverman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25 - 29,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17,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S031768</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[2005] B.C.J. No. 1375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2005 BCSC 916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140 A.C.W.S. (3d) 753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Albert Soussan, plaintiff, and M. Wolthers, M. Donaghy and City of Vancouver,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75" style="position:absolute;z-index:2516684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64" w:name="Keywords_9"/>
      <w:bookmarkEnd w:id="64"/>
      <w:r>
        <w:rPr>
          <w:rFonts w:ascii="arial" w:eastAsia="arial" w:hAnsi="arial" w:cs="arial"/>
          <w:b/>
          <w:color w:val="000000"/>
          <w:sz w:val="20"/>
          <w:lang w:val="en-US" w:eastAsia="en-US" w:bidi="ar-SA"/>
        </w:rPr>
        <w:t>Torts — Trespass — To person — Assault — Defences — Statutory compliance — Authority.</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65" w:name="Case Summary_8"/>
            <w:bookmarkEnd w:id="6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71-year-old plaintiff Soussan against the defendant police officers for damages for assault and battery. Soussan was a customer at a flea market. He claimed that while he was comforting a sidewalk vendor, the officers grabbed him, pushed him, and banged his head against a wall. The officers claimed Soussan was argumentative and resisting their attempts to seize items. They intervened when he became involved in a struggle with a flea market employee over an item. One officer held Soussan against a wall but denied banging his head against it. Soussan provided no medical evidence to support his claim that he was injured. There were several inconsistencies between Soussan's testimony, his examination for discovery, and a letter of complaint he wrote to the police.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66" w:name="Holdings of Court_5"/>
            <w:bookmarkEnd w:id="66"/>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Although Soussan was well intentioned and attempted to be truthful, his memory of the incident was somewhat inaccurate. The officers' evidence of what happened was accepted. The officers made the correct decision as to the amount of force that was necessary. The actions of the officers were reasonable and based on reasonable grounds. They were justified and authorized in law in applying the force that was applied to Soussan.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67" w:name="Legislation Cited_9"/>
      <w:bookmarkEnd w:id="6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76" style="position:absolute;z-index:2517196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Criminal Code, </w:t>
      </w:r>
      <w:hyperlink r:id="rId231" w:history="1">
        <w:r>
          <w:rPr>
            <w:rFonts w:ascii="arial" w:eastAsia="arial" w:hAnsi="arial" w:cs="arial"/>
            <w:i/>
            <w:color w:val="0077CC"/>
            <w:sz w:val="20"/>
            <w:u w:val="single"/>
            <w:shd w:val="clear" w:color="auto" w:fill="FFFFFF"/>
            <w:lang w:val="en-US" w:eastAsia="en-US" w:bidi="ar-SA"/>
          </w:rPr>
          <w:t>R.S.C. 1985, c. C-46 s. 25</w:t>
        </w:r>
      </w:hyperlink>
      <w:r>
        <w:rPr>
          <w:rFonts w:ascii="arial" w:eastAsia="arial" w:hAnsi="arial" w:cs="arial"/>
          <w:color w:val="000000"/>
          <w:sz w:val="20"/>
          <w:lang w:val="en-US" w:eastAsia="en-US" w:bidi="ar-SA"/>
        </w:rPr>
        <w:t>, s. 25(1)(b)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Police Act, </w:t>
      </w:r>
      <w:hyperlink r:id="rId232" w:history="1">
        <w:r>
          <w:rPr>
            <w:rFonts w:ascii="arial" w:eastAsia="arial" w:hAnsi="arial" w:cs="arial"/>
            <w:i/>
            <w:color w:val="0077CC"/>
            <w:sz w:val="20"/>
            <w:u w:val="single"/>
            <w:shd w:val="clear" w:color="auto" w:fill="FFFFFF"/>
            <w:lang w:val="en-US" w:eastAsia="en-US" w:bidi="ar-SA"/>
          </w:rPr>
          <w:t>R.S.B.C. 1996, c. 367 s. 20</w:t>
        </w:r>
      </w:hyperlink>
      <w:r>
        <w:rPr>
          <w:rFonts w:ascii="arial" w:eastAsia="arial" w:hAnsi="arial" w:cs="arial"/>
          <w:color w:val="000000"/>
          <w:sz w:val="20"/>
          <w:lang w:val="en-US" w:eastAsia="en-US" w:bidi="ar-SA"/>
        </w:rPr>
        <w:t>(1)(a), s. 21, s. 21(2), s. 21(3)</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68" w:name="Counsel_9"/>
      <w:bookmarkEnd w:id="68"/>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77" style="position:absolute;z-index:2517708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Albert Soussan: Appearing On His Own Behalf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K.F.W. Liang</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69" w:name="Judgment_9"/>
      <w:bookmarkEnd w:id="69"/>
      <w:r>
        <w:pict>
          <v:line id="_x0000_s1078" style="position:absolute;z-index:251822080"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70" w:name="SILVERMAN J."/>
            <w:bookmarkEnd w:id="70"/>
            <w:r>
              <w:rPr>
                <w:rFonts w:ascii="arial" w:eastAsia="arial" w:hAnsi="arial" w:cs="arial"/>
                <w:b/>
                <w:color w:val="000000"/>
                <w:sz w:val="30"/>
                <w:lang w:val="en-US" w:eastAsia="en-US" w:bidi="ar-SA"/>
              </w:rPr>
              <w:t>SILVERMAN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plaintiff sues the two personal defendants, who at the relevant time were Vancouver Police Department ("VPD") officers, for damages for assault and battery. The plaintiff also sues the City of Vancouver (the "City") for assault, erroneously naming the City as the employer of the two personal defendants. The plaintiff is not represented by counsel, and counsel for the City advises me that this mistake (naming the City as employer of police officers) is a common one. Although the City is not the employer of the personal defendants, it does concede that, if the personal defendants are liable for the assault, then the City, subject to arguments about Notice and limitation periods, is vicariously liable by virtue of s. 20(1)(a) of the Police Act, </w:t>
      </w:r>
      <w:r>
        <w:rPr>
          <w:rFonts w:ascii="arial" w:eastAsia="arial" w:hAnsi="arial" w:cs="arial"/>
          <w:i/>
          <w:color w:val="000000"/>
          <w:sz w:val="20"/>
          <w:lang w:val="en-US" w:eastAsia="en-US" w:bidi="ar-SA"/>
        </w:rPr>
        <w:t>R.S.B.C. 1996, c. 367</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As the plaintiff was not represented by counsel, the arguments necessary to advance his claim were framed in lay terms. If he had been represented, I am satisfied that the issues placed before me would have been in the following terms:</w:t>
      </w:r>
      <w:r>
        <w:rPr>
          <w:rFonts w:ascii="arial" w:eastAsia="arial" w:hAnsi="arial" w:cs="arial"/>
          <w:sz w:val="20"/>
          <w:lang w:val="en-US" w:eastAsia="en-US" w:bidi="ar-SA"/>
        </w:rPr>
        <w:cr/>
      </w:r>
    </w:p>
    <w:p>
      <w:pPr>
        <w:numPr>
          <w:numId w:val="9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force used by one or both of the personal defendants against the plaintiff?</w:t>
      </w:r>
    </w:p>
    <w:p>
      <w:pPr>
        <w:numPr>
          <w:numId w:val="9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force was used against the plaintiff by one or both of the personal defendants, was it used with proper authority, on reasonable grounds, and with justification?</w:t>
      </w:r>
    </w:p>
    <w:p>
      <w:pPr>
        <w:numPr>
          <w:numId w:val="9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force was used, was the force excessive?</w:t>
      </w:r>
    </w:p>
    <w:p>
      <w:pPr>
        <w:numPr>
          <w:numId w:val="9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force was used, did it result in injury and damages to the plaintiff?</w:t>
      </w:r>
    </w:p>
    <w:p>
      <w:pPr>
        <w:numPr>
          <w:numId w:val="9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personal defendants are liable for assault, is the City vicariously liable, and was the City given proper notice?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was on September 16, 2001, a seventy one year old gentleman, 5'5" tall and weighing one hundred and fifteen pounds. I heard his evidence under oath and he addressed me numerous times in his capacity as a self-represented litigant. I find him to be pleasant, courteous, charming and intelligent. I also find him to be a docile man who is an unlikely candidate for involvement in any negative activity involving police officers. I find that he is not the sort of person who would ordinarily find himself in a volatile, hostile, or aggressive mood.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With respect to his evidence, I believe that he gave his evidence sincerely and honestly, attempting to be truthful. I do not believe that he deliberately attempted to mislead me in any way. However, I am conscious of the difference between credibility and reliability, and I conclude that his evidence, while well-intentioned, was sometimes wrong. He sometimes perceived events inaccurately, and was confused about certain things. While he professed to have a good memory, I conclude that his memory of the incident in question is not as good as he believes.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 conclude that his perception of events and his memory of the events are somewhat inaccurate for the following reasons:</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suddenness, and surprise, with which the incident commenced;</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very short duration of the incident; and</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emotions of the plaintiff immediately preceding, and during, the incident. In this regard, I note that all of the defence witnesses described his demeanour during the incident as agitated and very upset.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assessing the evidence of the plaintiff, I have considered the following:</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are a number of inconsistencies within his own evidence when a comparison is made between what he said in court, what he said at his examination for discovery, and what he said in a letter of complaint written to the police;</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are a number of inconsistencies in the evidence when the plaintiff's version is compared with the versions of the defence witnesses. Where his version differs from the versions of the personal defendants, I accept the latter versions as being accurate. The two personal defendants were not emotionally involved in the incident. It was a rather routine, low-level, mundane incident for them and I accept that their observations and recollections are detached and accurate; and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complained of injuries and described them in a manner which suggests that they were rather serious, but there is no support, beyond his own evidence, for any of these injuries; in particular, there is no medical evidence at all supporting any of the claims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INCIDENT</w:t>
      </w:r>
      <w:r>
        <w:rPr>
          <w:rFonts w:ascii="arial" w:eastAsia="arial" w:hAnsi="arial" w:cs="arial"/>
          <w:sz w:val="20"/>
          <w:lang w:val="en-US" w:eastAsia="en-US" w:bidi="ar-SA"/>
        </w:rPr>
        <w:cr/>
      </w:r>
    </w:p>
    <w:p>
      <w:pPr>
        <w:numPr>
          <w:numId w:val="4"/>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On Sunday, September 16, 2001, there was a minor physical altercation between the two personal defendants and the plaintiff. That altercation is the incident which is the subject matter of this law suit. It occurred outside the Vancouver Flea Market on Terminal Avenue, in Vancouver, in the early afternoon.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the year 2001 and for several years preceding, City By-law Inspectors and VPD police were repeatedly called to the flea market area to deal with unlicensed vendors who sold their wares on the sidewalks of property neighbouring the flea market. The City considered these vendors to be a safety hazard because of the blocking of pedestrian traffic. The flea market considered these vendors to be unfair competition because they were not paying to rent space within the flea market. The police considered these vendors to be a nuisance. I conclude that they were all of the foregoing, and they were also the cause of the numerous calls to the VPD for attendance to the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On September 16, 2001, a City By-law Inspector, named Kevin Karleen, saw what he considered to be unlawful vending on the sidewalk and, having been the object of assaults in the past when trying to deal with vendors on his own, he called for police assistance as back-up, as had become his practice. The two personal defendants responded, and together with Mr. Karleen, they attended to the area of the sidewalk vendors. Mr. Karleen's intention was to seize the items being displayed. The intention of the personal defendants was to keep the peace.</w:t>
      </w:r>
      <w:r>
        <w:rPr>
          <w:rFonts w:ascii="arial" w:eastAsia="arial" w:hAnsi="arial" w:cs="arial"/>
          <w:sz w:val="20"/>
          <w:lang w:val="en-US" w:eastAsia="en-US" w:bidi="ar-SA"/>
        </w:rPr>
        <w:cr/>
      </w:r>
    </w:p>
    <w:p>
      <w:pPr>
        <w:numPr>
          <w:numId w:val="5"/>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Events Upon Arrival of Police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At that time, the plaintiff was in the vicinity. He had been a regular patron of the flea market for some years and he had no concerns, and possibly had no knowledge, that the activities of sidewalk vendors in the area were illegal.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As Mr. Karleen and the personal defendants arrived, the plaintiff was in the immediate vicinity of the sidewalk displays. From this point the testimony of the witnesses vary as to what occurred:</w:t>
      </w:r>
      <w:r>
        <w:rPr>
          <w:rFonts w:ascii="arial" w:eastAsia="arial" w:hAnsi="arial" w:cs="arial"/>
          <w:sz w:val="20"/>
          <w:lang w:val="en-US" w:eastAsia="en-US" w:bidi="ar-SA"/>
        </w:rPr>
        <w:cr/>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Karleen testified that, according to his observations, the plaintiff was a sidewalk vendor, at that time and place, and that he had also dealt with the plaintiff as a vendor on previous occasions. On that date, one of the items for display on the sidewalk was a computer keyboard. Mr. Karleen testified that the plaintiff resisted his attempts to interfere with the illegal vending and to seize items, and that the plaintiff was generally upset and argumentative.</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testified that he was not a vendor, and had never been a vendor on any occasion; that he was simply a potential customer in the area and, after Mr. Karleen and the police arrived and began to disrupt the vendors, the plaintiff attempted to comfort a female sidewalk vendor who had become very upset. He had a computer keyboard under his arm which he had bought in the flea market not long before.</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Several witnesses, who were regular vendors at the flea market, gave evidence that the plaintiff had been a long time customer, but that they had never known him to be a vendor at any time in the past, or on that day.</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witness, David Orcullo, called by the plaintiff, testified that he saw the plaintiff standing near a woman who was selling items when the police arrived.</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Constable Wolthers ("Cst. Wolthers") indicated that, while he saw the plaintiff in the immediate vicinity, he did not form the view that the plaintiff was a vendor. He did note that the plaintiff became agitated, upset, and argumentative and was arguing with himself and the defendant Constable Donaghy ("Cst. Donaghy"). He described the plaintiff as being "... in the face of ..." Cst. Donaghy.</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Cst. Donaghy formed no view as to whether or not the plaintiff was a vendor. The plaintiff told him that he had just bought the keyboard in the flea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 find as a fact that the plaintiff was not, on that day or on any other day, a sidewalk vendor. On this point, I prefer the evidence of the plaintiff to that of Mr. Karleen.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Karleen was also of the view that the plaintiff had been drinking. The plaintiff said he had not, and that he did not ever drink alcohol. The two personal defendants did not form the view that the plaintiff had been drinking, but did offer that his agitated behaviour was capable of being perceived as consistent with symptoms of intoxication.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On this point as well, I accept the evidence of the plaintiff over that of Mr. Karleen. I conclude that he had not been drinking. I note as well that the plaintiff was a long-time and daily user of Percocet, by prescription, the result of injuries received in a motor vehicle accident some years before. Other than hearing that Percocet is a painkiller, I heard no evidence as to how this usage might have affected the plaintiff's behaviour.</w:t>
      </w:r>
      <w:r>
        <w:rPr>
          <w:rFonts w:ascii="arial" w:eastAsia="arial" w:hAnsi="arial" w:cs="arial"/>
          <w:sz w:val="20"/>
          <w:lang w:val="en-US" w:eastAsia="en-US" w:bidi="ar-SA"/>
        </w:rPr>
        <w:cr/>
      </w:r>
    </w:p>
    <w:p>
      <w:pPr>
        <w:numPr>
          <w:numId w:val="7"/>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Events Immediately Preceding the Use of Force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altercation with the two personal defendants occurred shortly after Mr. Karleen began seizing items from the sidewalk displays. Once again, the testimony revealed different versions of events:</w:t>
      </w:r>
      <w:r>
        <w:rPr>
          <w:rFonts w:ascii="arial" w:eastAsia="arial" w:hAnsi="arial" w:cs="arial"/>
          <w:sz w:val="20"/>
          <w:lang w:val="en-US" w:eastAsia="en-US" w:bidi="ar-SA"/>
        </w:rPr>
        <w:cr/>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testified that he was simply comforting the upset female vendor with his arm around her when he was assaulted by Cst. Donaghy. He denied being in a physical altercation with Mr. Karleen involving the computer keyboard.</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Karleen testified that he was in a tug-of-war struggle with the plaintiff for possession of the computer keyboard which, according to Mr. Karleen, had previously been one of the goods for sale displayed on the ground. Mr. Karleen testified that during the course of this struggle, the plaintiff raised the keyboard above his head with both hands as if he were about to hit Mr. Karleen with it. At that point, Cst. Donaghy stepped in and, using physical force, prevented the plaintiff from continuing the struggle.</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two witnesses to the incident, called by the plaintiff, testified that they did not see the events involving the plaintiff, which immediately preceded the altercation with the police officers.</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Cst. Wolthers testified that he did not see the activity involving the plaintiff that immediately preceded the altercation between the plaintiff and Cst. Donaghy. Neither did he see any physical altercation between the plaintiff and Mr. Karleen. Neither did he see the plaintiff lift the keyboard above his head. What he did see, more generally, was that the plaintiff was argumentative, and was resisting the attempts to seize the items with comments such as "you need a warrant" and "you have no right". Cst. Wolthers gave evidence that in his mind, the plaintiff could have been arrested for obstruction, and likely would have been but for his age. He testified that he and his partner "bent over backwards" because of the age of the plaintiff.</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Cst. Donaghy testified that he saw the plaintiff and Mr. Karleen in a struggle over the computer keyboard. However, he did not see the plaintiff lift it over his head as if to hit Mr. Karleen. Nevertheless, he was concerned that the struggle might escalate to the point where one of them might be hurt, either as the result of an assault, or as the result of falling. He physically intervened for that reason. He echoed Cst. Wolthers' evidence that the plaintiff might well have been arrested for obstruction if he were younger.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 accept the evidence of Cst. Donaghy on this point. The plaintiff is mistaken when he testifies that he was not in an altercation with Mr. Karleen over the computer keyboard at the time that Cst. Donaghy intervened. However, I reject the evidence of Mr. Karleen that the altercation had escalated to the point where he was overtly threatened by the plaintiff raising the keyboard over his head.</w:t>
      </w:r>
      <w:r>
        <w:rPr>
          <w:rFonts w:ascii="arial" w:eastAsia="arial" w:hAnsi="arial" w:cs="arial"/>
          <w:sz w:val="20"/>
          <w:lang w:val="en-US" w:eastAsia="en-US" w:bidi="ar-SA"/>
        </w:rPr>
        <w:cr/>
      </w:r>
    </w:p>
    <w:p>
      <w:pPr>
        <w:numPr>
          <w:numId w:val="9"/>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Use of Force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testimony also differs on the question of the type and extent of force used against the plaintiff:</w:t>
      </w:r>
      <w:r>
        <w:rPr>
          <w:rFonts w:ascii="arial" w:eastAsia="arial" w:hAnsi="arial" w:cs="arial"/>
          <w:sz w:val="20"/>
          <w:lang w:val="en-US" w:eastAsia="en-US" w:bidi="ar-SA"/>
        </w:rPr>
        <w:cr/>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testified that Cst. Donaghy grabbed him from behind, turned him around, rammed his forearm against the throat of the plaintiff with considerable force, and then using his forearm, drove the plaintiff back against the wall of the building. The result was that the back of the head of the plaintiff hit the wall, and he testified that Cst. Donaghy pushed and pulled the plaintiff back and forth banging the back of his head against the wall three or four times. This is the assault by Cst. Donaghy complained of by the plaintiff. While being held against the wall, the plaintiff testified that Cst. Wolthers came and removed the computer keyboard from under the plaintiff's arm, and attempted to separate the plaintiff and Cst. Donaghy. In describing the extent of the force used by Cst. Donaghy, he used the phrases "very forceful" and "smashed my head". He agreed that Cst. Donaghy said he would let him go if he calmed down. Cst. Donaghy did ultimately let him go.</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Karleen testified that Cst. Donaghy stepped in between Mr. Karleen and the plaintiff, put one hand on the plaintiff's chest, palm open, and began backing him up to a wall. At the wall, Cst. Donaghy held the plaintiff against the wall, with his hand on his chest. The plaintiff was complaining of being hurt. Mr. Karleen estimated that Cst. Donaghy held the plaintiff against the wall for about ten seconds at the most; that he was being held "quite lightly". Cst. Wolthers came in and took the keyboard away. There was no resistance. He did not see the plaintiff's head banging against the wall.</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witness David Orcullo testified that the plaintiff was standing beside a female. He was in conversation with an officer (which I take to be Cst. Donaghy). The officer then grabbed the front of the plaintiff's collar with both fists, and with his fists against the throat of the plaintiff, pushed him against the wall. He described the degree of force as being a four or a five on a scale of one to ten. He estimated that the altercation lasted about a minute, after which time the officer let go. He only saw the plaintiff against the wall once, from which I take it that he did not see the head being banged against the wall three or four times, as the plaintiff described. He did not think that the other officer grabbed the computer keyboard.</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witness Mark Lavoie testified that he saw the plaintiff being held by an officer's outstretched arm, the fist holding on to the front of the shirt of the plaintiff, in the front, below the neck, but on the upper part of the shirt. The plaintiff was losing his balance. The officer let go. The witness saw the plaintiff begin to fall, but his view was blocked and he did not see him actually fall to the ground, although he assumes he did. He estimates that he watched the outstretched arm holding the shirt of the plaintiff for about one minute until it let go. He did not see the beginning of the incident where the outstretched arm and fist actually grabbed the shirt. He testified that he was positive that the plaintiff was not actually against a wall, but was approximately three feet away from a wall. He did not see a computer keyboard, or anything at all, being held by the plaintiff.</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Cst. Wolthers testified that he was dealing with other persons in the crowd when he looked over and "... saw my partner holding the plaintiff against the wall". He describes Cst. Donaghy as holding him with one hand holding the front of the shirt, approximately six inches below the neck. The other hand was holding the plaintiff by the arm, and under that arm the plaintiff was holding a computer keyboard. He heard Cst. Donaghy tell the plaintiff to calm down and that he was interfering with "our ability" to seize stuff. Cst. Wolthers was concerned about the possibility of the keyboard being used as a weapon so he stepped in and took it away. The plaintiff's head did not move back and forth. The plaintiff did not fall. Cst. Donaghy did not grab the plaintiff with both hands against his throat. The plaintiff calmed down, at which time Cst. Donaghy simply let him go. Cst. Wolthers returned the keyboard to the plaintiff, who then walked away.</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Cst. Donaghy testified that he grabbed the plaintiff with two hands, one on the upper left arm/shoulder area and the other in the right lower arm (which was holding the computer keyboard). The plaintiff was yelling "you're hurting me". Cst. Donaghy "walked him" back to the building, and was telling him that if he interfered, he was going to be arrested for obstruction. He estimates that the entire time he was holding the plaintiff until he let go, was fifteen to twenty seconds. He said that if the plaintiff was younger or bigger, he probably would have been taken to the ground and placed in handcuffs. He indicated that his training had taught him to use the technique he did use, which he referred to as "basic empty hand control". He opined that he used the minimum amount of force that he considered necessary in the circumstances. He had already determined that talking was not going to stop the plaintiff from interfering because talking had already been attempted, and was not working. He agrees that he held the plaintiff firmly against the wall, but he did not bang his head against it. His fists were not up under the plaintiff's chin. The plaintiff never fell.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For the reasons mentioned in paras. 5 and 6, supra, I accept the evidence of Cst. Donaghy and Cst. Wolthers where it differs from that of the plaintiff. Where Cst. Wolthers did not view a portion of the entire incident, I accept the evidence of Cst. Donaghy.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FINDINGS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 make the following findings of fact:</w:t>
      </w:r>
      <w:r>
        <w:rPr>
          <w:rFonts w:ascii="arial" w:eastAsia="arial" w:hAnsi="arial" w:cs="arial"/>
          <w:sz w:val="20"/>
          <w:lang w:val="en-US" w:eastAsia="en-US" w:bidi="ar-SA"/>
        </w:rPr>
        <w:cr/>
      </w:r>
    </w:p>
    <w:p>
      <w:pPr>
        <w:numPr>
          <w:numId w:val="1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Mr. Karleen and the police arrived at the scene, the plaintiff was standing in the immediate vicinity of street vendors, and became agitated and upset at the activities of Mr. Karleen in attempting to seize the goods of the vendors, and at the activities of the police, in supporting what Mr. Karleen was doing.</w:t>
      </w:r>
    </w:p>
    <w:p>
      <w:pPr>
        <w:numPr>
          <w:numId w:val="1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became involved in an altercation with Mr. Karleen over a computer keyboard, which the plaintiff had purchased not long before in the flea market. They were in a tug-of-war battle for the keyboard, and this was observed by Cst. Donaghy.</w:t>
      </w:r>
    </w:p>
    <w:p>
      <w:pPr>
        <w:numPr>
          <w:numId w:val="1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Cst. Donaghy formed the view that this struggle had the potential for escalating either into an assault, in which one of the two participants might be hurt, or into a situation where one of them might fall and be hurt. Cst. Donaghy concluded that it was his duty to intervene to prevent either of those events from occurring, and to prevent a breach of the peace.</w:t>
      </w:r>
    </w:p>
    <w:p>
      <w:pPr>
        <w:numPr>
          <w:numId w:val="1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Constable Donaghy grabbed the plaintiff in the manner described in his evidence (para. 17, supra).</w:t>
      </w:r>
    </w:p>
    <w:p>
      <w:pPr>
        <w:numPr>
          <w:numId w:val="1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Cst. Donaghy honestly and reasonably believed that he had no alternative but to step in and interfere as he did in order to prevent the struggle from escalating, and in so doing, he used the lowest level of force which he subjectively determined was necessary in the circumstances. I conclude that his determination with respect to the amount of force that was required was reasonable in the circumstances, and I also conclude that, objectively, he made the correct decision as to the amount of force which was necessary.</w:t>
      </w:r>
    </w:p>
    <w:p>
      <w:pPr>
        <w:numPr>
          <w:numId w:val="1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To the extent that Cst. Wolthers applied any force directly, and to the extent that he assisted or enabled Cst. Donaghy to apply force, Cst. Wolthers did so honestly and reasonably believing that he had no alternative in all the circumstances, and that he was using, or assisting the use of a reasonable amount of force. I conclude that his determination with respect to the amount of force that was required was reasonable in the circumstances, and I also conclude that, objectively, he made the correct decision as to the amount of force which was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personal defendants concede that force was applied against the plaintiff. However, they argue that they are absolved from tortious liability by virtue of s.21 of the Police Act, which states, inter alia, as follows:</w:t>
      </w:r>
      <w:r>
        <w:rPr>
          <w:rFonts w:ascii="arial" w:eastAsia="arial" w:hAnsi="arial" w:cs="arial"/>
          <w:sz w:val="20"/>
          <w:lang w:val="en-US" w:eastAsia="en-US" w:bidi="ar-SA"/>
        </w:rPr>
        <w:cr/>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 action for damages lies against a police officer or any other person appointed under this Act for anything said or done or omitted to be said or done by him or her in the performance or intended performance of his or her duty or in the exercise of his or her power or for any alleged neglect or default in the performance or intended performance of his or her duty or exercise of his or her power.</w:t>
      </w:r>
    </w:p>
    <w:p>
      <w:pPr>
        <w:numPr>
          <w:numId w:val="1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Subsection (2) does not provide a defence if</w:t>
      </w:r>
    </w:p>
    <w:p>
      <w:pPr>
        <w:numPr>
          <w:numId w:val="1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police officer or other person appointed under this Act has, in relation to the conduct that is the subject matter of action, been guilty of dishonesty,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malicious or wilful misconduct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defendants also rely upon s. 25 of the Criminal Code, R.S.C. 185, c. C-46, which states, inter alia, as follows:</w:t>
      </w:r>
      <w:r>
        <w:rPr>
          <w:rFonts w:ascii="arial" w:eastAsia="arial" w:hAnsi="arial" w:cs="arial"/>
          <w:sz w:val="20"/>
          <w:lang w:val="en-US" w:eastAsia="en-US" w:bidi="ar-SA"/>
        </w:rPr>
        <w:cr/>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Every one who is required or authorized by law to do anything in the administration or enforcement of the law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a peace officer or public officer,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is, if he acts on reasonable grounds, justified in doing what he is required or authorized to do and in using as much force as is necessary for that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It is a long accepted principle that s. 25 of the Criminal Code provides a defence to both civil and criminal liability if the force was justified within the meaning of that section (Priestman v. Colangelo, </w:t>
      </w:r>
      <w:hyperlink r:id="rId233" w:history="1">
        <w:r>
          <w:rPr>
            <w:rFonts w:ascii="arial" w:eastAsia="arial" w:hAnsi="arial" w:cs="arial"/>
            <w:i/>
            <w:color w:val="0077CC"/>
            <w:sz w:val="20"/>
            <w:u w:val="single"/>
            <w:shd w:val="clear" w:color="auto" w:fill="FFFFFF"/>
            <w:lang w:val="en-US" w:eastAsia="en-US" w:bidi="ar-SA"/>
          </w:rPr>
          <w:t>[1959] S.C.R. 615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In Berntt v. Vancouver (City) </w:t>
      </w:r>
      <w:hyperlink r:id="rId234" w:history="1">
        <w:r>
          <w:rPr>
            <w:rFonts w:ascii="arial" w:eastAsia="arial" w:hAnsi="arial" w:cs="arial"/>
            <w:i/>
            <w:color w:val="0077CC"/>
            <w:sz w:val="20"/>
            <w:u w:val="single"/>
            <w:shd w:val="clear" w:color="auto" w:fill="FFFFFF"/>
            <w:lang w:val="en-US" w:eastAsia="en-US" w:bidi="ar-SA"/>
          </w:rPr>
          <w:t>(1999), 63 B.C.L.R. (3d) 233</w:t>
        </w:r>
      </w:hyperlink>
      <w:r>
        <w:rPr>
          <w:rFonts w:ascii="arial" w:eastAsia="arial" w:hAnsi="arial" w:cs="arial"/>
          <w:color w:val="000000"/>
          <w:sz w:val="20"/>
          <w:lang w:val="en-US" w:eastAsia="en-US" w:bidi="ar-SA"/>
        </w:rPr>
        <w:t xml:space="preserve"> (C.A.), the Court of Appeal held that the measuring of the "reasonable grounds" of the officer in similar circumstances is not to be done objectively and after the fact, but rather subjectively from the point of view of the officer at the time of the incident. The court states at paras. 34 and 35: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question in this case is not whether the appellant Hancock was wrong, but whether he lacked reason for his belief if, in fact, he held the belief the section requires as a foundation for his defence of justification.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 paraphrase Cory J. in R. v. Storrey, </w:t>
      </w:r>
      <w:hyperlink r:id="rId235" w:history="1">
        <w:r>
          <w:rPr>
            <w:rFonts w:ascii="arial" w:eastAsia="arial" w:hAnsi="arial" w:cs="arial"/>
            <w:i/>
            <w:color w:val="0077CC"/>
            <w:sz w:val="20"/>
            <w:u w:val="single"/>
            <w:shd w:val="clear" w:color="auto" w:fill="FFFFFF"/>
            <w:lang w:val="en-US" w:eastAsia="en-US" w:bidi="ar-SA"/>
          </w:rPr>
          <w:t>[1990] 1 S.C.R. 241</w:t>
        </w:r>
      </w:hyperlink>
      <w:r>
        <w:rPr>
          <w:rFonts w:ascii="arial" w:eastAsia="arial" w:hAnsi="arial" w:cs="arial"/>
          <w:color w:val="000000"/>
          <w:sz w:val="20"/>
          <w:lang w:val="en-US" w:eastAsia="en-US" w:bidi="ar-SA"/>
        </w:rPr>
        <w:t>, supra, a case of arrest without warrant, the issue is whether a reasonable person standing in the appellant Hancock's shoes would have believed that reasonable grounds existed to fire the Arwen.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Applying my findings of fact to the law, I conclude the following:</w:t>
      </w:r>
      <w:r>
        <w:rPr>
          <w:rFonts w:ascii="arial" w:eastAsia="arial" w:hAnsi="arial" w:cs="arial"/>
          <w:sz w:val="20"/>
          <w:lang w:val="en-US" w:eastAsia="en-US" w:bidi="ar-SA"/>
        </w:rPr>
        <w:cr/>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the personal defendants arrived to keep the peace, and when Cst. Donaghy interfered and applied force to the plaintiff to prevent an assault, or to prevent someone from falling and being hurt, both constables were authorized by law to so act.</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they acted as they did, the actions of both personal defendants were reasonable, and based on reasonable grounds, when viewed objectively. Further, when viewed subjectively, both personal defendants were acting reasonably, and on reasonable grounds, as they perceived them.</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follows that both personal defendants were justified in applying the force that was applied to the plaintiff.</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amount of force that was applied was minimal in the circumstances, when viewed both objectively and subjectively. It follows that it was not excessive.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Based on all of the evidence before me I conclude that:</w:t>
      </w:r>
      <w:r>
        <w:rPr>
          <w:rFonts w:ascii="arial" w:eastAsia="arial" w:hAnsi="arial" w:cs="arial"/>
          <w:sz w:val="20"/>
          <w:lang w:val="en-US" w:eastAsia="en-US" w:bidi="ar-SA"/>
        </w:rPr>
        <w:cr/>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Neither of the personal defendants assaulted the plaintiff.</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To the extent that the personal defendants applied force to the plaintiff, such application was authorized by law, based on reasonable grounds, justified, and not excessive in force. Therefore, it does not constitute the tort of assault.</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suit for assault and battery against both personal defendants is dismissed.</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view of the foregoing findings against the two personal defendants, it is not necessary to consider the question of vicarious liability on the part of the City, or the questions of Notice and limitation periods on the part of the City. The action against the City is also dismissed.</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Since there has been no assault, there is no need to canvass the question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Costs will be in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SILVERMAN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79" style="position:absolute;z-index:25184768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36"/>
          <w:headerReference w:type="default" r:id="rId237"/>
          <w:footerReference w:type="even" r:id="rId238"/>
          <w:footerReference w:type="default" r:id="rId239"/>
          <w:headerReference w:type="first" r:id="rId240"/>
          <w:footerReference w:type="first" r:id="rId24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42" w:history="1">
        <w:r>
          <w:rPr>
            <w:rFonts w:ascii="arial" w:eastAsia="arial" w:hAnsi="arial" w:cs="arial"/>
            <w:b/>
            <w:bCs/>
            <w:i/>
            <w:color w:val="0077CC"/>
            <w:kern w:val="32"/>
            <w:sz w:val="28"/>
            <w:szCs w:val="32"/>
            <w:u w:val="single"/>
            <w:shd w:val="clear" w:color="auto" w:fill="FFFFFF"/>
            <w:lang w:val="en-US" w:eastAsia="en-US" w:bidi="ar-SA"/>
          </w:rPr>
          <w:t>Strata Plan LMS 1816 v. North Fraser Holdings Ltd., [2003] B.C.J. No. 1578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Slade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27,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30,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S002611</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[2003] B.C.J. No. 1578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2003 BCSC 992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26 C.L.R. (3d) 173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124 A.C.W.S. (3d) 47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The Owners, Strata Plan LMS 1816, plaintiff, and North Fraser Holdings Limited, 411845 British Columbia Ltd., 411853 British Columbia Ltd., Nigel Baldwin, Nigel Baldwin Architects Ltd., Hughes Baldwin Architects, Van Maren Construction Co. Ltd., Intracorp Developments Ltd. previously known as Intrawest Real Estate Ltd., Intrawest Corporation in its English Form and Corporation Intrawest in its French form, Van Maren Construction (#8529) Ltd., Reifel Cooke Group Limited, George C. Reifel, Guy Young, Joe S. Houssain, J. Randy Cooke, Sidney J. Mendelson, Daniel O. Jarvis, Levelton Engineering Ltd., SMB Consultants Inc., Read Jones Christofferson Ltd., Jem Decks Distribution Ltd., McGregor &amp; Thompson Hardware Ltd., John Doe 5 doing business as Agnim Construction Ltd. and the said Agnim Construction Ltd., Dave Bhatara, John Doe 6, doing business as Sertex Mechanical Ltd., and the said Sertex Mechanical Ltd., Roger Hendrix, J.R. Trory &amp; Company Ltd., Transwest Roofing (1994) Ltd., Northern Building Supply Ltd., Mainland Stucco &amp; Drywall Company (1994) Ltd., John Doe 7 doing business as 470134 B.C. Ltd. and the said 470134 B.C. Ltd., Robert Rietveld, Vancouver Fascia Gutter Ltd.,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80" style="position:absolute;z-index:2516695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71" w:name="Keywords_10"/>
      <w:bookmarkEnd w:id="71"/>
      <w:r>
        <w:rPr>
          <w:rFonts w:ascii="arial" w:eastAsia="arial" w:hAnsi="arial" w:cs="arial"/>
          <w:b/>
          <w:color w:val="000000"/>
          <w:sz w:val="20"/>
          <w:lang w:val="en-US" w:eastAsia="en-US" w:bidi="ar-SA"/>
        </w:rPr>
        <w:t>Practice — Parties — Adding or substituting parties — Adding or substituting defendants — Requirement that plaintiff have cause of action against party to be added — Circumstances when denied.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72" w:name="Case Summary_9"/>
            <w:bookmarkEnd w:id="7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plaintiff condominium owners to add two defendants to the action. The plaintiffs brought the action for alleged deficiencies in the construction of the condominium units due to leakage. The proposed defendants, landscape architects Durante &amp; Partners and Durante Kruek, were alleged to have been negligent in designing inadequate drainage and waterproofing systems, thereby contributing to the water damage.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73" w:name="Holdings of Court_6"/>
            <w:bookmarkEnd w:id="73"/>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proposed amendments failed to disclose a reasonable cause of action. In particular, the pleadings did not set out that the proposed defendants owed a duty of care which they had failed to perform.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74" w:name="Legislation Cited_10"/>
      <w:bookmarkEnd w:id="7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81" style="position:absolute;z-index:2517207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Rules 15(5)(a)(iii), 15(6)(a), 24(1).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75" w:name="Counsel_10"/>
      <w:bookmarkEnd w:id="75"/>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82" style="position:absolute;z-index:2517719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A.I. Zasada, for the plaintiff/applicant. G.S. Miller, for the defendant/respondent - Durante Kreuk Ltd. and Durante &amp; Partners.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76" w:name="Judgment_10"/>
      <w:bookmarkEnd w:id="76"/>
      <w:r>
        <w:pict>
          <v:line id="_x0000_s1083" style="position:absolute;z-index:251823104"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6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77" w:name="SLADE J."/>
            <w:bookmarkEnd w:id="77"/>
            <w:r>
              <w:rPr>
                <w:rFonts w:ascii="arial" w:eastAsia="arial" w:hAnsi="arial" w:cs="arial"/>
                <w:b/>
                <w:color w:val="000000"/>
                <w:sz w:val="30"/>
                <w:lang w:val="en-US" w:eastAsia="en-US" w:bidi="ar-SA"/>
              </w:rPr>
              <w:t>SLADE J.</w:t>
            </w:r>
          </w:p>
        </w:tc>
      </w:tr>
    </w:tbl>
    <w:p>
      <w:pPr>
        <w:numPr>
          <w:numId w:val="9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seeks to add Durante &amp; Partners and Durante Kreuk Ltd. as defendants and amend the Further Amended Writ of Summons and Statement of Claim pursuant to Rules 15(5)(a)(iii), Rule 15(6)(a), and 24(1).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 have concluded that the proposed further amended Writ of Summons and Statement of Claim fails to disclose a reasonable cause of action against the proposed defendants.</w:t>
      </w:r>
      <w:r>
        <w:rPr>
          <w:rFonts w:ascii="arial" w:eastAsia="arial" w:hAnsi="arial" w:cs="arial"/>
          <w:sz w:val="20"/>
          <w:lang w:val="en-US" w:eastAsia="en-US" w:bidi="ar-SA"/>
        </w:rPr>
        <w:cr/>
      </w:r>
    </w:p>
    <w:p>
      <w:pPr>
        <w:numPr>
          <w:numId w:val="2"/>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is comprised of the owners of condominiums in buildings developed as a condominium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project consists of three separate buildings. Buildings 1 and 2 are four-storey apartment buildings. Between the two apartment buildings is Building 3, a block of six three-storey townhouses. There are 82 units in total, 76 apartments and six townhouses. One level of underground parking extends under all three buildings. It was constructed in 1994 and 1995.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issues for trial center on responsibility for alleged deficiencies in construction and the related duties of those involved in the development, construction, and marketing of the project. This is what has come to be known as a "leaky condo"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action was commenced on May 10, 2000. Initially, the defendants were the developers, the architects, and the main contractor. An application seeking to add numerous persons as defendants, including Durante, was filed on November 22,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application came on for hearing on April 30, 2002. It proceeded as between the plaintiff and some of the proposed defendants. It was adjourned by consent, in relation to Durante, in anticipation that the engineering report that had been commissioned by the plaintiff would assist the parties (to this application) to determine the nature and extent of Durante's involvement in the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 obtained a report and Scott schedule from an engineering firm on October 31, 2002. The report and Scott schedule advised the plaintiff that there were design and/or construction problems involving the walls, windows and doors, balconies, walkways and decks, roofs, at-grade assemblies, structural framing, and "other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present application was filed November 20,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proposed amended Statement of Claim sets out the general allegations of deficiencies, and those which are said to relate to Durante's involvement:</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Paragraph 47 names the subcontractors that worked on the project:</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Developer, or alternatively, the General Contractor retained: ...</w:t>
      </w:r>
    </w:p>
    <w:p>
      <w:pPr>
        <w:numPr>
          <w:numId w:val="5"/>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Durante &amp; Partners and Durante Kruek Ltd. as the landscape architects at Harbour House...</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Paragraph 48 is a general allegation describing the type of deficiencies:</w:t>
      </w:r>
    </w:p>
    <w:p>
      <w:pPr>
        <w:numPr>
          <w:numId w:val="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Since the substantial completion of Harbour House, it has become apparent that the buildings which comprise Harbour House contain substantial construction deficiencies, which arise from faulty materials, workmanship and design (the "Construction Deficiencies").</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Paragraph 49 sets out a long list of deficiencies in the various areas mentioned in the engineering report/Scott schedule, including:</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Particulars of the Construction Deficiencies include, but are not limited to the following:</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At-Grade Assemblies:</w:t>
      </w:r>
    </w:p>
    <w:p>
      <w:pPr>
        <w:numPr>
          <w:numId w:val="1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inadequate at-grade waterproofing;</w:t>
      </w:r>
    </w:p>
    <w:p>
      <w:pPr>
        <w:spacing w:before="120" w:line="260" w:lineRule="atLeast"/>
        <w:ind w:left="1440"/>
        <w:rPr>
          <w:rFonts w:ascii="arial" w:eastAsia="arial" w:hAnsi="arial" w:cs="arial"/>
          <w:sz w:val="20"/>
          <w:lang w:val="en-US" w:eastAsia="en-US" w:bidi="ar-SA"/>
        </w:rPr>
      </w:pPr>
      <w:r>
        <w:rPr>
          <w:rFonts w:ascii="arial" w:eastAsia="arial" w:hAnsi="arial" w:cs="arial"/>
          <w:b/>
          <w:color w:val="000000"/>
          <w:sz w:val="20"/>
          <w:lang w:val="en-US" w:eastAsia="en-US" w:bidi="ar-SA"/>
        </w:rPr>
        <w:t>(b) inadequate at-grade drainage assemblies;</w:t>
      </w:r>
    </w:p>
    <w:p>
      <w:pPr>
        <w:spacing w:before="120" w:line="260" w:lineRule="atLeast"/>
        <w:ind w:left="1440"/>
        <w:rPr>
          <w:rFonts w:ascii="arial" w:eastAsia="arial" w:hAnsi="arial" w:cs="arial"/>
          <w:sz w:val="20"/>
          <w:lang w:val="en-US" w:eastAsia="en-US" w:bidi="ar-SA"/>
        </w:rPr>
      </w:pPr>
      <w:r>
        <w:rPr>
          <w:rFonts w:ascii="arial" w:eastAsia="arial" w:hAnsi="arial" w:cs="arial"/>
          <w:b/>
          <w:color w:val="000000"/>
          <w:sz w:val="20"/>
          <w:lang w:val="en-US" w:eastAsia="en-US" w:bidi="ar-SA"/>
        </w:rPr>
        <w:t>(c) excessively high soil levels against the exterior walls;</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inadequate interfaces of the waterproofing between the concrete curb and wood framed wall and column assemblies;</w:t>
      </w:r>
    </w:p>
    <w:p>
      <w:pPr>
        <w:spacing w:before="120" w:line="260" w:lineRule="atLeast"/>
        <w:ind w:left="1440"/>
        <w:rPr>
          <w:rFonts w:ascii="arial" w:eastAsia="arial" w:hAnsi="arial" w:cs="arial"/>
          <w:sz w:val="20"/>
          <w:lang w:val="en-US" w:eastAsia="en-US" w:bidi="ar-SA"/>
        </w:rPr>
      </w:pPr>
      <w:r>
        <w:rPr>
          <w:rFonts w:ascii="arial" w:eastAsia="arial" w:hAnsi="arial" w:cs="arial"/>
          <w:b/>
          <w:color w:val="000000"/>
          <w:sz w:val="20"/>
          <w:lang w:val="en-US" w:eastAsia="en-US" w:bidi="ar-SA"/>
        </w:rPr>
        <w:t>(e) poor drainage and rain control resulting in water splashing against the exterior walls;</w:t>
      </w:r>
    </w:p>
    <w:p>
      <w:pPr>
        <w:numPr>
          <w:numId w:val="1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discontinuous waterproofing including at planter upstand wall intersections with perimeter concrete curbs;</w:t>
      </w:r>
    </w:p>
    <w:p>
      <w:pPr>
        <w:numPr>
          <w:numId w:val="1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inadequate tie-ins of the base of the wall interface with the waterproofing membrane;</w:t>
      </w:r>
    </w:p>
    <w:p>
      <w:pPr>
        <w:numPr>
          <w:numId w:val="1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failure to properly install waterproofing at interface with adjacent wall assembly;</w:t>
      </w:r>
    </w:p>
    <w:p>
      <w:pPr>
        <w:numPr>
          <w:numId w:val="1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installation of metal flashing material below the level of the grade resulting in premature deterioration; and</w:t>
      </w:r>
    </w:p>
    <w:p>
      <w:pPr>
        <w:numPr>
          <w:numId w:val="1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inadequate support of concrete patios and concrete block divider wall resulting in cracking.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numPr>
          <w:numId w:val="1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Paragraph 50 describes, generally, the nature of the damage to the buildings:</w:t>
      </w:r>
    </w:p>
    <w:p>
      <w:pPr>
        <w:numPr>
          <w:numId w:val="1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Construction Deficiencies have caused and continue to cause other damage to the structure and interior furnishings of Harbour House (the "Resultant Damage"), particulars of which are as follows:</w:t>
      </w:r>
    </w:p>
    <w:p>
      <w:pPr>
        <w:numPr>
          <w:numId w:val="15"/>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water penetration caused extensive water damage, deterioration and failure of the exterior and interior building components of Harbour House;</w:t>
      </w:r>
    </w:p>
    <w:p>
      <w:pPr>
        <w:numPr>
          <w:numId w:val="15"/>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water penetration caused wood rot at sheathing and framing members causing deterioration, undermining the structural integrity of Harbour House;</w:t>
      </w:r>
    </w:p>
    <w:p>
      <w:pPr>
        <w:numPr>
          <w:numId w:val="15"/>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water penetration caused water staining of the exterior features and interior of Harbour House;</w:t>
      </w:r>
    </w:p>
    <w:p>
      <w:pPr>
        <w:numPr>
          <w:numId w:val="15"/>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water penetration caused the creation of an appropriate atmosphere for the proliferation of moulds and microbiological toxins, creating life safety hazard to the inhabitants of and visitors to Harbour House and rendering Harbour House unfit for its intended purpose; and</w:t>
      </w:r>
    </w:p>
    <w:p>
      <w:pPr>
        <w:numPr>
          <w:numId w:val="15"/>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such further and other particulars as may be proven at trial.</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specific allegations pertaining to Durante are set out in paragraphs 199 to 203. Those that are germane to this application are the following:</w:t>
      </w:r>
    </w:p>
    <w:p>
      <w:pPr>
        <w:numPr>
          <w:numId w:val="1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Acting alone or in concert with one or more other parties, Durante &amp; Partners and/or Durante Kruek Ltd. ("Durante") was responsible for the landscape architecture at Harbour House (the "Landscape Architecture").</w:t>
      </w:r>
    </w:p>
    <w:p>
      <w:pPr>
        <w:numPr>
          <w:numId w:val="1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Durante owed the Owners a duty of care to ensure that its work was carried out properly so that the Complex would not suffer from water ingress and water ingress related damage.</w:t>
      </w:r>
    </w:p>
    <w:p>
      <w:pPr>
        <w:numPr>
          <w:numId w:val="1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Durante was negligent and failed to carry out its duties properly, particulars of which include:</w:t>
      </w:r>
    </w:p>
    <w:p>
      <w:pPr>
        <w:numPr>
          <w:numId w:val="20"/>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carry out the Landscape Architecture in a good and workmanlike manner, free of Construction Deficiencies, Resultant Damage and Dangerous Defects;</w:t>
      </w:r>
    </w:p>
    <w:p>
      <w:pPr>
        <w:numPr>
          <w:numId w:val="20"/>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exercise all reasonable care, skill, diligence and competence as a landscape architect in carrying out the Landscape Architecture;</w:t>
      </w:r>
    </w:p>
    <w:p>
      <w:pPr>
        <w:numPr>
          <w:numId w:val="20"/>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carry out the Landscape Architecture in accordance with all applicable building codes and generally accepted construction standards;</w:t>
      </w:r>
    </w:p>
    <w:p>
      <w:pPr>
        <w:numPr>
          <w:numId w:val="20"/>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adequately design the Landscape Architecture in order to avoid excessively high soil levels against the exterior walls of Harbour House;</w:t>
      </w:r>
    </w:p>
    <w:p>
      <w:pPr>
        <w:numPr>
          <w:numId w:val="20"/>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ensure that there were adequate at-grade drainage assemblies;</w:t>
      </w:r>
    </w:p>
    <w:p>
      <w:pPr>
        <w:numPr>
          <w:numId w:val="20"/>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ensure that there was proper drainage and rain control to avoid water splashing against the exterior walls; and</w:t>
      </w:r>
    </w:p>
    <w:p>
      <w:pPr>
        <w:numPr>
          <w:numId w:val="20"/>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such further and other particulars that will be provided at trial.</w:t>
      </w:r>
    </w:p>
    <w:p>
      <w:pPr>
        <w:numPr>
          <w:numId w:val="21"/>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Do the proposed amendments disclose a reasonable cause of action against the proposed defendants, Durante &amp; Partners and Durante Kruek Ltd.?</w:t>
      </w:r>
      <w:r>
        <w:rPr>
          <w:rFonts w:ascii="arial" w:eastAsia="arial" w:hAnsi="arial" w:cs="arial"/>
          <w:sz w:val="20"/>
          <w:lang w:val="en-US" w:eastAsia="en-US" w:bidi="ar-SA"/>
        </w:rPr>
        <w:cr/>
      </w:r>
    </w:p>
    <w:p>
      <w:pPr>
        <w:numPr>
          <w:numId w:val="22"/>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Paragraph 49 of the pleading contains an exhaustive list of construction deficiencies which are alleged to plague this project. Paragraph 203 sets out the Construction Deficiencies" which are said to reflect Durante's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failure to carry out its duties. Sub-paragraphs (a), (b) and (c) are general, pro forma, allegations of Durante's alleged failings. These allegations are no more than a list of obligations, and elements of the standard of care, which may apply to a landscape architect. They do not describe the work contracted for by Durante.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specific allegations of breach of duty, and failure to meet the standard of care, are set out below:</w:t>
      </w:r>
      <w:r>
        <w:rPr>
          <w:rFonts w:ascii="arial" w:eastAsia="arial" w:hAnsi="arial" w:cs="arial"/>
          <w:sz w:val="20"/>
          <w:lang w:val="en-US" w:eastAsia="en-US" w:bidi="ar-SA"/>
        </w:rPr>
        <w:cr/>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adequately design the Landscape Architecture in order to avoid excessively high soil levels against the exterior walls of Harbour House;</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ensure that there were adequate at-grade drainage assemblies;</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ensure that there was proper drainage and rain control to avoid water splashing against the exterior walls; 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Nowhere is it alleged in this pleading that Durante had any obligation to do those things that sub-paragraphs (e) and (f) say they failed to do. The pleading simply alleges, in para. 199, that Durante "was responsible for the landscape architecture". It is nowhere alleged that, as landscape architect, Durante had any responsibility for drainage design or "assemblies", or "rain control to avoid water splashing against the exterior walls".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Sub-paragraph (d) refers to "excessively high soil levels against the exterior walls". It is not stated, and I am not prepared to assume, that Durante was responsible for the aspect of the landscaping plan that would establish soil levels proximate to exterior walls.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Further, sub-paragraph (d) does not allege that soil levels were excessively high as a consequence of Durante's design of the "landscape architecture". It simply alleges that the design "failed to avoid" high soil levels. A vague allegation of breach could conceivably be cured by amendment, if the obligation of the proposed defendant was pled. But, as I note above, the obligation is not pled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plaintiff put the engineering report and Scott schedule in evidence on this application. As I note in my earlier decision in this proceeding, evidence is not admissible for the purpose of determining the merits of an application to join a defendant. The contents of this material do, however, tend to explain the inadequacy of the pleading.</w:t>
      </w:r>
      <w:r>
        <w:rPr>
          <w:rFonts w:ascii="arial" w:eastAsia="arial" w:hAnsi="arial" w:cs="arial"/>
          <w:sz w:val="20"/>
          <w:lang w:val="en-US" w:eastAsia="en-US" w:bidi="ar-SA"/>
        </w:rPr>
        <w:cr/>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DISPOSITION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application to add Durante as a defendant is dismissed, with costs at Scale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SLADE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84" style="position:absolute;z-index:25184870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43"/>
          <w:headerReference w:type="default" r:id="rId244"/>
          <w:footerReference w:type="even" r:id="rId245"/>
          <w:footerReference w:type="default" r:id="rId246"/>
          <w:headerReference w:type="first" r:id="rId247"/>
          <w:footerReference w:type="first" r:id="rId24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49" w:history="1">
        <w:r>
          <w:rPr>
            <w:rFonts w:ascii="arial" w:eastAsia="arial" w:hAnsi="arial" w:cs="arial"/>
            <w:b/>
            <w:bCs/>
            <w:i/>
            <w:color w:val="0077CC"/>
            <w:kern w:val="32"/>
            <w:sz w:val="28"/>
            <w:szCs w:val="32"/>
            <w:u w:val="single"/>
            <w:shd w:val="clear" w:color="auto" w:fill="FFFFFF"/>
            <w:lang w:val="en-US" w:eastAsia="en-US" w:bidi="ar-SA"/>
          </w:rPr>
          <w:t>Strata Plan LMS 3851 v. Homer Street Development Limited Partnership, [2003] B.C.J. No. 290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Master Brine</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30,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6,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New Westminster Registry No. S076792</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[2003] B.C.J. No. 290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2003 BCSC 210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121 A.C.W.S. (3d) 226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The Owners, Strata Plan LMS 3851, Chong Ping Wong, and others, plaintiffs, and Homer Street Developments Limited Partnership, (formerly Cressey (Homer) Limited Partnership) and others,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85" style="position:absolute;z-index:2516705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78" w:name="Keywords_11"/>
      <w:bookmarkEnd w:id="78"/>
      <w:r>
        <w:rPr>
          <w:rFonts w:ascii="arial" w:eastAsia="arial" w:hAnsi="arial" w:cs="arial"/>
          <w:b/>
          <w:color w:val="000000"/>
          <w:sz w:val="20"/>
          <w:lang w:val="en-US" w:eastAsia="en-US" w:bidi="ar-SA"/>
        </w:rPr>
        <w:t>Practice — Extension of time under rules — Dismissal of action — Prejudice to defendant — Bars.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79" w:name="Case Summary_10"/>
            <w:bookmarkEnd w:id="7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Strata Plan for an extension of time for filing its statement of claim. Homer Developments applied for dismissal of Strata Plan's action for failure to file a statement of claim. Strata Plan was a hotel project which claimed that Homer Developments, the developer, and other potential defendants misrepresented the profitability of the hotel. There were complex issues and evidence involved in establishing Strata Plan's case requiring time and effort by Strata Plan and its experts. Strata Plan intended to seek to negotiate a settlement with third parties. Strata Plan sought to protect itself from expiry of limitation periods while it prepared its case and negotiated with the third parties. It requested Homer Developments and the other defendants agree to waive limitation periods. Homer Developments refused to agree or negotiate but the other defendants entered into postponement agreements with Strata Plan. Strata Plan issued a writ against Homer Developments to protect itself from limitation periods. It did not serve the writ. The writ alleged misrepresentation by Homer Developments. Homer Developments searched for the writ, appeared voluntarily, and insisted Strata Plan file a statement of claim within the time limit of the Rules. The Rules required proceedings to be determined in a just, speedy, and inexpensive manner. Homer Developments argued the allegations of misrepresentation against it required Strata Plan to file its claim immediately so the allegations could be resolved speedily and not hang over Homer Developments's head or be used by Strata Plan as a negotiating strategy. Strata Plan argued the claim required careful and lengthy preparations, Homer Developments failed to take its offer to avoid the issuance of the writ, and it was necessary to protect itself from limitation periods.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80" w:name="Holdings of Court_7"/>
            <w:bookmarkEnd w:id="80"/>
            <w:r>
              <w:rPr>
                <w:rFonts w:ascii="arial" w:eastAsia="arial" w:hAnsi="arial" w:cs="arial"/>
                <w:color w:val="000000"/>
                <w:sz w:val="20"/>
                <w:lang w:val="en-US" w:eastAsia="en-US" w:bidi="ar-SA"/>
              </w:rPr>
              <w:t>HELD: Strata Plan's application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Homer Developments's application dismissed. Given the complex nature of the claim and facts, the Rules' object of just, speedy, and inexpensive determination was best accomplished by allowing Strata Plan sufficient time to prepare a proper claim to avoid a pro-forma claim resulting in the delay and expense of applications to strike and for particulars.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81" w:name="Legislation Cited_11"/>
      <w:bookmarkEnd w:id="8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86" style="position:absolute;z-index:2517217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1(5).</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82" w:name="Counsel_11"/>
      <w:bookmarkEnd w:id="82"/>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87" style="position:absolute;z-index:2517729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Gerald Ghikas, Q.C., for the plaintiffs. Scott Griffin, for the defendants.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83" w:name="Judgment_11"/>
      <w:bookmarkEnd w:id="83"/>
      <w:r>
        <w:pict>
          <v:line id="_x0000_s1088" style="position:absolute;z-index:251824128"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5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84" w:name="MASTER BRINE"/>
            <w:bookmarkEnd w:id="84"/>
            <w:r>
              <w:rPr>
                <w:rFonts w:ascii="arial" w:eastAsia="arial" w:hAnsi="arial" w:cs="arial"/>
                <w:b/>
                <w:color w:val="000000"/>
                <w:sz w:val="30"/>
                <w:lang w:val="en-US" w:eastAsia="en-US" w:bidi="ar-SA"/>
              </w:rPr>
              <w:t>MASTER BRINE</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defendants apply for an order dismissing the action for failure to file a statement of claim or, alternatively, for an order that the plaintiffs deliver a statement of claim within fourteen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plaintiffs apply for an order extending the time for filing their statement of claim until July 15,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plaintiffs are a strata corporation and a collection of strata lot owners in a project known as the Westin Grand Hotel in Vancouver. The defendants are the developers of the project together with the officers and directors of the developers as well as various Jane and John Doe individual and corporate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plaintiffs say that they have suffered financial loss because the returns from the project are substantially below those projected in the disclosure statement. The Writ claims damages for misrepresentation,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negligent mis-statement as well as breach of contract and collateral warranties and contracts. The Writ further alleges that the corporate defendants breached certain statutory, common law and fiduciary duties owed to the strata corporation.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 committee of owners, established to look into the issue, called for an extraordinary general meeting of the members of the strata corporation in September, 2002. The committee indicated that it wished the strata corporation and the owners to: commence an action against the developers, et. al.; obtain documents to assist in the evaluation of the claim; obtain final legal and expert opinions on the merits of any claim; and, if necessary, to pursue the claim "through litigation, mediation, arbitration or a combination therof." Such authorisation was provided on October 22,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On November 1, 2002, counsel for the plaintiffs wrote to counsel for the defendants in this action as well as counsel for a group of potential defendants who were the project's hotel managers. This letter sought an agreement whereby the parties and, in particular, the defendants would agree to suspend the running of time in relation to any applicable limitation period with respect to claims ultimately brought by the commencement of these proceedings. The proposed agreement also called on the defendants to produce documents and information (not privileged or irrelevant) concerning the development and operation of the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It was clearly stated that the owners were concerned that a limitation period or periods may expire. This fact was not disputed by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On November 4, 2002, counsel for the defendants rejected the proposal on a number of grounds. The letter, in three separate places, puts the plaintiffs on notice that any consequences of initiating an action would be visited directly upon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 was advised (without objection) that certain of the projected defendants agreed to the proposed arrangement. As stated, the defendants in this action did not agree and a Writ was issued out of the New Westminster Registry on November 7, 2002. The Writ was never served upon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defendants searched for and obtained a copy of the Writ, voluntarily filed an appearance and immediately began requesting that the plaintiffs file a statement of claim within the time required by the Rules of Court. The requests were made in letters from counsel dated November 19, 2002 and December 12,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Having received no reply, counsel for the defendants prepared and delivered their motion on January 3, 2003. Counsel for the plaintiffs delivered the plaintiffs' motion on January 13,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question to be answered is whether the plaintiffs ought to be obliged to file their statement of claim within the time stipulated under the Rules of Court or whether they ought to be granted additional time (up to six months)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defendants appropriately point to the object of the Rules of Court found in Rule 1(5), which states: "The object of these rules is to secure the just, speedy and inexpensive determination of every proceeding on its merits."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They note that the plaintiffs, however, rather than proceeding expeditiously are seeking to delay for merely tactical reasons. Counsel points to the affidavit filed on behalf of the plaintiffs and notes that there is no evidence offered in support of the allegations raised in the Writ. He asks the court to conclude that the Writ was issued merely in furtherance of a strategy to bring the defendants to the negotiating 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Counsel also submits that while there is an obligation to pursue any action with despatch, when allegations of impropriety, such as breaching a fiduciary duty, have been made, as they have here, a correspondingly greater obligation is cast upon the plaintiff to proceed in the action with all possible diligence.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defendants also argue that the explanation offered on behalf of the plaintiffs, viz. a wish to negotiate or settle with others, is not a proper basis for failing to proceed expeditiously.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They point to the concerns raised by the individual defendants. One of the defendants, John Evans, deposed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Defendants include well known businessmen in the Vancouver business community. The existence of this outstanding claim prejudices the ability of these Defendants to plan their business affairs. The Plaintiffs' claim contains serious allegations against these Defendants including failure to disclose material facts and breach of fiduciary obligations. These Defendants want to answer these allegations immediately and cause this action to be dismissed as soon as 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plaintiffs respond that the Writ was issued in order to protect against the expiry of a limitation period. They point out that the defendants could have avoided all of the concerns raised had they agreed to waive any applicable limitation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Counsel further says that the defendants' strategy has been an attempt to intimidate the plaintiffs with threats of personal liability. The defendants could have avoided the issuance of the Writ. He says that the offer made to waive the limitation period was accepted by a number of potential defendants - why then was it not acceptable to these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Counsel also points out that the Writ, although issued, was issued in the New Westminster Registry (presumably a "quieter" registry than Vancouver) and was not served, all of which is consistent with the plaintiffs stated objective.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plaintiffs request that the Court exercise its discretion to extend the time to file the statement of claim. Their basis is as follows:</w:t>
      </w:r>
      <w:r>
        <w:rPr>
          <w:rFonts w:ascii="arial" w:eastAsia="arial" w:hAnsi="arial" w:cs="arial"/>
          <w:sz w:val="20"/>
          <w:lang w:val="en-US" w:eastAsia="en-US" w:bidi="ar-SA"/>
        </w:rPr>
        <w:cr/>
      </w:r>
    </w:p>
    <w:p>
      <w:pPr>
        <w:numPr>
          <w:numId w:val="9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are not yet in a position to fully articulate their claims. They know that returns on investment are far below projections and that the hotel has changed from a "suite" to a "full-service" hotel. However, they do not yet fully know why the returns have been so far off the mark. Further enquiry and investigation is required.</w:t>
      </w:r>
    </w:p>
    <w:p>
      <w:pPr>
        <w:numPr>
          <w:numId w:val="9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are actively engaged in settlement discussions with the hotel management group.</w:t>
      </w:r>
    </w:p>
    <w:p>
      <w:pPr>
        <w:numPr>
          <w:numId w:val="9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are 164 separate plaintiffs. The process of gathering information is both time consuming and expensive. This case, if it proceeds, will be very complex with a myriad of experts (of all sorts), volumes of documents, extensive examinations for discovery, etc.</w:t>
      </w:r>
    </w:p>
    <w:p>
      <w:pPr>
        <w:numPr>
          <w:numId w:val="9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 real prejudice to the defendants in granting the relief sought. They had an opportunity to waive the limitation period and chose not to do so. As well, there is no evidence of adverse, or indeed any, publicity of this lawsuit.</w:t>
      </w:r>
    </w:p>
    <w:p>
      <w:pPr>
        <w:numPr>
          <w:numId w:val="9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can infer that the defendants' application is not really one to assist the defendants in clearing their names. Rather, by forcing the plaintiffs to accelerate the pace of the litigation, they hope to discourage the plaintiffs from proceeding with their claims.</w:t>
      </w:r>
    </w:p>
    <w:p>
      <w:pPr>
        <w:numPr>
          <w:numId w:val="9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a matter of judicial policy, it would be an unwelcome precedent to force plaintiffs ahead with their litigation. This is especially so where an action is commenced simply to preserve a limitation period. To oblige a plaintiff to then vigorously prosecute an action in accordance with the Rules of Court would be a significant development in legal practice.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response, the defendants say that the Rules of Court ought to govern. The strategies or tactical reasons put forward by the plaintiffs ought not to provide the basis for deviating from the rules. Courts ought not to assist either side in pursuing their tactical objectives. Rather, the courts should, in such cases, fall back on the rules.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Not surprisingly, no decision on point was offered for consideration.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In Fenchurch Export Corp. v. Sitka Spruce Lumber Co. Ltd. (No. 1), </w:t>
      </w:r>
      <w:hyperlink r:id="rId250" w:history="1">
        <w:r>
          <w:rPr>
            <w:rFonts w:ascii="arial" w:eastAsia="arial" w:hAnsi="arial" w:cs="arial"/>
            <w:i/>
            <w:color w:val="0077CC"/>
            <w:sz w:val="20"/>
            <w:u w:val="single"/>
            <w:shd w:val="clear" w:color="auto" w:fill="FFFFFF"/>
            <w:lang w:val="en-US" w:eastAsia="en-US" w:bidi="ar-SA"/>
          </w:rPr>
          <w:t>[1947] 2 D.L.R. 139</w:t>
        </w:r>
      </w:hyperlink>
      <w:r>
        <w:rPr>
          <w:rFonts w:ascii="arial" w:eastAsia="arial" w:hAnsi="arial" w:cs="arial"/>
          <w:color w:val="000000"/>
          <w:sz w:val="20"/>
          <w:lang w:val="en-US" w:eastAsia="en-US" w:bidi="ar-SA"/>
        </w:rPr>
        <w:t xml:space="preserve"> (B.C.C.A.), Mr. Justice O'Halloran made the following, often quoted, observation: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"Rules of Court are the servant and not the masters of the Court, whose faculty it is to interpret those rules in the manner most likely to do justice between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particular decision in Fenchurch dealt with the interpretation of MR 370c (1) regarding the examination for discovery of an officer of a corporation. However, the words of O'Halloran, J.A. are, in my view, as appropriate today as they were in 1947.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Rule 1(5) provides that the object of the rules is to ensure that proceedings are decided on their merits. The goal of having such proceedings determined in a just, speedy and inexpensive manner, although important, is subservient, in my view, to having matters determined on their merits. Whenever speed and economy clash with the merits in any proceeding, merit must, in most instances, prevail.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this case, I accept that the foremost reason for commencing the action was an impending limitation date rather than strictly in furtherance of any deliberate strategy of forcing negotiations. In this regard, it is relevant that the other group of projected defendants was not named in this action due to their agreement to waive the limitation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 also note that the defendants, in their response to the offer to forego initiating an action in exchange for a waiver of the limitation period, made no attempt to negotiate acceptable terms of such an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 am satisfied that each side in this action has a strategy they wish to employ. I conclude that the plaintiffs are, at this moment, reluctant participants and wish to explore alternate, extra-judicial remedies but were compelled to issue a Writ in order to protect themselves. I also conclude that the defendants feel an aggressive, "by the rules" strategy may cause the plaintiffs to fold their tent and abandon the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While the defendants are free to pursue such a strategy and insist on strict adherence to the rules, such adherence must not be at the expense of having this matter decided on its merits. It will do little good to require the plaintiffs to file a pro forma statement of claim. I expect that such would immediately be followed with demands for particulars, applications to strike, and all manner of process contained within the Rules of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This case, when it proceeds, will be a complex one. The matrix of facts, documents and opinions will be intricate and difficult. In order that the litigation can proceed in an orderly fashion, I am of the view that the preparation of proper, fully considered and thorough pleadings at the outset will be of assistance. Indeed, I expect that such will assist rather than hinder the objectives of Rule 1(5). Additional time will enable the plaintiffs to thoroughly vet their case which may result in an abandonment of the action or, at least, more particular pleadings. In my view, both of these focus upon the aims of Rule 1(5) to a greater degree than forcing the plaintiffs to file insufficient pleadings within the time stipulated by the Rules.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concerns expressed by the individual defendants that this lawsuit restricts their ability to order their affairs are typical for most defendants in a lawsuit. This concern is presumably tied to the visibility of the action and any hesitancy their customers and business associates would have in subsequently dealing with them. In that regard, they do not seem to have done themselves any favours by seeking out the Writ and taking these subsequent actions, particularly when it was filed in a Registry less likely to attract publicity. It should also be noted that the so-called "serious allegations" referred to in Mr. Evans' affidavit are actually allegations made against the corporate rather than the individual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 am of the view that it is appropriate to extend the time required for the plaintiffs to file a statement of claim to ensure that the merits of this action are ultimately determined in a "just, speedy and inexpensive" manner.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plaintiffs submit July 15, 2003 as an appropriate deadline. In my view, that delay is excessive. However, I am prepared to grant an extension to the plaintiffs until May 30,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the event that a statement of claim is not filed by that date, the defendants are at liberty to apply to the court for whatever remedies are available to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Accordingly, the plaintiffs' application is allowed in part and the defendants' application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light of my earlier comments regarding the complexity of this action, I recommend that counsel consider making an application to the Chief Justice to have a Case Management Judge assigned to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Costs of this application shall be costs in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MASTER BRINE</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89" style="position:absolute;z-index:25184972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51"/>
          <w:headerReference w:type="default" r:id="rId252"/>
          <w:footerReference w:type="even" r:id="rId253"/>
          <w:footerReference w:type="default" r:id="rId254"/>
          <w:headerReference w:type="first" r:id="rId255"/>
          <w:footerReference w:type="first" r:id="rId25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57" w:history="1">
        <w:r>
          <w:rPr>
            <w:rFonts w:ascii="arial" w:eastAsia="arial" w:hAnsi="arial" w:cs="arial"/>
            <w:b/>
            <w:bCs/>
            <w:i/>
            <w:color w:val="0077CC"/>
            <w:kern w:val="32"/>
            <w:sz w:val="28"/>
            <w:szCs w:val="32"/>
            <w:u w:val="single"/>
            <w:shd w:val="clear" w:color="auto" w:fill="FFFFFF"/>
            <w:lang w:val="en-US" w:eastAsia="en-US" w:bidi="ar-SA"/>
          </w:rPr>
          <w:t>Strata Plan VIS3578 v. Canan Investment Group Ltd., [2009] B.C.J. No. 54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G.D. Burnyeat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5-6 and 10,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19,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S087063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[2009] B.C.J. No. 54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BCSC 39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93 B.C.L.R. (4th) 110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77 C.L.R. (3d) 187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CarswellBC 66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The Owners, Strata Plan No. VIS3578, Plaintiff, and Canan Investment Group Ltd., Degelder Construction Co. Ltd., City of Victoria, John Doe and Joe Doe Limited,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90" style="position:absolute;z-index:2516715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85" w:name="Keywords_12"/>
      <w:bookmarkEnd w:id="85"/>
      <w:r>
        <w:rPr>
          <w:rFonts w:ascii="arial" w:eastAsia="arial" w:hAnsi="arial" w:cs="arial"/>
          <w:b/>
          <w:color w:val="000000"/>
          <w:sz w:val="20"/>
          <w:lang w:val="en-US" w:eastAsia="en-US" w:bidi="ar-SA"/>
        </w:rPr>
        <w:t>Civil litigation — Civil procedure — Parties — Adding or substituting — On own motion — Application by the plaintiff for an order that certain persons and entities be added as defendants dismissed — Proposed defendants argued it would be an abuse of process to add them as they had already been named as defendants in another action by the plaintiff which pleaded the same facts and sought the same remedies — What was proposed by the plaintiff in this application was an abuse of the process of the Court — The exact claims against the proposed defendants in this action were already raised in the second action.</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86" w:name="Case Summary_11"/>
            <w:bookmarkEnd w:id="8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plaintiff for an order that certain persons and entities be added as defendants to the action. The plaintiff's claim was for damages against the existing defendants involved in the construction of a condominium building. The proposed defendants argued that it would be an abuse of process to add them as defendants as they had already been named as defendants in another action by the plaintiff which pleaded the same facts and sought the same remedies.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87" w:name="Holdings of Court_8"/>
            <w:bookmarkEnd w:id="87"/>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What was proposed by the plaintiff in this application was an abuse of the process of the Court. The exact claims against the proposed defendants in this action were already raised in the second action. If the proposed defendants were added as defendants in this action because it is found to be just and convenient to do so, they will have lost the ability to defend the second action on the basis that the limitation period has expired because it is the intention of the plaintiff in the second action to then discontinue that action against those defendants.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88" w:name="Legislation Cited_12"/>
      <w:bookmarkEnd w:id="8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91" style="position:absolute;z-index:2517227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B.C. Supreme Court Rules, B.C. Reg. 221/90, Rule 15(5), Rule 15(6), Rule 24(4), Rule 24(6), Rule 44(10), Rule 44(11), Rule 44(12), Rule 44(13), Rule 44(14), Rule 44(15), Rule 44(16), Rule 44(17), Rule 44(18), Rule 57(13.1), Rule 64(13)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Limitation Act, RSBC 1996, CHAPTER 266, s. 4, s. 6(4)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Local Government Act, RSBC 1996, CHAPTER 323, s. 286</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89" w:name="Counsel_12"/>
      <w:bookmarkEnd w:id="89"/>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92" style="position:absolute;z-index:2517739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Owners, Strata Plan No. VIS3578: J.G. Mendes and J.L. Whately.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N.A.P. Building Products, a division of John Doe #4 (alternatively referred to as N.A.P. Building Products, a division of Aluminart Products Ltd.) and N.A.P. Commercial Limited (alternatively referred to as John Doe #4, a dissolved company formerly known as N.A.P. Commercial Limited): J.A. Doyle.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Plaza 88 Developments Ltd.: I.G. Schildt.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Jeffrey Popham: M.J. Hargreaves.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Major Mechanical Ltd., Maurice Tearle and Ken Morris: M.J. Lawless.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John A. Neilson Architects Inc. and John A. Neilson: R. Warburton.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Myles Sterling Holdings Ltd. and Myles Sterling: K.A. Short.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90" w:name="Judgment_12"/>
      <w:bookmarkEnd w:id="90"/>
      <w:r>
        <w:pict>
          <v:line id="_x0000_s1093" style="position:absolute;z-index:25182515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91" w:name="G.D. BURNYEAT J."/>
            <w:bookmarkEnd w:id="91"/>
            <w:r>
              <w:rPr>
                <w:rFonts w:ascii="arial" w:eastAsia="arial" w:hAnsi="arial" w:cs="arial"/>
                <w:b/>
                <w:color w:val="000000"/>
                <w:sz w:val="30"/>
                <w:lang w:val="en-US" w:eastAsia="en-US" w:bidi="ar-SA"/>
              </w:rPr>
              <w:t>G.D. BURNYEAT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Pursuant to Rules 15(5), 15(6), 24(4), 24(6), 44(10 through 18) and 64(13) of the </w:t>
      </w:r>
      <w:r>
        <w:rPr>
          <w:rFonts w:ascii="arial" w:eastAsia="arial" w:hAnsi="arial" w:cs="arial"/>
          <w:b/>
          <w:i/>
          <w:color w:val="000000"/>
          <w:sz w:val="20"/>
          <w:lang w:val="en-US" w:eastAsia="en-US" w:bidi="ar-SA"/>
        </w:rPr>
        <w:t>Rules of Court</w:t>
      </w:r>
      <w:r>
        <w:rPr>
          <w:rFonts w:ascii="arial" w:eastAsia="arial" w:hAnsi="arial" w:cs="arial"/>
          <w:color w:val="000000"/>
          <w:sz w:val="20"/>
          <w:lang w:val="en-US" w:eastAsia="en-US" w:bidi="ar-SA"/>
        </w:rPr>
        <w:t>, the Plaintiff applies for an order that certain persons and entities be added as Defendants to this Action, that the style of proceeding be amended accordingly, and that it be granted leave to amend the Writ of Summons and file the Statement of Claim that is attached as a schedule to its Motion.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This action deals with a "leaky condo" project. The Plaintiff claims damages against the existing Defendants involved in the construction of a condominium building located at 835 View Street, Victoria known as "The Metropolitan" ("Condominium"). The contract to build the Condominium was with Plaza 88 Developments Ltd. ("Plaza 88"). However, because Plaza was not registered under the New Home Warranty Program ("New Home Warranty"), the actual work was undertaken by the Defendant, Degelder Construction Co. Ltd. ("Degelder"), a company related to Plaza 88.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On November 26, 1993, a building permit was issued for the construction of The Metropolitan. On January 25, 1995, an occupancy permit was issued. The owner of one strata lot had early concerns about the stucco of the Condominium and expressed those concerns to the developer, Canan Investment Group Ltd. ("Canan"), to the City of Victoria and to the strata council ("Council"). On January 25, 1995, Canan wrote to that owner regarding "her concerns with the stucco work". The letter enclosed a January 18, 1995 report from Gordon Spratt &amp; Associates ("Gordon Spratt") regarding the quality of the stucco and its compliance with the </w:t>
      </w:r>
      <w:r>
        <w:rPr>
          <w:rFonts w:ascii="arial" w:eastAsia="arial" w:hAnsi="arial" w:cs="arial"/>
          <w:b/>
          <w:i/>
          <w:color w:val="000000"/>
          <w:sz w:val="20"/>
          <w:lang w:val="en-US" w:eastAsia="en-US" w:bidi="ar-SA"/>
        </w:rPr>
        <w:t>Building Code</w:t>
      </w:r>
      <w:r>
        <w:rPr>
          <w:rFonts w:ascii="arial" w:eastAsia="arial" w:hAnsi="arial" w:cs="arial"/>
          <w:color w:val="000000"/>
          <w:sz w:val="20"/>
          <w:lang w:val="en-US" w:eastAsia="en-US" w:bidi="ar-SA"/>
        </w:rPr>
        <w:t xml:space="preserve"> ("Spratt Report"). The Spratt Report noted some deficiencies in the application of the stucco and concluded: "It is our opinion that, in substance, the stucco application satisfies the project specifications. In certain instances, the building deficiencies noted above have been pointed out to the contractor, Degelder Construction Co. Ltd. and will be rectified."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January 25, 1995 letter assured the owner that the problems noted in the Spratt Report would be repaired: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report has been forwarded to the City of Victoria and any items which have been identified as deficient will have to be corrected by the General Contractor prior to us releasing any holdback monies. In this regard, the City of Victoria has also requested a bond to cover any deficiencies and the Contractor's obligation under their Construction Contract. Our Contractor is bonded and we will insist that the job has been completed to satisfy all requirements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PROBLEMS FIRST DELINEATED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On April 12, 1995, the Plaintiff asked the Northwest Wall and Ceiling Bureau ("Northwest") to "confirm that our building does indeed meet all currently applicable standards ... in the following category: the exterior stucco system complete with vapour barrier and all necessary grounds, skreeds, lathe, and wire mesh". On June 2, 1995 Robert Drury of Northwest delivered a report ("Northwest Wall Report") that advised: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was not able to investigate if the water resistant paper or the reinforcing lath were properly installed. They were covered with stucco. If the paper was not put on according to industry standards the building could be faced with water penetration problems. If the lath was not properly mechanically fastened to the framing members. or if it was not properly lathed, it could effect the stucco membrane regarding cracking.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construction documents for this project called for 3/4" of portland cement plaster. The documents refer to the stucco work to be done per the building code, which calls for 3/4" of stucco. They also refer to the Association of Wall &amp; Ceiling Contractors of B.C. specifications for stucco, which calls for 3/4" thick. The stucco membrane on this project is 1/2" thick, not 3/4". There are 1/2" #66 casing beads as grounds, and not 3/4". The standards for vertical stucco application over self furred reinforced lath requires a minimum thickness of 3/4". This thickness is important in order to receive the correct physical properties of the membrane. 3/4" thickness is required for correct curing, and to help reduce cracking.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conventional portland cement plaster (stucco) cladding system is 3/4" thick, not 1/2" thick.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construction documents show metal lath and plaster for the horizontal cornice. The cornice work on this project is sheet metal with an acrylic finish applied directly to it. There are vertical cracks where the sheet metal abuts one another. These cracks can be attributed to movement of the metal during temperature changes.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acrylic finish coat is not recommended to be sprayed directly over sheet metal.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soffit which runs directly under the sheet metal cornice is gypsum board. There are signs of deterioration of the joint compound materials that were used in conjunction with the board. It appears that moisture is reimulsifying the joint compound and effecting the durability of the gypsum board.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my opinion that the wrong type of building materials were used for the soffit, and it lacks proper design regarding a drip.</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horizontal reveals, in some locations on the south elevation, do not completely go to the corners of the building. There are also locations where the reveals are open at the ends, thus would allow water to enter.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Soffits in the parking and drive through area have open gaps of 1/2" wide. It appears that they were designed to have control joints installed.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southeast corner outside of Unit 1202, where the stucco meets the soffit, has not been properly done. There is a large gap where the stucco did not run up all the way to the soffit and/or there is no caulking. This is definitely an area where water will enter.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are other areas on the exterior building where additional caulking is required. There are also areas, such as at the mechanical penthouse, where lack of flashing will contribute to water entering that space.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my opinion that caulking, flashing, and proper drips should all be addressed on this building in order to prevent water penetration or damage.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finish surface on the walls are dished in locations, and there are a few horizontal cracks on the west elevation at the penthouse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Canan acknowledged receipt of the Northwest Wall Report on June 23, 1995 and advised the Plaintiff that a copy of the report had been forwarded to the architect, the builder and the project manager "for their immediate attention" adding: "[We] have requested written assurances regarding the stucco ... from all involved parties. We are anxious to have any deficiencies resolved as soon as 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By a September 13, 1995 letter, Canan further assured the Plaintiff that any problems with the stucco had been or would be repaired: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we would like to assure you that we have not taken the stucco issue lightly.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order to deal with questions regarding the stucco system, the architect, in addition to his own site inspection, engaged an independent third party engineer to review the stucco. Based on the Architect's report, the independent engineer's letter and the City's own inspections, an occupancy permit was issued on January 25, 1995. To the best of our knowledge any deficiencies have been, or are in the process of being, corrected.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addition, there is a one year warranty, along with a contractor bond in place until January 25, 1996. Any problems that may arise, will be dealt with prior to the warranty period ending.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CLAIM UNDER THE NEW HOME WARRANTY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 sought to have the defects identified in the Northwest Wall Report repaired under the warranty provided by the New Home Warranty which covered defects in workmanship and materials for a period of one year and major structural defects for five years. The Plaintiff applied to New Home Warranty for "conciliation" of its dispute with Plaza 88. The April 29, 1996 New Home Warranty conciliation award found that: (a) Plaza 88 was required to rectify water leaks in the sunroom at unit 1202; (b) a complaint of leakage at the southwest and southeast corners of the building was withdrawn as it had been repaired by Plaza 88; (c) no defects were observed in the caulking, which was an ongoing maintenance responsibility of the Plaintiff; (d) Plaza 88 was required to rectify the application of stucco directly on the metal cornices; (e) Plaza 88 was required to rectify a high drain in the balcony of unit 1202; (f) no further action was required in relation to flashing / weatherstripping of a window in the attic; (g) leaking into the stairwell to the attic had been repaired by Plaza 88 and no further action was required; and (h) a leak into the P2 level of the parkade had been repaired by Plaza 88 and no further action was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On June 12, 1996, the Plaintiff received a further conciliation award from New Home Warranty regarding the stucco cladding. The award advised that no further action was required under the warranty because of the assurances of </w:t>
      </w:r>
      <w:r>
        <w:rPr>
          <w:rFonts w:ascii="arial" w:eastAsia="arial" w:hAnsi="arial" w:cs="arial"/>
          <w:b/>
          <w:i/>
          <w:color w:val="000000"/>
          <w:sz w:val="20"/>
          <w:lang w:val="en-US" w:eastAsia="en-US" w:bidi="ar-SA"/>
        </w:rPr>
        <w:t>Code</w:t>
      </w:r>
      <w:r>
        <w:rPr>
          <w:rFonts w:ascii="arial" w:eastAsia="arial" w:hAnsi="arial" w:cs="arial"/>
          <w:color w:val="000000"/>
          <w:sz w:val="20"/>
          <w:lang w:val="en-US" w:eastAsia="en-US" w:bidi="ar-SA"/>
        </w:rPr>
        <w:t xml:space="preserve"> compliance provided by Hamilton Doyle Architects ("Hamilton Doyle") and Gordon Spratt: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Part 9 of the Code is not applicable in this situation, the issue of the adequacy of the stucco falls under Parts 5 and 2. Specifically, the cladding system should not allow water leakage into the building and the "Registered Professional" providing the "Assurance of Professional Review and Compliance" has the authority to accept a lesser standard than that which is outlined in Part 9. The authority is based on the design judgment of the authorized Professional. Reliance as to the adequacy of the system is then placed on this Professional.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light of the assurances provided by Gordon Spratt &amp; Associates' correspondence dated January 18, 1995 and Hamilton Doyle's correspondence dated May 9, 1996 New Home Warranty does not require remedial repairs to be undertaken to the stucco cladding to have the system comply with Part 9 of the British Columbia Building Code,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As a result of this ruling, "no further steps were taken by the strata council to investigate or consider any further action with respect to the exterior of stucco at the Condominium".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a February, 1997 letter, the Plaintiff wrote to New Home Warranty disputing some of the conclusions set out in the conciliation award and identified ongoing instances of water penetration at various locations in the building. In a March 20, 1997 letter, the New Home Warranty representative addressed the issues raised in the February, 1997 letter and, for a number of items, indicated that further information or re-inspection was required. There is nothing further in evidence as to whether that further information was provided or whether the re-inspections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New Home Warranty arranged for contractors to repair the deficiencies set out in its conciliation award. The January 12, 1998 Council meeting minutes record that this work was completed at about that time: "New Home Warranty has sent Cottage Grove Industries in to finish the last outstanding item from our common area deficiency list. This should end our claims under the first year clause."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WINDOW WARRANTY OF N.A.P.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Plaintiff also made a claim under a window warranty provided by the proposed Defendant, N.A.P. Building Products, a division of Aluminart Products Ltd. and/or N.A.P. Commercial Limited, a company now dissolved (N.A.P.). At the March 4, 1999 Annual General Meeting of the Plaintiff, Mr. Popham advised that the "warranty was valid until the end of April and a claim has been made by Cornerstone Properties" [the property manager employed by the Plaintiff] ("Cornerstone"). Mr. Popham further advised that "the manufacturer was very difficult to deal with, but Bill Middleton finally had success in getting them to accept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status of the N.A.P. warranty claim was described as follows in the minutes of the August 30, 1999 Council Meeting: "While NAP has acknowledged that the warranty claims presented by Cornerstone Properties Ltd. on behalf of the Metropolitan are valid, NAP is claiming a discrepancy as to what type of glass is required (regular v. Safety glass)." On November 4, 1999, Cornerstone reported that the installation of the replacement windows under warranty from N.A.P. was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FURTHER STUDY AND REVIEW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At the November 4, 1999 Council meeting, one Council member suggested that the Plaintiff be "proactive" and obtain a report on the condition of its building envelope because such reports were being requested by realtors: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was suggested by Fiona Nay that the Council explore having a Building Envelope Inspection performed. She wanted it on the record that this is </w:t>
      </w:r>
      <w:r>
        <w:rPr>
          <w:rFonts w:ascii="arial" w:eastAsia="arial" w:hAnsi="arial" w:cs="arial"/>
          <w:color w:val="000000"/>
          <w:sz w:val="20"/>
          <w:u w:val="single"/>
          <w:lang w:val="en-US" w:eastAsia="en-US" w:bidi="ar-SA"/>
        </w:rPr>
        <w:t>not</w:t>
      </w:r>
      <w:r>
        <w:rPr>
          <w:rFonts w:ascii="arial" w:eastAsia="arial" w:hAnsi="arial" w:cs="arial"/>
          <w:color w:val="000000"/>
          <w:sz w:val="20"/>
          <w:lang w:val="en-US" w:eastAsia="en-US" w:bidi="ar-SA"/>
        </w:rPr>
        <w:t xml:space="preserve"> being brought forward as a result of any waterproofing difficulties, but rather to be proactive, as many realtors are now asking for this for their potential buyers. This could be an item for consideration at the Annual General Meeting next year. Bill Middleton was asked to obtain a quote for a Building Envelope Inspection. [original emphasis]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At its January 20, 2000 meeting, the Council resolved to hire a building envelope consultant as part of its maintenance of the Condominium: "Building Envelope Inspection was discussed. There are no major leaks in the building to date; however, to insure that The Met maintains a positive market value, the Council feels that a cost of $8000 per unit to have an inspection conducted would be beneficial."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Plaintiff received a draft building envelope condition assessment report from RDH Building Engineering Ltd. ("RDH") in July 2001. The final version of this report ("RDH Report") was received in August 2001. The RDH Report found that defects in walls, windows, doors, balconies and roofs were permitting water ingress into the exterior walls and strata lots. It found that this water ingress would continue to corrode steel studs and fasteners and damage sheathing, giving rise to a risk of detachment of portions of the stucco walls: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report documents the current condition of elements of the building envelope. It may also provide information related to the specific sources of moisture or other physical factors which have resulted in the observed conditions. The report is not intended to provide our opinions regarding the actions or services provided by individuals or organizations which may have contributed to or caused the observed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Sipos is a principal of Canan. He attended a September 25, 2001 meeting of Council concerning the condition of the building and recommended that a second opinion be obtained from another engineering firm. Council resolved to seek a second opinion and took steps in the fall and winter to find a consultant to provide a second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LEGAL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Council retained a solicitor, Glen Crawford, in June 2000. On August 16, 2001, Mr. Crawford delivered a notice of claim to the City of Victoria pursuant to s. 286 of the </w:t>
      </w:r>
      <w:r>
        <w:rPr>
          <w:rFonts w:ascii="arial" w:eastAsia="arial" w:hAnsi="arial" w:cs="arial"/>
          <w:b/>
          <w:i/>
          <w:color w:val="000000"/>
          <w:sz w:val="20"/>
          <w:lang w:val="en-US" w:eastAsia="en-US" w:bidi="ar-SA"/>
        </w:rPr>
        <w:t>Local Government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323</w:t>
      </w:r>
      <w:r>
        <w:rPr>
          <w:rFonts w:ascii="arial" w:eastAsia="arial" w:hAnsi="arial" w:cs="arial"/>
          <w:color w:val="000000"/>
          <w:sz w:val="20"/>
          <w:lang w:val="en-US" w:eastAsia="en-US" w:bidi="ar-SA"/>
        </w:rPr>
        <w:t>, to the City of Victoria. The Writ of Summons in this Action was filed on February 8, 2002. The Writ named Canan, Degelder, the City of Victoria, "John Doe", and "John Doe Limited" as Defendants. By this time, Degelder had not actively carried on business for approximately six years. Mr. Crawford advised the Plaintiff that other defendants who might be responsible for its damages could be added to the Action at a later date but it is stated on behalf of the Plaintiff that it "was not advised by Mr. Crawford as to when those steps needed to be taken".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Owing to the poor health of Mr. Crawford, the Plaintiff retained Mr. Di Bella in August 2002. In an October 10, 2002 letter, Mr. Di Bella advised that it would not be possible to determine who was liable for the defects in the Condominium until it was repaired: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From my reading of the RDH Report, that Report does not set out who is at fault for the premature building envelope failure. This report does not set out the scope of deficiencies in the strata corporation sufficient, in my view, to have issued a writ of summons. In my view, until the strata corporation goes through the process of remediating its common property by opening the "skin" of the building and visually determining what went wrong as the building was built, and pointing out who was likely at fault in creating these noted deficiencies, as the remediation takes place, it is not possible to properly advance a claim the strata corporation has against various possible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Di Bella further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anticipate that my acting for the strata corporation will require some or all of the steps described below ...</w:t>
      </w:r>
    </w:p>
    <w:p>
      <w:pPr>
        <w:numPr>
          <w:numId w:val="9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further investigation, with your cooperation and participation, to identify events and documents on which the action will be founded;</w:t>
      </w:r>
    </w:p>
    <w:p>
      <w:pPr>
        <w:numPr>
          <w:numId w:val="9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preliminary review of legal issues arising from the forgoing [sic] review of factual matters;</w:t>
      </w:r>
    </w:p>
    <w:p>
      <w:pPr>
        <w:numPr>
          <w:numId w:val="9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commencement, if instructed, of court proceedings by preparing and filing court documents and delivering them to the opposing party; ...</w:t>
      </w:r>
    </w:p>
    <w:p>
      <w:pPr>
        <w:numPr>
          <w:numId w:val="9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investigation of the status of the various defendants to determine, if possible, if the action is worth pursuing.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You hereby authorize me to perform such of the services above as I may judge appropriate in the circumstances. You further authorize me to engage such agents, consultants and experts as I may consider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Di Bella served the Writ of Summons on Canan, Degelder and the City in or around January 31,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On November 10, 2003 Mr. Di Bella received a trades list from Cornerstone. This trades list included the contact persons for many of the trades listed. Included within this list were the proposed defendants, Messrs. Neilsen, Morris, Tearle, and Sterling.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or around September 2005 Mr. Di Bella was asked by Cornerstone whether the "Architect Society" was a defendant or could be added to the Action. Mr. Di Bella's September 12, 2005 reply made various observations about the addition of parties: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Di Bella had examined "some of the filings at the City of Victoria" since being retained.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RDH had concluded that the Condominium suffered from "premature building envelope failure" attributable to "inappropriate design, detail, and implementation or installation of the original building envelope, and the use of inappropriate materials". RDH observed that the evidence "justifie[d] continuing litigation with a view to mediating a settlement from the various parties who contributed to the premature building envelope failure of the Metropolitan".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Di Bella concluded that he was "prepared to recommend to the Council and to all owners in The Metropolitan that The Metropolitan continue the Action". He sought the following instructions: (a) "Complete the investigation of which contractors and subcontractors to add to the Action including the Architect"; and (b) Review the anticipated report by [RDH] when received and then file a Notice of Motion to add the additional parties to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Di Bella requested a report from RDH in March 2006. Mr. Di Bella received an incomplete draft of RDH's report in July 2006. During a review of the documents of the City on December 8, 2006, Mr. Di Bella's colleague discovered a conflict of interest. Mr. Di Bella advised the Plaintiff of this conflict shortly thereafter and his retainer terminated in December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Di Bella has deposed that he advised the Plaintiff that it would be necessary to add more parties to this action but that an application to add these parties should only be brought after the repair of the condominium was complete: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was my practice at the time when dealing with "leaky condo" litigation, I advised the Plaintiff on more than one occasion during my retainer that likely additional parties would need to be added as defendants in the Action. However, I advised the Plaintiff throughout my retainer that it was my view that it was appropriate to complete the remediation process and during the course of the remediation of the building envelope for the Condominium to have an engineer visually determine, after opening up the building envelope, what went wrong with the building envelope and who was likely at fault for the deficiencies before attempting to identify potential liable parties, and before pursuing an application to add defendants.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Throughout my retainer it was my advice to the Plaintiff that before having an engineer's report in hand that confirmed which potential parties were liable and the basis for a claim against them, it was not prudent to advance a claim against various potential defendants. In essence, I was of the view, and advised the Plaintiff accordingly, that before knowing if there was a viable cause of action to pursue against a potential defendant, it did not make sense to proceed with an application to add defendants. Consequently, I did not at any time during my retainer advise the Plaintiff to pursue an application to add parties to the Action, nor did I take any steps to predetermine who might potentially be a defendant in the Action except to have the Condominium retain RDH to prepare the tender documents for the remediation of the premature building envelope failure, supervise the remediation of the premature building envelope for the Condominium and provide me with a Scott Schedule setting out who was potentially at fault for the Condominium premature building envelope failure.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Di Bella's belief that it was necessary to have a report from an engineer on liability was based on his understanding of the law: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During my retainer in this matter, I believed that I required the information from an engineer as described above before proceeding with an application to add defendants to the Action. It was my understanding of the law that it was necessary to have such evidence in order to successfully add a proposed defendant to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At no time was Mr. Di Bella instructed by the Plaintiff to delay the joinder of additional defendants: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no time during my retainer was I instructed by the Plaintiff to delay the joinder of additional defendants. I did not advise them at any time during my retainer that it was necessary to pursue an application to add defendants prior to the receipt of the final engineer's report and Scott Schedule.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Di Bella was unaware of the Northwest Wall Report until June 5, 2007, when he was advised of its existence after the termination of his retainer. The Plaintiff retained Lesperance Mendes in February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On May 1, 2007, the Plaintiff filed a "parallel writ" naming all of the present Defendants and proposed defendants in this Action as defendants in that action ("Second Action"). That writ was served on April 21, 2008 because of the one year deadline for service. The cover letter advised that the writ had been filed in keeping with the practice in </w:t>
      </w:r>
      <w:r>
        <w:rPr>
          <w:rFonts w:ascii="arial" w:eastAsia="arial" w:hAnsi="arial" w:cs="arial"/>
          <w:b/>
          <w:i/>
          <w:color w:val="000000"/>
          <w:sz w:val="20"/>
          <w:lang w:val="en-US" w:eastAsia="en-US" w:bidi="ar-SA"/>
        </w:rPr>
        <w:t>Strata Plan LMS 343 v. Haseman</w:t>
      </w:r>
      <w:r>
        <w:rPr>
          <w:rFonts w:ascii="arial" w:eastAsia="arial" w:hAnsi="arial" w:cs="arial"/>
          <w:color w:val="000000"/>
          <w:sz w:val="20"/>
          <w:lang w:val="en-US" w:eastAsia="en-US" w:bidi="ar-SA"/>
        </w:rPr>
        <w:t xml:space="preserve"> </w:t>
      </w:r>
      <w:hyperlink r:id="rId258" w:history="1">
        <w:r>
          <w:rPr>
            <w:rFonts w:ascii="arial" w:eastAsia="arial" w:hAnsi="arial" w:cs="arial"/>
            <w:i/>
            <w:color w:val="0077CC"/>
            <w:sz w:val="20"/>
            <w:u w:val="single"/>
            <w:shd w:val="clear" w:color="auto" w:fill="FFFFFF"/>
            <w:lang w:val="en-US" w:eastAsia="en-US" w:bidi="ar-SA"/>
          </w:rPr>
          <w:t>(2007), 70 B.C.L.R. (4th) 37</w:t>
        </w:r>
      </w:hyperlink>
      <w:r>
        <w:rPr>
          <w:rFonts w:ascii="arial" w:eastAsia="arial" w:hAnsi="arial" w:cs="arial"/>
          <w:color w:val="000000"/>
          <w:sz w:val="20"/>
          <w:lang w:val="en-US" w:eastAsia="en-US" w:bidi="ar-SA"/>
        </w:rPr>
        <w:t xml:space="preserve"> (BCCA), that an Appearance and Statement of Defence was not required, and that the Plaintiff would not proceed against any party joined in the Second Action if that party was "ultimately joined" in this Action. In this regard, the Plaintiff states that it was merely taking prudent steps to ensure that its claim was not defeated by the further passage of time should the Court conclude that the joinder was not just and convenient. The concept of a "parallel action" was stated to be "a cautious step" by Garson J. in </w:t>
      </w:r>
      <w:r>
        <w:rPr>
          <w:rFonts w:ascii="arial" w:eastAsia="arial" w:hAnsi="arial" w:cs="arial"/>
          <w:b/>
          <w:i/>
          <w:color w:val="000000"/>
          <w:sz w:val="20"/>
          <w:lang w:val="en-US" w:eastAsia="en-US" w:bidi="ar-SA"/>
        </w:rPr>
        <w:t>Strata Plan LMS 2262 v. Ericson Window Corporation</w:t>
      </w:r>
      <w:r>
        <w:rPr>
          <w:rFonts w:ascii="arial" w:eastAsia="arial" w:hAnsi="arial" w:cs="arial"/>
          <w:color w:val="000000"/>
          <w:sz w:val="20"/>
          <w:lang w:val="en-US" w:eastAsia="en-US" w:bidi="ar-SA"/>
        </w:rPr>
        <w:t xml:space="preserve"> </w:t>
      </w:r>
      <w:hyperlink r:id="rId259" w:history="1">
        <w:r>
          <w:rPr>
            <w:rFonts w:ascii="arial" w:eastAsia="arial" w:hAnsi="arial" w:cs="arial"/>
            <w:i/>
            <w:color w:val="0077CC"/>
            <w:sz w:val="20"/>
            <w:u w:val="single"/>
            <w:shd w:val="clear" w:color="auto" w:fill="FFFFFF"/>
            <w:lang w:val="en-US" w:eastAsia="en-US" w:bidi="ar-SA"/>
          </w:rPr>
          <w:t>(2005), 44 C.L.R. (3d) 257</w:t>
        </w:r>
      </w:hyperlink>
      <w:r>
        <w:rPr>
          <w:rFonts w:ascii="arial" w:eastAsia="arial" w:hAnsi="arial" w:cs="arial"/>
          <w:color w:val="000000"/>
          <w:sz w:val="20"/>
          <w:lang w:val="en-US" w:eastAsia="en-US" w:bidi="ar-SA"/>
        </w:rPr>
        <w:t xml:space="preserve"> at para. 23. I agree with that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application of the Plaintiff to join various parties in this Action was originally set to be heard on July 17, 2007 but was adjourned by consent. Plaza 88 agreed that it would not rely upon any delay after July 3, 2007 in opposition to this application. No other parties reached such an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On August 23, 2007, the Plaintiff filed a Statement of Claim in this Action and on September 26, 2008, the Plaintiff delivered a Motion seeking production of documents from various non-parties including Mr. Degelder and Plaza 88. That application was heard and dismissed on October 15,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REMEDIAL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At a June 16, 2003 Special General Meeting, the owners of the Plaintiff considered a special levy of $5,336,000.00 payable on January 15, 2004 to repair the building and fund management, legal and engineering costs associated with any legal action to recover all or part of the costs of remediation. 57 of the 93 owners present at the meeting voted in favour of the resolution (61%), but the resolution failed to obtain the required 75% approval so the motion was defeated. Mr. Di Bella was asked to report on the status of the litigation at this meeting. He replied that a Writ had been filed and served and added: "Until you actually know exactly what is wrong with the building, you cannot go any further with the lawsuit, as it would be very difficult to determine the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A notice of meeting delivered by the Plaintiff to its owners in October 2003 underscored that the Scott Schedule to be prepared by RDH might cast doubt on the viability of the Action: "The Scott Schedule, a detailed engineering report as to the reasons for failure of the building envelope, should be completed well before June 1, 2005. It is possible that the Scott Schedule will not be favourable to The Metropolitan."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remediation of the Condominium commenced in June 2005. Remediation of the Condominium was completed in January 2006, at a cost of approximately $4,400,000.00.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 THIS APPLICATION AN 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Plaintiff commenced the Second Action in May 2007, seeking substantially the same relief relating to the same causes of action raised in this Action. The Second Action was served on all of the Defendants named in the Second Action, appearances were filed but no further steps have been taken.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What is raised on behalf of the proposed defendants in this Action is that it would be an abuse of process to add the additional defendants in this Action when all of them have already been named as Defendants in the Second Action and where exactly the same relief is sought in the Second Action. It is submitted that, to the extent that the Plaintiff intends to prosecute its claim against the proposed Defendants, it should do so in the Second Action. This application should not proceed until the pleadings are closed in the Second Action, the parties have had access to discovery, and those Defendants have had the opportunity to raise the question of whether they have an absolute defence arising as a result of the expiry of applicable limitation periods.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There is an inherent jurisdiction of the Court to prevent an abuse of its process: </w:t>
      </w:r>
      <w:r>
        <w:rPr>
          <w:rFonts w:ascii="arial" w:eastAsia="arial" w:hAnsi="arial" w:cs="arial"/>
          <w:b/>
          <w:i/>
          <w:color w:val="000000"/>
          <w:sz w:val="20"/>
          <w:lang w:val="en-US" w:eastAsia="en-US" w:bidi="ar-SA"/>
        </w:rPr>
        <w:t>Guilford Industries Ltd. v. Hankinson Management Services Ltd.</w:t>
      </w:r>
      <w:r>
        <w:rPr>
          <w:rFonts w:ascii="arial" w:eastAsia="arial" w:hAnsi="arial" w:cs="arial"/>
          <w:color w:val="000000"/>
          <w:sz w:val="20"/>
          <w:lang w:val="en-US" w:eastAsia="en-US" w:bidi="ar-SA"/>
        </w:rPr>
        <w:t xml:space="preserve">, </w:t>
      </w:r>
      <w:hyperlink r:id="rId260" w:history="1">
        <w:r>
          <w:rPr>
            <w:rFonts w:ascii="arial" w:eastAsia="arial" w:hAnsi="arial" w:cs="arial"/>
            <w:i/>
            <w:color w:val="0077CC"/>
            <w:sz w:val="20"/>
            <w:u w:val="single"/>
            <w:shd w:val="clear" w:color="auto" w:fill="FFFFFF"/>
            <w:lang w:val="en-US" w:eastAsia="en-US" w:bidi="ar-SA"/>
          </w:rPr>
          <w:t>[1974] 1 W.W.R. 141</w:t>
        </w:r>
      </w:hyperlink>
      <w:r>
        <w:rPr>
          <w:rFonts w:ascii="arial" w:eastAsia="arial" w:hAnsi="arial" w:cs="arial"/>
          <w:color w:val="000000"/>
          <w:sz w:val="20"/>
          <w:lang w:val="en-US" w:eastAsia="en-US" w:bidi="ar-SA"/>
        </w:rPr>
        <w:t xml:space="preserve"> (BCSC); </w:t>
      </w:r>
      <w:r>
        <w:rPr>
          <w:rFonts w:ascii="arial" w:eastAsia="arial" w:hAnsi="arial" w:cs="arial"/>
          <w:b/>
          <w:i/>
          <w:color w:val="000000"/>
          <w:sz w:val="20"/>
          <w:lang w:val="en-US" w:eastAsia="en-US" w:bidi="ar-SA"/>
        </w:rPr>
        <w:t>Bodrogi v. Vulcan Industries Ltd.</w:t>
      </w:r>
      <w:r>
        <w:rPr>
          <w:rFonts w:ascii="arial" w:eastAsia="arial" w:hAnsi="arial" w:cs="arial"/>
          <w:color w:val="000000"/>
          <w:sz w:val="20"/>
          <w:lang w:val="en-US" w:eastAsia="en-US" w:bidi="ar-SA"/>
        </w:rPr>
        <w:t xml:space="preserve">, </w:t>
      </w:r>
      <w:hyperlink r:id="rId261" w:history="1">
        <w:r>
          <w:rPr>
            <w:rFonts w:ascii="arial" w:eastAsia="arial" w:hAnsi="arial" w:cs="arial"/>
            <w:i/>
            <w:color w:val="0077CC"/>
            <w:sz w:val="20"/>
            <w:u w:val="single"/>
            <w:shd w:val="clear" w:color="auto" w:fill="FFFFFF"/>
            <w:lang w:val="en-US" w:eastAsia="en-US" w:bidi="ar-SA"/>
          </w:rPr>
          <w:t>[1975] 3 W.W.R. 764</w:t>
        </w:r>
      </w:hyperlink>
      <w:r>
        <w:rPr>
          <w:rFonts w:ascii="arial" w:eastAsia="arial" w:hAnsi="arial" w:cs="arial"/>
          <w:color w:val="000000"/>
          <w:sz w:val="20"/>
          <w:lang w:val="en-US" w:eastAsia="en-US" w:bidi="ar-SA"/>
        </w:rPr>
        <w:t xml:space="preserve"> (BCSC); </w:t>
      </w:r>
      <w:r>
        <w:rPr>
          <w:rFonts w:ascii="arial" w:eastAsia="arial" w:hAnsi="arial" w:cs="arial"/>
          <w:b/>
          <w:i/>
          <w:color w:val="000000"/>
          <w:sz w:val="20"/>
          <w:lang w:val="en-US" w:eastAsia="en-US" w:bidi="ar-SA"/>
        </w:rPr>
        <w:t>Crowston v. Cove Developments Ltd.</w:t>
      </w:r>
      <w:r>
        <w:rPr>
          <w:rFonts w:ascii="arial" w:eastAsia="arial" w:hAnsi="arial" w:cs="arial"/>
          <w:color w:val="000000"/>
          <w:sz w:val="20"/>
          <w:lang w:val="en-US" w:eastAsia="en-US" w:bidi="ar-SA"/>
        </w:rPr>
        <w:t xml:space="preserve"> (1978), 10 C.P.C. 87 (BCSC). The power of a court to order a stay of proceedings flows not only from the provisions of s. 8 of the </w:t>
      </w:r>
      <w:r>
        <w:rPr>
          <w:rFonts w:ascii="arial" w:eastAsia="arial" w:hAnsi="arial" w:cs="arial"/>
          <w:b/>
          <w:i/>
          <w:color w:val="000000"/>
          <w:sz w:val="20"/>
          <w:lang w:val="en-US" w:eastAsia="en-US" w:bidi="ar-SA"/>
        </w:rPr>
        <w:t>Law and Equity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253</w:t>
      </w:r>
      <w:r>
        <w:rPr>
          <w:rFonts w:ascii="arial" w:eastAsia="arial" w:hAnsi="arial" w:cs="arial"/>
          <w:color w:val="000000"/>
          <w:sz w:val="20"/>
          <w:lang w:val="en-US" w:eastAsia="en-US" w:bidi="ar-SA"/>
        </w:rPr>
        <w:t xml:space="preserve">, which preserves the inherent jurisdiction of the Court but also from a long line of decisions which hold that the Court has inherent jurisdiction to control its own proceedings. Where two actions are brought arising out of the same circumstances, one may be stayed pending the trial of the other: </w:t>
      </w:r>
      <w:r>
        <w:rPr>
          <w:rFonts w:ascii="arial" w:eastAsia="arial" w:hAnsi="arial" w:cs="arial"/>
          <w:b/>
          <w:i/>
          <w:color w:val="000000"/>
          <w:sz w:val="20"/>
          <w:lang w:val="en-US" w:eastAsia="en-US" w:bidi="ar-SA"/>
        </w:rPr>
        <w:t>Breakes v. Bowell McLean Motor Co.</w:t>
      </w:r>
      <w:r>
        <w:rPr>
          <w:rFonts w:ascii="arial" w:eastAsia="arial" w:hAnsi="arial" w:cs="arial"/>
          <w:color w:val="000000"/>
          <w:sz w:val="20"/>
          <w:lang w:val="en-US" w:eastAsia="en-US" w:bidi="ar-SA"/>
        </w:rPr>
        <w:t xml:space="preserve"> </w:t>
      </w:r>
      <w:hyperlink r:id="rId262" w:history="1">
        <w:r>
          <w:rPr>
            <w:rFonts w:ascii="arial" w:eastAsia="arial" w:hAnsi="arial" w:cs="arial"/>
            <w:i/>
            <w:color w:val="0077CC"/>
            <w:sz w:val="20"/>
            <w:u w:val="single"/>
            <w:shd w:val="clear" w:color="auto" w:fill="FFFFFF"/>
            <w:lang w:val="en-US" w:eastAsia="en-US" w:bidi="ar-SA"/>
          </w:rPr>
          <w:t>(1953), 10 W.W.R. (N.S.) 192</w:t>
        </w:r>
      </w:hyperlink>
      <w:r>
        <w:rPr>
          <w:rFonts w:ascii="arial" w:eastAsia="arial" w:hAnsi="arial" w:cs="arial"/>
          <w:color w:val="000000"/>
          <w:sz w:val="20"/>
          <w:lang w:val="en-US" w:eastAsia="en-US" w:bidi="ar-SA"/>
        </w:rPr>
        <w:t xml:space="preserve">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 am satisfied that what is proposed by the Plaintiff in this application is an abuse of the process of the Court. First, the exact claims against the proposed defendants in this Action are already raised in the Second Action. Second, if the proposed defendants are added as Defendants in this Action because it is found to be just and convenient to do so, they will have lost the ability to defend the Second Action on the basis that the limitation period has expired because it is the intention of the Plaintiff in the Second Action to then discontinue that Action against those Defendants. The ability to raise an absolute defence in the Second Action is preferable to the proposed defendants rather than having to deal with the question of the possible expiry of the limitation period in the context of not being able to decide whether the limitation period has expired but there ultimately being a finding that it is just and convenient that the proposed defendants be added as Defendants in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The Plaintiff relies on the decision in </w:t>
      </w:r>
      <w:r>
        <w:rPr>
          <w:rFonts w:ascii="arial" w:eastAsia="arial" w:hAnsi="arial" w:cs="arial"/>
          <w:b/>
          <w:i/>
          <w:color w:val="000000"/>
          <w:sz w:val="20"/>
          <w:lang w:val="en-US" w:eastAsia="en-US" w:bidi="ar-SA"/>
        </w:rPr>
        <w:t>Haseman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to support its submission that this application does not amount to an abuse of process. I am satisfied that the decision in </w:t>
      </w:r>
      <w:r>
        <w:rPr>
          <w:rFonts w:ascii="arial" w:eastAsia="arial" w:hAnsi="arial" w:cs="arial"/>
          <w:b/>
          <w:i/>
          <w:color w:val="000000"/>
          <w:sz w:val="20"/>
          <w:lang w:val="en-US" w:eastAsia="en-US" w:bidi="ar-SA"/>
        </w:rPr>
        <w:t>Haseman</w:t>
      </w:r>
      <w:r>
        <w:rPr>
          <w:rFonts w:ascii="arial" w:eastAsia="arial" w:hAnsi="arial" w:cs="arial"/>
          <w:color w:val="000000"/>
          <w:sz w:val="20"/>
          <w:lang w:val="en-US" w:eastAsia="en-US" w:bidi="ar-SA"/>
        </w:rPr>
        <w:t xml:space="preserve"> does not apply in the circumstances raised by this Action and the Second Action. In </w:t>
      </w:r>
      <w:r>
        <w:rPr>
          <w:rFonts w:ascii="arial" w:eastAsia="arial" w:hAnsi="arial" w:cs="arial"/>
          <w:b/>
          <w:i/>
          <w:color w:val="000000"/>
          <w:sz w:val="20"/>
          <w:lang w:val="en-US" w:eastAsia="en-US" w:bidi="ar-SA"/>
        </w:rPr>
        <w:t>Haseman</w:t>
      </w:r>
      <w:r>
        <w:rPr>
          <w:rFonts w:ascii="arial" w:eastAsia="arial" w:hAnsi="arial" w:cs="arial"/>
          <w:color w:val="000000"/>
          <w:sz w:val="20"/>
          <w:lang w:val="en-US" w:eastAsia="en-US" w:bidi="ar-SA"/>
        </w:rPr>
        <w:t>, the court dealt with an application to join certain parties in an existing action, the dismissal of that application on the basis that it was not just and convenient that those parties be joined, a subsequent action naming the same parties as defendants, an application that the second action was an abuse of process, a dismissal of that application, and the decision of the Court of Appeal that the second action did not constitute an 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Here, the Second Action was commenced long before this application to join as defendants in this Action those who were already Defendants in the Second Action. In this Action, there has been no finding that it is not just and convenient to join the proposed defendants. Accordingly, the consideration of this application must be viewed in the context that what is claimed against the proposed defendants exactly parallels what is already claimed against the Defendants in the Second Action. In the circumstances, I am satisfied that it is open to me to find that this application is an abuse of process and I make that finding.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 am also satisfied that the Second Action is the most appropriate forum for this issue to be determined as it is only in the Second Action that those defendants will have the opportunity to test the question of whether the time began to run or not after they have had access to discovery of documents and to the examination of a representative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Subject to the matters set out below, the application of the Plaintiff in this Action is adjourned generally. I will be seized of any further hearing of this application but will hear that application only after there has been a determination in the Second Action of the question of whether any Defendants in that Second Action have an absolute defence by virtue of the expiry of any limitation periods which may be in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On the assumption that I am found to be incorrect in exercising my inherent jurisdiction to find that it would be an abuse of process to allow the Plaintiff to proceed with this application, I will deal with the application of the Plaintiff as it relates to the proposed defendants in this Action in order to consider whether there is an issue between the Plaintiff and the proposed party relating to or connected with the claims advanced to date and, if so, whether it would be just and convenient for the proposed defendant to be joined as a Defendant in this Action whether or not I can come to the conclusion that a limitation period has expired.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STATUTORY PROVISIONS, CASE AUTHORITIES AND 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Section 4 of the </w:t>
      </w:r>
      <w:r>
        <w:rPr>
          <w:rFonts w:ascii="arial" w:eastAsia="arial" w:hAnsi="arial" w:cs="arial"/>
          <w:b/>
          <w:i/>
          <w:color w:val="000000"/>
          <w:sz w:val="20"/>
          <w:lang w:val="en-US" w:eastAsia="en-US" w:bidi="ar-SA"/>
        </w:rPr>
        <w:t>Limitation Act</w:t>
      </w:r>
      <w:r>
        <w:rPr>
          <w:rFonts w:ascii="arial" w:eastAsia="arial" w:hAnsi="arial" w:cs="arial"/>
          <w:color w:val="000000"/>
          <w:sz w:val="20"/>
          <w:lang w:val="en-US" w:eastAsia="en-US" w:bidi="ar-SA"/>
        </w:rPr>
        <w:t xml:space="preserve">, </w:t>
      </w:r>
      <w:hyperlink r:id="rId263"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lang w:val="en-US" w:eastAsia="en-US" w:bidi="ar-SA"/>
        </w:rPr>
        <w:t>, permits a defendant to be joined to an action under any "applicable law", despite the expiry of a limitation period: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4(1) If an action to which this or any other Act applies has been commenced, the lapse of time limited for bringing an action is no bar to ...</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adding or substituting a new party as plaintiff or defendant,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under any applicable law, with respect to any claims relating to or connected with the subject matter of the original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There will be a postponement of the running of the limitation period if the provisions of s. 6(4) of the </w:t>
      </w:r>
      <w:r>
        <w:rPr>
          <w:rFonts w:ascii="arial" w:eastAsia="arial" w:hAnsi="arial" w:cs="arial"/>
          <w:b/>
          <w:i/>
          <w:color w:val="000000"/>
          <w:sz w:val="20"/>
          <w:lang w:val="en-US" w:eastAsia="en-US" w:bidi="ar-SA"/>
        </w:rPr>
        <w:t>Limitation Act</w:t>
      </w:r>
      <w:r>
        <w:rPr>
          <w:rFonts w:ascii="arial" w:eastAsia="arial" w:hAnsi="arial" w:cs="arial"/>
          <w:color w:val="000000"/>
          <w:sz w:val="20"/>
          <w:lang w:val="en-US" w:eastAsia="en-US" w:bidi="ar-SA"/>
        </w:rPr>
        <w:t xml:space="preserve"> apply: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6(4) Time does not begin to run against a plaintiff with respect to an action referred to in subsection (3) until the identity of the defendant is known to the plaintiff and those facts within the plaintiff's means of knowledge are such that a reasonable person, knowing those facts and having taken the appropriate advice a reasonable person would seek on those facts, would regard those facts as showing that</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action on the cause of action would, apart from the effect of the expiration of a limitation period, have a reasonable prospect of success, and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person whose means of knowledge is in question ought, in the person's own interests and taking the person's circumstances into account, to be able to bring an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Rule 15(5)(a)(iii) of the </w:t>
      </w:r>
      <w:r>
        <w:rPr>
          <w:rFonts w:ascii="arial" w:eastAsia="arial" w:hAnsi="arial" w:cs="arial"/>
          <w:b/>
          <w:i/>
          <w:color w:val="000000"/>
          <w:sz w:val="20"/>
          <w:lang w:val="en-US" w:eastAsia="en-US" w:bidi="ar-SA"/>
        </w:rPr>
        <w:t>Rules of Court</w:t>
      </w:r>
      <w:r>
        <w:rPr>
          <w:rFonts w:ascii="arial" w:eastAsia="arial" w:hAnsi="arial" w:cs="arial"/>
          <w:color w:val="000000"/>
          <w:sz w:val="20"/>
          <w:lang w:val="en-US" w:eastAsia="en-US" w:bidi="ar-SA"/>
        </w:rPr>
        <w:t xml:space="preserve"> is an "applicable law" under s. 4. It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15(5)(a) At any stage of a proceeding the court on application by any person may</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order that a person be added as a party where there may exist, between the person and any party to the proceeding, a question or issue relating to or connected</w:t>
      </w:r>
    </w:p>
    <w:p>
      <w:pPr>
        <w:numPr>
          <w:numId w:val="5"/>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with any relief claimed in the proceeding, or</w:t>
      </w:r>
    </w:p>
    <w:p>
      <w:pPr>
        <w:numPr>
          <w:numId w:val="6"/>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with the subject matter of the proceeding,</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which in the opinion of the court it would be just and convenient to determine as between the person and that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In applying Rule 15(5)(a)(iii), a court must consider whether there may exist, between the plaintiff and the proposed party an issue relating to or connected with the proceedings and the application of the </w:t>
      </w:r>
      <w:r>
        <w:rPr>
          <w:rFonts w:ascii="arial" w:eastAsia="arial" w:hAnsi="arial" w:cs="arial"/>
          <w:b/>
          <w:i/>
          <w:color w:val="000000"/>
          <w:sz w:val="20"/>
          <w:lang w:val="en-US" w:eastAsia="en-US" w:bidi="ar-SA"/>
        </w:rPr>
        <w:t>Limitation Act</w:t>
      </w:r>
      <w:r>
        <w:rPr>
          <w:rFonts w:ascii="arial" w:eastAsia="arial" w:hAnsi="arial" w:cs="arial"/>
          <w:color w:val="000000"/>
          <w:sz w:val="20"/>
          <w:lang w:val="en-US" w:eastAsia="en-US" w:bidi="ar-SA"/>
        </w:rPr>
        <w:t xml:space="preserve">. If the court is able to conclude on the evidence that the limitation period for suing the proposed defendant has not expired, the application will be allowed unless it is more convenient to have two actions instead of one: </w:t>
      </w:r>
      <w:r>
        <w:rPr>
          <w:rFonts w:ascii="arial" w:eastAsia="arial" w:hAnsi="arial" w:cs="arial"/>
          <w:b/>
          <w:i/>
          <w:color w:val="000000"/>
          <w:sz w:val="20"/>
          <w:lang w:val="en-US" w:eastAsia="en-US" w:bidi="ar-SA"/>
        </w:rPr>
        <w:t>Strata Plan LMS 1725 v. Star Masonry Ltd.</w:t>
      </w:r>
      <w:r>
        <w:rPr>
          <w:rFonts w:ascii="arial" w:eastAsia="arial" w:hAnsi="arial" w:cs="arial"/>
          <w:color w:val="000000"/>
          <w:sz w:val="20"/>
          <w:lang w:val="en-US" w:eastAsia="en-US" w:bidi="ar-SA"/>
        </w:rPr>
        <w:t xml:space="preserve"> </w:t>
      </w:r>
      <w:hyperlink r:id="rId264" w:history="1">
        <w:r>
          <w:rPr>
            <w:rFonts w:ascii="arial" w:eastAsia="arial" w:hAnsi="arial" w:cs="arial"/>
            <w:i/>
            <w:color w:val="0077CC"/>
            <w:sz w:val="20"/>
            <w:u w:val="single"/>
            <w:shd w:val="clear" w:color="auto" w:fill="FFFFFF"/>
            <w:lang w:val="en-US" w:eastAsia="en-US" w:bidi="ar-SA"/>
          </w:rPr>
          <w:t>(2007), 73 B.C.L.R. (4th) 154</w:t>
        </w:r>
      </w:hyperlink>
      <w:r>
        <w:rPr>
          <w:rFonts w:ascii="arial" w:eastAsia="arial" w:hAnsi="arial" w:cs="arial"/>
          <w:color w:val="000000"/>
          <w:sz w:val="20"/>
          <w:lang w:val="en-US" w:eastAsia="en-US" w:bidi="ar-SA"/>
        </w:rPr>
        <w:t xml:space="preserve"> (BCCA) at para. 12, citing </w:t>
      </w:r>
      <w:r>
        <w:rPr>
          <w:rFonts w:ascii="arial" w:eastAsia="arial" w:hAnsi="arial" w:cs="arial"/>
          <w:b/>
          <w:i/>
          <w:color w:val="000000"/>
          <w:sz w:val="20"/>
          <w:lang w:val="en-US" w:eastAsia="en-US" w:bidi="ar-SA"/>
        </w:rPr>
        <w:t>Brito (Guardian ad litem of) v. Wooley</w:t>
      </w:r>
      <w:r>
        <w:rPr>
          <w:rFonts w:ascii="arial" w:eastAsia="arial" w:hAnsi="arial" w:cs="arial"/>
          <w:color w:val="000000"/>
          <w:sz w:val="20"/>
          <w:lang w:val="en-US" w:eastAsia="en-US" w:bidi="ar-SA"/>
        </w:rPr>
        <w:t xml:space="preserve"> </w:t>
      </w:r>
      <w:hyperlink r:id="rId265" w:history="1">
        <w:r>
          <w:rPr>
            <w:rFonts w:ascii="arial" w:eastAsia="arial" w:hAnsi="arial" w:cs="arial"/>
            <w:i/>
            <w:color w:val="0077CC"/>
            <w:sz w:val="20"/>
            <w:u w:val="single"/>
            <w:shd w:val="clear" w:color="auto" w:fill="FFFFFF"/>
            <w:lang w:val="en-US" w:eastAsia="en-US" w:bidi="ar-SA"/>
          </w:rPr>
          <w:t>(1997), 15 C.P.C. (4th) 255</w:t>
        </w:r>
      </w:hyperlink>
      <w:r>
        <w:rPr>
          <w:rFonts w:ascii="arial" w:eastAsia="arial" w:hAnsi="arial" w:cs="arial"/>
          <w:color w:val="000000"/>
          <w:sz w:val="20"/>
          <w:lang w:val="en-US" w:eastAsia="en-US" w:bidi="ar-SA"/>
        </w:rPr>
        <w:t xml:space="preserve"> (BCSC) at para. 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If it is conceded or can be determined that the limitation period has expired, the Court may join a party where it is just and convenient to do so. If the Court cannot determine whether the limitation period has expired, it must assume that it has, and may add a party where it is just and convenient to do so: </w:t>
      </w:r>
      <w:r>
        <w:rPr>
          <w:rFonts w:ascii="arial" w:eastAsia="arial" w:hAnsi="arial" w:cs="arial"/>
          <w:b/>
          <w:i/>
          <w:color w:val="000000"/>
          <w:sz w:val="20"/>
          <w:lang w:val="en-US" w:eastAsia="en-US" w:bidi="ar-SA"/>
        </w:rPr>
        <w:t>Star Masonry Ltd.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at. para. 12, citing </w:t>
      </w:r>
      <w:r>
        <w:rPr>
          <w:rFonts w:ascii="arial" w:eastAsia="arial" w:hAnsi="arial" w:cs="arial"/>
          <w:b/>
          <w:i/>
          <w:color w:val="000000"/>
          <w:sz w:val="20"/>
          <w:lang w:val="en-US" w:eastAsia="en-US" w:bidi="ar-SA"/>
        </w:rPr>
        <w:t>Brito</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at para. 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The discretion to permit joinder on the basis that it is just and convenient is "completely unfettered", and subject only to the following guidelines set out in </w:t>
      </w:r>
      <w:r>
        <w:rPr>
          <w:rFonts w:ascii="arial" w:eastAsia="arial" w:hAnsi="arial" w:cs="arial"/>
          <w:b/>
          <w:i/>
          <w:color w:val="000000"/>
          <w:sz w:val="20"/>
          <w:lang w:val="en-US" w:eastAsia="en-US" w:bidi="ar-SA"/>
        </w:rPr>
        <w:t>Letvad v. Fenwick</w:t>
      </w:r>
      <w:r>
        <w:rPr>
          <w:rFonts w:ascii="arial" w:eastAsia="arial" w:hAnsi="arial" w:cs="arial"/>
          <w:color w:val="000000"/>
          <w:sz w:val="20"/>
          <w:lang w:val="en-US" w:eastAsia="en-US" w:bidi="ar-SA"/>
        </w:rPr>
        <w:t xml:space="preserve"> </w:t>
      </w:r>
      <w:hyperlink r:id="rId266" w:history="1">
        <w:r>
          <w:rPr>
            <w:rFonts w:ascii="arial" w:eastAsia="arial" w:hAnsi="arial" w:cs="arial"/>
            <w:i/>
            <w:color w:val="0077CC"/>
            <w:sz w:val="20"/>
            <w:u w:val="single"/>
            <w:shd w:val="clear" w:color="auto" w:fill="FFFFFF"/>
            <w:lang w:val="en-US" w:eastAsia="en-US" w:bidi="ar-SA"/>
          </w:rPr>
          <w:t>(2000), 82 B.C.L.R. (3d) 296</w:t>
        </w:r>
      </w:hyperlink>
      <w:r>
        <w:rPr>
          <w:rFonts w:ascii="arial" w:eastAsia="arial" w:hAnsi="arial" w:cs="arial"/>
          <w:color w:val="000000"/>
          <w:sz w:val="20"/>
          <w:lang w:val="en-US" w:eastAsia="en-US" w:bidi="ar-SA"/>
        </w:rPr>
        <w:t xml:space="preserve"> (BCCA) at para. 29: (a) the extent of the delay; (b) the reasons for the delay; (c) any explanation put forward to account for the delay; (d) the degree of prejudice caused by delay; and (e) the extent of the connection, if any, between the existing claims and the proposed new cause of action. However, no one single factor is necessarily determinative.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Strata Plan LMS 1816 v. Acastina Investments Ltd.</w:t>
      </w:r>
      <w:r>
        <w:rPr>
          <w:rFonts w:ascii="arial" w:eastAsia="arial" w:hAnsi="arial" w:cs="arial"/>
          <w:color w:val="000000"/>
          <w:sz w:val="20"/>
          <w:lang w:val="en-US" w:eastAsia="en-US" w:bidi="ar-SA"/>
        </w:rPr>
        <w:t xml:space="preserve"> </w:t>
      </w:r>
      <w:hyperlink r:id="rId267" w:history="1">
        <w:r>
          <w:rPr>
            <w:rFonts w:ascii="arial" w:eastAsia="arial" w:hAnsi="arial" w:cs="arial"/>
            <w:i/>
            <w:color w:val="0077CC"/>
            <w:sz w:val="20"/>
            <w:u w:val="single"/>
            <w:shd w:val="clear" w:color="auto" w:fill="FFFFFF"/>
            <w:lang w:val="en-US" w:eastAsia="en-US" w:bidi="ar-SA"/>
          </w:rPr>
          <w:t>(2004), 33 B.C.L.R. (4th) 69</w:t>
        </w:r>
      </w:hyperlink>
      <w:r>
        <w:rPr>
          <w:rFonts w:ascii="arial" w:eastAsia="arial" w:hAnsi="arial" w:cs="arial"/>
          <w:color w:val="000000"/>
          <w:sz w:val="20"/>
          <w:lang w:val="en-US" w:eastAsia="en-US" w:bidi="ar-SA"/>
        </w:rPr>
        <w:t xml:space="preserve"> (BCCA), the Court established that "evidence is not required for joinder under Rule 15(5)(a)(iii) where the material facts as pleaded establish a real issue between the parties" (at paras. 3 and 14); see also </w:t>
      </w:r>
      <w:r>
        <w:rPr>
          <w:rFonts w:ascii="arial" w:eastAsia="arial" w:hAnsi="arial" w:cs="arial"/>
          <w:b/>
          <w:i/>
          <w:color w:val="000000"/>
          <w:sz w:val="20"/>
          <w:lang w:val="en-US" w:eastAsia="en-US" w:bidi="ar-SA"/>
        </w:rPr>
        <w:t>Strata Plan LMS 1899 v. A.C.G. Developments Ltd.</w:t>
      </w:r>
      <w:r>
        <w:rPr>
          <w:rFonts w:ascii="arial" w:eastAsia="arial" w:hAnsi="arial" w:cs="arial"/>
          <w:color w:val="000000"/>
          <w:sz w:val="20"/>
          <w:lang w:val="en-US" w:eastAsia="en-US" w:bidi="ar-SA"/>
        </w:rPr>
        <w:t xml:space="preserve"> </w:t>
      </w:r>
      <w:hyperlink r:id="rId268" w:history="1">
        <w:r>
          <w:rPr>
            <w:rFonts w:ascii="arial" w:eastAsia="arial" w:hAnsi="arial" w:cs="arial"/>
            <w:i/>
            <w:color w:val="0077CC"/>
            <w:sz w:val="20"/>
            <w:u w:val="single"/>
            <w:shd w:val="clear" w:color="auto" w:fill="FFFFFF"/>
            <w:lang w:val="en-US" w:eastAsia="en-US" w:bidi="ar-SA"/>
          </w:rPr>
          <w:t>(2005), 43 B.C.L.R. (4th) 194</w:t>
        </w:r>
      </w:hyperlink>
      <w:r>
        <w:rPr>
          <w:rFonts w:ascii="arial" w:eastAsia="arial" w:hAnsi="arial" w:cs="arial"/>
          <w:color w:val="000000"/>
          <w:sz w:val="20"/>
          <w:lang w:val="en-US" w:eastAsia="en-US" w:bidi="ar-SA"/>
        </w:rPr>
        <w:t xml:space="preserve"> (BCSC) at para. 16; and </w:t>
      </w:r>
      <w:r>
        <w:rPr>
          <w:rFonts w:ascii="arial" w:eastAsia="arial" w:hAnsi="arial" w:cs="arial"/>
          <w:b/>
          <w:i/>
          <w:color w:val="000000"/>
          <w:sz w:val="20"/>
          <w:lang w:val="en-US" w:eastAsia="en-US" w:bidi="ar-SA"/>
        </w:rPr>
        <w:t>Owners Strata Plan 989 v. Port Coquitlam (City)</w:t>
      </w:r>
      <w:r>
        <w:rPr>
          <w:rFonts w:ascii="arial" w:eastAsia="arial" w:hAnsi="arial" w:cs="arial"/>
          <w:color w:val="000000"/>
          <w:sz w:val="20"/>
          <w:lang w:val="en-US" w:eastAsia="en-US" w:bidi="ar-SA"/>
        </w:rPr>
        <w:t xml:space="preserve"> </w:t>
      </w:r>
      <w:hyperlink r:id="rId269" w:history="1">
        <w:r>
          <w:rPr>
            <w:rFonts w:ascii="arial" w:eastAsia="arial" w:hAnsi="arial" w:cs="arial"/>
            <w:i/>
            <w:color w:val="0077CC"/>
            <w:sz w:val="20"/>
            <w:u w:val="single"/>
            <w:shd w:val="clear" w:color="auto" w:fill="FFFFFF"/>
            <w:lang w:val="en-US" w:eastAsia="en-US" w:bidi="ar-SA"/>
          </w:rPr>
          <w:t>(2003), 18 B.C.L.R. (4th) 358</w:t>
        </w:r>
      </w:hyperlink>
      <w:r>
        <w:rPr>
          <w:rFonts w:ascii="arial" w:eastAsia="arial" w:hAnsi="arial" w:cs="arial"/>
          <w:color w:val="000000"/>
          <w:sz w:val="20"/>
          <w:lang w:val="en-US" w:eastAsia="en-US" w:bidi="ar-SA"/>
        </w:rPr>
        <w:t xml:space="preserve">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Because the court must examine a plaintiff's pleadings before it has had an opportunity to exercise its rights of discovery, the threshold for pleading a case against a proposed party is low. In </w:t>
      </w:r>
      <w:r>
        <w:rPr>
          <w:rFonts w:ascii="arial" w:eastAsia="arial" w:hAnsi="arial" w:cs="arial"/>
          <w:b/>
          <w:i/>
          <w:color w:val="000000"/>
          <w:sz w:val="20"/>
          <w:lang w:val="en-US" w:eastAsia="en-US" w:bidi="ar-SA"/>
        </w:rPr>
        <w:t>Strata Plan LMS 1212 v. Coquitlam (City)</w:t>
      </w:r>
      <w:r>
        <w:rPr>
          <w:rFonts w:ascii="arial" w:eastAsia="arial" w:hAnsi="arial" w:cs="arial"/>
          <w:color w:val="000000"/>
          <w:sz w:val="20"/>
          <w:lang w:val="en-US" w:eastAsia="en-US" w:bidi="ar-SA"/>
        </w:rPr>
        <w:t xml:space="preserve"> </w:t>
      </w:r>
      <w:hyperlink r:id="rId270" w:history="1">
        <w:r>
          <w:rPr>
            <w:rFonts w:ascii="arial" w:eastAsia="arial" w:hAnsi="arial" w:cs="arial"/>
            <w:i/>
            <w:color w:val="0077CC"/>
            <w:sz w:val="20"/>
            <w:u w:val="single"/>
            <w:shd w:val="clear" w:color="auto" w:fill="FFFFFF"/>
            <w:lang w:val="en-US" w:eastAsia="en-US" w:bidi="ar-SA"/>
          </w:rPr>
          <w:t>(2004), 31 B.C.L.R. (4th) 356</w:t>
        </w:r>
      </w:hyperlink>
      <w:r>
        <w:rPr>
          <w:rFonts w:ascii="arial" w:eastAsia="arial" w:hAnsi="arial" w:cs="arial"/>
          <w:color w:val="000000"/>
          <w:sz w:val="20"/>
          <w:lang w:val="en-US" w:eastAsia="en-US" w:bidi="ar-SA"/>
        </w:rPr>
        <w:t xml:space="preserve"> (BCSC), the Court followed the decision in </w:t>
      </w:r>
      <w:r>
        <w:rPr>
          <w:rFonts w:ascii="arial" w:eastAsia="arial" w:hAnsi="arial" w:cs="arial"/>
          <w:b/>
          <w:i/>
          <w:color w:val="000000"/>
          <w:sz w:val="20"/>
          <w:lang w:val="en-US" w:eastAsia="en-US" w:bidi="ar-SA"/>
        </w:rPr>
        <w:t>Adbusters Media Foundation v. Canadian Broadcasting Corp.</w:t>
      </w:r>
      <w:r>
        <w:rPr>
          <w:rFonts w:ascii="arial" w:eastAsia="arial" w:hAnsi="arial" w:cs="arial"/>
          <w:color w:val="000000"/>
          <w:sz w:val="20"/>
          <w:lang w:val="en-US" w:eastAsia="en-US" w:bidi="ar-SA"/>
        </w:rPr>
        <w:t xml:space="preserve">, </w:t>
      </w:r>
      <w:hyperlink r:id="rId271" w:history="1">
        <w:r>
          <w:rPr>
            <w:rFonts w:ascii="arial" w:eastAsia="arial" w:hAnsi="arial" w:cs="arial"/>
            <w:i/>
            <w:color w:val="0077CC"/>
            <w:sz w:val="20"/>
            <w:u w:val="single"/>
            <w:shd w:val="clear" w:color="auto" w:fill="FFFFFF"/>
            <w:lang w:val="en-US" w:eastAsia="en-US" w:bidi="ar-SA"/>
          </w:rPr>
          <w:t>[2008] B.C.J. No. 246</w:t>
        </w:r>
      </w:hyperlink>
      <w:r>
        <w:rPr>
          <w:rFonts w:ascii="arial" w:eastAsia="arial" w:hAnsi="arial" w:cs="arial"/>
          <w:color w:val="000000"/>
          <w:sz w:val="20"/>
          <w:lang w:val="en-US" w:eastAsia="en-US" w:bidi="ar-SA"/>
        </w:rPr>
        <w:t xml:space="preserve"> (BCSC), describing this threshold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For Rule 15(5)(a)(iii) to apply, the plaintiff must show that an issue or question may exist between the person to be added and the party applying to add that person, relating to a matter at issue in the existing proceeding ... . To put it another way, the plaintiff need only establish that there is a possible cause of action between it and Winchester (</w:t>
      </w:r>
      <w:r>
        <w:rPr>
          <w:rFonts w:ascii="arial" w:eastAsia="arial" w:hAnsi="arial" w:cs="arial"/>
          <w:i/>
          <w:color w:val="000000"/>
          <w:sz w:val="20"/>
          <w:lang w:val="en-US" w:eastAsia="en-US" w:bidi="ar-SA"/>
        </w:rPr>
        <w:t>MacMillan Bloedel Ltd. v. Morgan</w:t>
      </w:r>
      <w:r>
        <w:rPr>
          <w:rFonts w:ascii="arial" w:eastAsia="arial" w:hAnsi="arial" w:cs="arial"/>
          <w:color w:val="000000"/>
          <w:sz w:val="20"/>
          <w:lang w:val="en-US" w:eastAsia="en-US" w:bidi="ar-SA"/>
        </w:rPr>
        <w:t xml:space="preserve">, </w:t>
      </w:r>
      <w:hyperlink r:id="rId272" w:history="1">
        <w:r>
          <w:rPr>
            <w:rFonts w:ascii="arial" w:eastAsia="arial" w:hAnsi="arial" w:cs="arial"/>
            <w:i/>
            <w:color w:val="0077CC"/>
            <w:sz w:val="20"/>
            <w:u w:val="single"/>
            <w:shd w:val="clear" w:color="auto" w:fill="FFFFFF"/>
            <w:lang w:val="en-US" w:eastAsia="en-US" w:bidi="ar-SA"/>
          </w:rPr>
          <w:t>[1981] B.C.J. No. 1611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Robson Bulldozing Ltd. v. Royal Bank of Canada</w:t>
      </w:r>
      <w:r>
        <w:rPr>
          <w:rFonts w:ascii="arial" w:eastAsia="arial" w:hAnsi="arial" w:cs="arial"/>
          <w:color w:val="000000"/>
          <w:sz w:val="20"/>
          <w:lang w:val="en-US" w:eastAsia="en-US" w:bidi="ar-SA"/>
        </w:rPr>
        <w:t xml:space="preserve"> </w:t>
      </w:r>
      <w:hyperlink r:id="rId273" w:history="1">
        <w:r>
          <w:rPr>
            <w:rFonts w:ascii="arial" w:eastAsia="arial" w:hAnsi="arial" w:cs="arial"/>
            <w:i/>
            <w:color w:val="0077CC"/>
            <w:sz w:val="20"/>
            <w:u w:val="single"/>
            <w:shd w:val="clear" w:color="auto" w:fill="FFFFFF"/>
            <w:lang w:val="en-US" w:eastAsia="en-US" w:bidi="ar-SA"/>
          </w:rPr>
          <w:t>(1985), 62 B.C.L.R. 267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Lawrence Construction v. Fong</w:t>
      </w:r>
      <w:r>
        <w:rPr>
          <w:rFonts w:ascii="arial" w:eastAsia="arial" w:hAnsi="arial" w:cs="arial"/>
          <w:color w:val="000000"/>
          <w:sz w:val="20"/>
          <w:lang w:val="en-US" w:eastAsia="en-US" w:bidi="ar-SA"/>
        </w:rPr>
        <w:t xml:space="preserve">, </w:t>
      </w:r>
      <w:hyperlink r:id="rId274" w:history="1">
        <w:r>
          <w:rPr>
            <w:rFonts w:ascii="arial" w:eastAsia="arial" w:hAnsi="arial" w:cs="arial"/>
            <w:i/>
            <w:color w:val="0077CC"/>
            <w:sz w:val="20"/>
            <w:u w:val="single"/>
            <w:shd w:val="clear" w:color="auto" w:fill="FFFFFF"/>
            <w:lang w:val="en-US" w:eastAsia="en-US" w:bidi="ar-SA"/>
          </w:rPr>
          <w:t>[2001] B.C.J. No. 1440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The Owners, Strata Plan VR 2603 v. PK Property Management Inc., et al.</w:t>
      </w:r>
      <w:r>
        <w:rPr>
          <w:rFonts w:ascii="arial" w:eastAsia="arial" w:hAnsi="arial" w:cs="arial"/>
          <w:color w:val="000000"/>
          <w:sz w:val="20"/>
          <w:lang w:val="en-US" w:eastAsia="en-US" w:bidi="ar-SA"/>
        </w:rPr>
        <w:t xml:space="preserve">, </w:t>
      </w:r>
      <w:hyperlink r:id="rId275" w:history="1">
        <w:r>
          <w:rPr>
            <w:rFonts w:ascii="arial" w:eastAsia="arial" w:hAnsi="arial" w:cs="arial"/>
            <w:i/>
            <w:color w:val="0077CC"/>
            <w:sz w:val="20"/>
            <w:u w:val="single"/>
            <w:shd w:val="clear" w:color="auto" w:fill="FFFFFF"/>
            <w:lang w:val="en-US" w:eastAsia="en-US" w:bidi="ar-SA"/>
          </w:rPr>
          <w:t>[2003] B.C.J. No. 818</w:t>
        </w:r>
      </w:hyperlink>
      <w:r>
        <w:rPr>
          <w:rFonts w:ascii="arial" w:eastAsia="arial" w:hAnsi="arial" w:cs="arial"/>
          <w:color w:val="000000"/>
          <w:sz w:val="20"/>
          <w:lang w:val="en-US" w:eastAsia="en-US" w:bidi="ar-SA"/>
        </w:rPr>
        <w:t xml:space="preserve">, </w:t>
      </w:r>
      <w:hyperlink r:id="rId275" w:history="1">
        <w:r>
          <w:rPr>
            <w:rFonts w:ascii="arial" w:eastAsia="arial" w:hAnsi="arial" w:cs="arial"/>
            <w:i/>
            <w:color w:val="0077CC"/>
            <w:sz w:val="20"/>
            <w:u w:val="single"/>
            <w:shd w:val="clear" w:color="auto" w:fill="FFFFFF"/>
            <w:lang w:val="en-US" w:eastAsia="en-US" w:bidi="ar-SA"/>
          </w:rPr>
          <w:t>2003 BCSC 561</w:t>
        </w:r>
      </w:hyperlink>
      <w:r>
        <w:rPr>
          <w:rFonts w:ascii="arial" w:eastAsia="arial" w:hAnsi="arial" w:cs="arial"/>
          <w:color w:val="000000"/>
          <w:sz w:val="20"/>
          <w:lang w:val="en-US" w:eastAsia="en-US" w:bidi="ar-SA"/>
        </w:rPr>
        <w:t xml:space="preserve"> at para. 8). It is not necessary to demonstrate that the plaintiff would be able to prove the allegations to any other degree beyond showing that there may exist such a question or issue (</w:t>
      </w:r>
      <w:r>
        <w:rPr>
          <w:rFonts w:ascii="arial" w:eastAsia="arial" w:hAnsi="arial" w:cs="arial"/>
          <w:i/>
          <w:color w:val="000000"/>
          <w:sz w:val="20"/>
          <w:lang w:val="en-US" w:eastAsia="en-US" w:bidi="ar-SA"/>
        </w:rPr>
        <w:t>MacMillan Bloedel v. Binstead</w:t>
      </w:r>
      <w:r>
        <w:rPr>
          <w:rFonts w:ascii="arial" w:eastAsia="arial" w:hAnsi="arial" w:cs="arial"/>
          <w:color w:val="000000"/>
          <w:sz w:val="20"/>
          <w:lang w:val="en-US" w:eastAsia="en-US" w:bidi="ar-SA"/>
        </w:rPr>
        <w:t xml:space="preserve"> </w:t>
      </w:r>
      <w:hyperlink r:id="rId272" w:history="1">
        <w:r>
          <w:rPr>
            <w:rFonts w:ascii="arial" w:eastAsia="arial" w:hAnsi="arial" w:cs="arial"/>
            <w:i/>
            <w:color w:val="0077CC"/>
            <w:sz w:val="20"/>
            <w:u w:val="single"/>
            <w:shd w:val="clear" w:color="auto" w:fill="FFFFFF"/>
            <w:lang w:val="en-US" w:eastAsia="en-US" w:bidi="ar-SA"/>
          </w:rPr>
          <w:t>(1981), 58 B.C.L.R. 173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Lawrence Construction v. Fong, supra</w:t>
      </w:r>
      <w:r>
        <w:rPr>
          <w:rFonts w:ascii="arial" w:eastAsia="arial" w:hAnsi="arial" w:cs="arial"/>
          <w:color w:val="000000"/>
          <w:sz w:val="20"/>
          <w:lang w:val="en-US" w:eastAsia="en-US" w:bidi="ar-SA"/>
        </w:rPr>
        <w:t xml:space="preserve"> at para. 21). This is a low threshold. The court should be satisfied that the claim is not entirely frivolous (</w:t>
      </w:r>
      <w:r>
        <w:rPr>
          <w:rFonts w:ascii="arial" w:eastAsia="arial" w:hAnsi="arial" w:cs="arial"/>
          <w:i/>
          <w:color w:val="000000"/>
          <w:sz w:val="20"/>
          <w:lang w:val="en-US" w:eastAsia="en-US" w:bidi="ar-SA"/>
        </w:rPr>
        <w:t>The Owners, Strata Plan LMS 989 v. Port Coquitlam (City of) et al.</w:t>
      </w:r>
      <w:r>
        <w:rPr>
          <w:rFonts w:ascii="arial" w:eastAsia="arial" w:hAnsi="arial" w:cs="arial"/>
          <w:color w:val="000000"/>
          <w:sz w:val="20"/>
          <w:lang w:val="en-US" w:eastAsia="en-US" w:bidi="ar-SA"/>
        </w:rPr>
        <w:t xml:space="preserve">, </w:t>
      </w:r>
      <w:hyperlink r:id="rId269" w:history="1">
        <w:r>
          <w:rPr>
            <w:rFonts w:ascii="arial" w:eastAsia="arial" w:hAnsi="arial" w:cs="arial"/>
            <w:i/>
            <w:color w:val="0077CC"/>
            <w:sz w:val="20"/>
            <w:u w:val="single"/>
            <w:shd w:val="clear" w:color="auto" w:fill="FFFFFF"/>
            <w:lang w:val="en-US" w:eastAsia="en-US" w:bidi="ar-SA"/>
          </w:rPr>
          <w:t>[2003] B.C.J. No. 2216</w:t>
        </w:r>
      </w:hyperlink>
      <w:r>
        <w:rPr>
          <w:rFonts w:ascii="arial" w:eastAsia="arial" w:hAnsi="arial" w:cs="arial"/>
          <w:color w:val="000000"/>
          <w:sz w:val="20"/>
          <w:lang w:val="en-US" w:eastAsia="en-US" w:bidi="ar-SA"/>
        </w:rPr>
        <w:t xml:space="preserve">, </w:t>
      </w:r>
      <w:hyperlink r:id="rId269" w:history="1">
        <w:r>
          <w:rPr>
            <w:rFonts w:ascii="arial" w:eastAsia="arial" w:hAnsi="arial" w:cs="arial"/>
            <w:i/>
            <w:color w:val="0077CC"/>
            <w:sz w:val="20"/>
            <w:u w:val="single"/>
            <w:shd w:val="clear" w:color="auto" w:fill="FFFFFF"/>
            <w:lang w:val="en-US" w:eastAsia="en-US" w:bidi="ar-SA"/>
          </w:rPr>
          <w:t>2003 BCSC 1398</w:t>
        </w:r>
      </w:hyperlink>
      <w:r>
        <w:rPr>
          <w:rFonts w:ascii="arial" w:eastAsia="arial" w:hAnsi="arial" w:cs="arial"/>
          <w:color w:val="000000"/>
          <w:sz w:val="20"/>
          <w:lang w:val="en-US" w:eastAsia="en-US" w:bidi="ar-SA"/>
        </w:rPr>
        <w:t xml:space="preserve"> at para. 10). (at para. 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GENERAL STATEMENTS MADE IN THE PROPOSED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FURTHER AMENDED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proposed statement of claim attempts to establish a number of connections between the proposed defendants, Jeffrey Popham, John A. Neilson, John A. Neilson Architects Inc., Major Mechanical Ltd., Ken Morris, Maurice Tearle, Myles Sterling Holdings Ltd., Myles Sterling, Plaza 88 Developments Ltd., N.A.P. Building Products, a division of John Doe #4, and N.A.P. Commercial Limited and claims set out in the Action:</w:t>
      </w:r>
      <w:r>
        <w:rPr>
          <w:rFonts w:ascii="arial" w:eastAsia="arial" w:hAnsi="arial" w:cs="arial"/>
          <w:sz w:val="20"/>
          <w:lang w:val="en-US" w:eastAsia="en-US" w:bidi="ar-SA"/>
        </w:rPr>
        <w:cr/>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Paragraph 16 sets out the roles of the proposed defendants, including Mr. Popham (developer along with Canan), Plaza 88 (contractor or construction manager), John A. Neilson Architects Inc. and its principal, John A. Neilson (architect), Major Mechanical Ltd. and its employees Maurice Tearle and Ken Morris (contractor, manufacturer or supplier), Myles Sterling Holdings Ltd. and its principal, Myles Sterling (provider of mechanical engineering and other services), and N.A.P. Building Products, a division of Aluminart Products Ltd.) and N.A.P. Commercial Limited (contractor, manufacturer or supplier).</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Paragraph 18 sets out deficiencies in the Condominium's walls, roofs, decks, balconies and windows. It further alleges that the remedial work undertaken by the developers was defective.</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Paragraphs 19-24 allege that Canan, Plaza 88 and Degelder breached warranties offered through New Home Warranty, warranties in the contracts of sale or original purchasers, and an implied warranty of habitability.</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Paragraph 24 alleges that all defendants owed the Plaintiff a duty to ensure that the work and materials of contractors, suppliers, consultants and workers under their direction and control complied with all codes and industry standards.</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Paragraphs 24.1-24.4 allege that N.A.P. breached a window warranty and an implied warranty of habitability.</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Paragraphs 25-32 include Mr. Popham as one of the directors liable for alleged misrepresentations in Canan's disclosure statements, pursuant to the </w:t>
      </w:r>
      <w:r>
        <w:rPr>
          <w:rFonts w:ascii="arial" w:eastAsia="arial" w:hAnsi="arial" w:cs="arial"/>
          <w:b/>
          <w:i/>
          <w:color w:val="000000"/>
          <w:sz w:val="20"/>
          <w:lang w:val="en-US" w:eastAsia="en-US" w:bidi="ar-SA"/>
        </w:rPr>
        <w:t>Real Estate Act</w:t>
      </w:r>
      <w:r>
        <w:rPr>
          <w:rFonts w:ascii="arial" w:eastAsia="arial" w:hAnsi="arial" w:cs="arial"/>
          <w:color w:val="000000"/>
          <w:sz w:val="20"/>
          <w:lang w:val="en-US" w:eastAsia="en-US" w:bidi="ar-SA"/>
        </w:rPr>
        <w:t xml:space="preserve">, </w:t>
      </w:r>
      <w:hyperlink r:id="rId195" w:history="1">
        <w:r>
          <w:rPr>
            <w:rFonts w:ascii="arial" w:eastAsia="arial" w:hAnsi="arial" w:cs="arial"/>
            <w:i/>
            <w:color w:val="0077CC"/>
            <w:sz w:val="20"/>
            <w:u w:val="single"/>
            <w:shd w:val="clear" w:color="auto" w:fill="FFFFFF"/>
            <w:lang w:val="en-US" w:eastAsia="en-US" w:bidi="ar-SA"/>
          </w:rPr>
          <w:t>R.S.B.C. 1996, c. 397</w:t>
        </w:r>
      </w:hyperlink>
      <w:r>
        <w:rPr>
          <w:rFonts w:ascii="arial" w:eastAsia="arial" w:hAnsi="arial" w:cs="arial"/>
          <w:color w:val="000000"/>
          <w:sz w:val="20"/>
          <w:lang w:val="en-US" w:eastAsia="en-US" w:bidi="ar-SA"/>
        </w:rPr>
        <w:t xml:space="preserve">, and the </w:t>
      </w:r>
      <w:r>
        <w:rPr>
          <w:rFonts w:ascii="arial" w:eastAsia="arial" w:hAnsi="arial" w:cs="arial"/>
          <w:b/>
          <w:i/>
          <w:color w:val="000000"/>
          <w:sz w:val="20"/>
          <w:lang w:val="en-US" w:eastAsia="en-US" w:bidi="ar-SA"/>
        </w:rPr>
        <w:t>Real Estate Development and Marketing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2004, c. 41</w:t>
      </w:r>
      <w:r>
        <w:rPr>
          <w:rFonts w:ascii="arial" w:eastAsia="arial" w:hAnsi="arial" w:cs="arial"/>
          <w:color w:val="000000"/>
          <w:sz w:val="20"/>
          <w:lang w:val="en-US" w:eastAsia="en-US" w:bidi="ar-SA"/>
        </w:rPr>
        <w:t>.</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Paragraph 33 alleges that all defendants owed a duty of care to ensure that the Condominium would be designed and built in a good and workmanlike manner, built with suitable materials, constructed in accordance with codes and industry standards, constructed to adequately protect against water ingress and defects, adequately inspected and suitable for its purpose of habitation.</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Paragraph 38 alleges that all defendants should have known that their services, work or products would give rise to defects that would give rise to structural hazards and toxic mould.</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Paragraph 39 alleges that the defendants owed a duty to warn of these hazards.</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Paragraph 40 alleges that all defendants breached their duty of care and their duty to warn.</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Paragraph 41 alleges that all defendants are liable for all of the construction deficiencies alleged in paragraph 18. It also provides particulars of the deficiencies caused by the following proposed defendants: (i) Major Mechanical (wall penetrations at exhaust vents, electrical fixtures and scuppers were improperly designed, detailed and installed); (ii) Sterling (wall penetrations at exhaust vents, electrical fixtures and scuppers were improperly designed, detailed and installed); (iii) N.A.P. (windows and doors were defective);</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Paragraph 42 alleges that the construction deficiencies have caused dangerous defects;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HAS THE LIMITATION PERIOD EXPIRED?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 cannot conclude that the limitation period has not expired so that it would be more appropriate to join the proposed defendants as it is less convenient than having two actions ongoing. For the purposes of this application only, I will assume that a number of limitation periods have expired. The question which then arises is whether it is just and convenient to join the proposed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JEFFREY POPHAM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The first notice that Mr. Popham had of any attempt on the part of the Plaintiff to advance a claim against him came in July, 2007 when this application was served on him. It is submitted on behalf of Mr. Popham that the Court must be satisfied that a real and not frivolous issue exists between the Plaintiff and Mr. Popham: </w:t>
      </w:r>
      <w:r>
        <w:rPr>
          <w:rFonts w:ascii="arial" w:eastAsia="arial" w:hAnsi="arial" w:cs="arial"/>
          <w:b/>
          <w:i/>
          <w:color w:val="000000"/>
          <w:sz w:val="20"/>
          <w:lang w:val="en-US" w:eastAsia="en-US" w:bidi="ar-SA"/>
        </w:rPr>
        <w:t>Strata Plan LMS1816 v. Acstina Investments Ltd.</w:t>
      </w:r>
      <w:r>
        <w:rPr>
          <w:rFonts w:ascii="arial" w:eastAsia="arial" w:hAnsi="arial" w:cs="arial"/>
          <w:color w:val="000000"/>
          <w:sz w:val="20"/>
          <w:lang w:val="en-US" w:eastAsia="en-US" w:bidi="ar-SA"/>
        </w:rPr>
        <w:t xml:space="preserve"> </w:t>
      </w:r>
      <w:hyperlink r:id="rId267" w:history="1">
        <w:r>
          <w:rPr>
            <w:rFonts w:ascii="arial" w:eastAsia="arial" w:hAnsi="arial" w:cs="arial"/>
            <w:i/>
            <w:color w:val="0077CC"/>
            <w:sz w:val="20"/>
            <w:u w:val="single"/>
            <w:shd w:val="clear" w:color="auto" w:fill="FFFFFF"/>
            <w:lang w:val="en-US" w:eastAsia="en-US" w:bidi="ar-SA"/>
          </w:rPr>
          <w:t>(2004), 33 B.C.L.R. (4th) 69</w:t>
        </w:r>
      </w:hyperlink>
      <w:r>
        <w:rPr>
          <w:rFonts w:ascii="arial" w:eastAsia="arial" w:hAnsi="arial" w:cs="arial"/>
          <w:color w:val="000000"/>
          <w:sz w:val="20"/>
          <w:lang w:val="en-US" w:eastAsia="en-US" w:bidi="ar-SA"/>
        </w:rPr>
        <w:t xml:space="preserve"> (BCCA). This includes a requirement that allegations of a general nature made in a blanket form will not need this threshold: </w:t>
      </w:r>
      <w:r>
        <w:rPr>
          <w:rFonts w:ascii="arial" w:eastAsia="arial" w:hAnsi="arial" w:cs="arial"/>
          <w:b/>
          <w:i/>
          <w:color w:val="000000"/>
          <w:sz w:val="20"/>
          <w:lang w:val="en-US" w:eastAsia="en-US" w:bidi="ar-SA"/>
        </w:rPr>
        <w:t>Forde v. Interior Health Authority</w:t>
      </w:r>
      <w:r>
        <w:rPr>
          <w:rFonts w:ascii="arial" w:eastAsia="arial" w:hAnsi="arial" w:cs="arial"/>
          <w:color w:val="000000"/>
          <w:sz w:val="20"/>
          <w:lang w:val="en-US" w:eastAsia="en-US" w:bidi="ar-SA"/>
        </w:rPr>
        <w:t xml:space="preserve">, </w:t>
      </w:r>
      <w:hyperlink r:id="rId276" w:history="1">
        <w:r>
          <w:rPr>
            <w:rFonts w:ascii="arial" w:eastAsia="arial" w:hAnsi="arial" w:cs="arial"/>
            <w:i/>
            <w:color w:val="0077CC"/>
            <w:sz w:val="20"/>
            <w:u w:val="single"/>
            <w:shd w:val="clear" w:color="auto" w:fill="FFFFFF"/>
            <w:lang w:val="en-US" w:eastAsia="en-US" w:bidi="ar-SA"/>
          </w:rPr>
          <w:t>[2007] B.C.J. No. 2526</w:t>
        </w:r>
      </w:hyperlink>
      <w:r>
        <w:rPr>
          <w:rFonts w:ascii="arial" w:eastAsia="arial" w:hAnsi="arial" w:cs="arial"/>
          <w:color w:val="000000"/>
          <w:sz w:val="20"/>
          <w:lang w:val="en-US" w:eastAsia="en-US" w:bidi="ar-SA"/>
        </w:rPr>
        <w:t xml:space="preserve"> (BCSC). The proposed pleadings contain no assertion that Mr. Popham did or did not do any particular activity or did not discharge any particular duty. In the proposed paragraph 16, Canan and Mr. Popham are collectively referred to as the "Developers". However, the August, 2007 Statement of Claim states that Canan was "The Developer" and that it was Canan that "built" the Condominium.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While Mr. Popham concedes that there is authority for the proposition that an officer or a director of a developer can be added as a party to litigation of this nature, Mr. Popham nevertheless submits that the pleadings must allege facts indicating that the individual acted in a tortious manner or in a manner that exhibited a separate and independent identity or interest from that of the developer: </w:t>
      </w:r>
      <w:r>
        <w:rPr>
          <w:rFonts w:ascii="arial" w:eastAsia="arial" w:hAnsi="arial" w:cs="arial"/>
          <w:b/>
          <w:i/>
          <w:color w:val="000000"/>
          <w:sz w:val="20"/>
          <w:lang w:val="en-US" w:eastAsia="en-US" w:bidi="ar-SA"/>
        </w:rPr>
        <w:t>Glenayre Manufacturing Ltd. v. Pilot Pacific Properties Inc.</w:t>
      </w:r>
      <w:r>
        <w:rPr>
          <w:rFonts w:ascii="arial" w:eastAsia="arial" w:hAnsi="arial" w:cs="arial"/>
          <w:color w:val="000000"/>
          <w:sz w:val="20"/>
          <w:lang w:val="en-US" w:eastAsia="en-US" w:bidi="ar-SA"/>
        </w:rPr>
        <w:t xml:space="preserve"> </w:t>
      </w:r>
      <w:hyperlink r:id="rId277" w:history="1">
        <w:r>
          <w:rPr>
            <w:rFonts w:ascii="arial" w:eastAsia="arial" w:hAnsi="arial" w:cs="arial"/>
            <w:i/>
            <w:color w:val="0077CC"/>
            <w:sz w:val="20"/>
            <w:u w:val="single"/>
            <w:shd w:val="clear" w:color="auto" w:fill="FFFFFF"/>
            <w:lang w:val="en-US" w:eastAsia="en-US" w:bidi="ar-SA"/>
          </w:rPr>
          <w:t>(2003), 26 C.L.R. (3d) 112</w:t>
        </w:r>
      </w:hyperlink>
      <w:r>
        <w:rPr>
          <w:rFonts w:ascii="arial" w:eastAsia="arial" w:hAnsi="arial" w:cs="arial"/>
          <w:color w:val="000000"/>
          <w:sz w:val="20"/>
          <w:lang w:val="en-US" w:eastAsia="en-US" w:bidi="ar-SA"/>
        </w:rPr>
        <w:t xml:space="preserve"> (BCSC); and </w:t>
      </w:r>
      <w:r>
        <w:rPr>
          <w:rFonts w:ascii="arial" w:eastAsia="arial" w:hAnsi="arial" w:cs="arial"/>
          <w:b/>
          <w:i/>
          <w:color w:val="000000"/>
          <w:sz w:val="20"/>
          <w:lang w:val="en-US" w:eastAsia="en-US" w:bidi="ar-SA"/>
        </w:rPr>
        <w:t>The Owners, Strata Plan LMS2643 v. Harold Developments Ltd.</w:t>
      </w:r>
      <w:r>
        <w:rPr>
          <w:rFonts w:ascii="arial" w:eastAsia="arial" w:hAnsi="arial" w:cs="arial"/>
          <w:color w:val="000000"/>
          <w:sz w:val="20"/>
          <w:lang w:val="en-US" w:eastAsia="en-US" w:bidi="ar-SA"/>
        </w:rPr>
        <w:t xml:space="preserve"> </w:t>
      </w:r>
      <w:hyperlink r:id="rId278" w:history="1">
        <w:r>
          <w:rPr>
            <w:rFonts w:ascii="arial" w:eastAsia="arial" w:hAnsi="arial" w:cs="arial"/>
            <w:i/>
            <w:color w:val="0077CC"/>
            <w:sz w:val="20"/>
            <w:u w:val="single"/>
            <w:shd w:val="clear" w:color="auto" w:fill="FFFFFF"/>
            <w:lang w:val="en-US" w:eastAsia="en-US" w:bidi="ar-SA"/>
          </w:rPr>
          <w:t>(2007), 62 C.L.R. (3d) 282</w:t>
        </w:r>
      </w:hyperlink>
      <w:r>
        <w:rPr>
          <w:rFonts w:ascii="arial" w:eastAsia="arial" w:hAnsi="arial" w:cs="arial"/>
          <w:color w:val="000000"/>
          <w:sz w:val="20"/>
          <w:lang w:val="en-US" w:eastAsia="en-US" w:bidi="ar-SA"/>
        </w:rPr>
        <w:t xml:space="preserve"> (BCSC). For example, the proposed pleadings contain no assertion that Mr. Popham was the directing mind of Canan or that he played any role in the retention or instruction of any of the consultants, contractors, sub-contractors, and trades.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In the evidence adduced by Mr. Popham regarding the role he played in the matters underlying the litigation, Mr. Popham has deposed that he played no "significant role" in the selection of or negotiation of contracts with any of the consultants, contractors, or trades, that he played no role in the inspection of any of the work, and that he played no role in the design approval process relating to the Condominium.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 find that the Plaintiff has pleaded no material facts upon which it could be assumed that Mr. Popham played a role other than being a director or employee of Canan and a member of the Council. I can find no real issue has been raised between the Plaintiff and Mr. Popham. I find that the Plaintiff has not met the low threshold to show that Mr. Popham should be named as a Defendant as one of the "Developers". The suggestion that he was one of the Developers is entirely frivolous. Accordingly, the amendment requested relating to Mr. Popham as set out in paragraph 16 is not allowed and Mr. Popham will not become a Defendant on the basis of the allegation that he was a "Developer". In dismissing this part of the application of the Plaintiff, I have not, as yet, dealt with the question of whether Mr. Popham should be joined as a Defendant because he was a signatory to the September, 1993 Disclosure Statement and the February, 1994 Amended Disclosure Statement and the allegation that those Statements contain material false statements.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KEN MORRIS AND MAURICE TEARLE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In paragraph 16, it is alleged that the "Developers" retained: "Major Mechanical, Maurice Tearle and Ken Morris as contractors, manufacturers or suppliers that provided services, labour, or materials in respect of the design and the construction of the Condominium". The proposed Statement of Claim makes no allegation of independent conduct by Messrs. Tearle and Morris. The documents in evidence all indicate that Degelder dealt with Major Mechanical. Regarding Messrs. Morris and Tearle, the only reference in the evidence is to them being listed as individuals on the "list of trades" as the contacts for Major Mechanical.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In his November 4, 2008 Affidavit, Ken Morris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confirm that at no time was I retained in any personal capacity, nor was the co-director of Major Mechanical, Maurice Tearle, ever personally involved in the construction for work done at The Metropolitan. At all times, I acted as a point of contact for Major Mechanical with respect to the project being completed at The Metropolitan.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have reviewed a binder of documents related to this project and again confirm that neither myself nor Maurice Tearle ever acted in an individual or personal capacity related to this project. We were simply listed as the personal contacts of Major Mechanical for the purposes of the coordination of sub trade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 am satisfied that the pleadings must allege facts indicating that an individual acted in a manner that exhibited a separate and independent identity or interest from that of his or her principal, must allege facts indicating that there was a contractual relationship with the individuals sought to be joined as defendants, or must allege a duty of care owed by individuals sought to be joined as defendants. I can find no issue has been raised between the Plaintiff and Messrs. Morris and Tearle. The Plaintiff has not met the low threshold to show that Messrs. Morris and Tearle should be joined as Defendants. I dismiss that part of the application of the Plaintiff to amend the pleadings and join Messrs. Morris and Tearle as defendants in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MYLES STERLING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Myles Sterling Holdings Ltd. and Myles Sterling are described as being "consultants that provided mechanical engineering and other services in respect of the design and construction of the Condominium". The Plaintiff alleges in paragraph 41(k) that the alleged breaches of Myles Sterling Holdings Ltd. and Mr. Sterling caused or contributed to all of the "Construction Deficiencies". One of the "Construction Deficiencies" is set out in paragraph 18(a)(vii) as follows: "The wall assemblies were defective, thereby permitting water to enter the building. Particulars of these defects include: ... vii. the wall penetrations at exhaust vents, electrical fixtures, and scuppers were improperly designed, detailed and installed."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From what is in the pleadings and in the evidence, it appears that Myles Sterling was the contact person for Myles Sterling Holdings Ltd. There is no allegation that Mr. Sterling had a personal role in what was done or not done or that Mr. Sterling had a contractual relationship with any party or proposed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The Plaintiff has not pled the material facts that establish a connection between Mr. Sterling and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breaches of contract which are alleged. All that is alleged are "boilerplate" allegations that are identical to the allegations against the other Defendants and proposed defendants. The pleadings must be specific enough to show on what grounds the proposed party is being sued: </w:t>
      </w:r>
      <w:r>
        <w:rPr>
          <w:rFonts w:ascii="arial" w:eastAsia="arial" w:hAnsi="arial" w:cs="arial"/>
          <w:b/>
          <w:i/>
          <w:color w:val="000000"/>
          <w:sz w:val="20"/>
          <w:lang w:val="en-US" w:eastAsia="en-US" w:bidi="ar-SA"/>
        </w:rPr>
        <w:t>Forde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at para. 15. The standard or "boilerplate" allegations in a statement of claim will not satisfy the requirement under the first stage of the Rule 15(5)(a)(iii) test: </w:t>
      </w:r>
      <w:r>
        <w:rPr>
          <w:rFonts w:ascii="arial" w:eastAsia="arial" w:hAnsi="arial" w:cs="arial"/>
          <w:b/>
          <w:i/>
          <w:color w:val="000000"/>
          <w:sz w:val="20"/>
          <w:lang w:val="en-US" w:eastAsia="en-US" w:bidi="ar-SA"/>
        </w:rPr>
        <w:t>Forde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at para. 16. I find that the Plaintiff has not met the low threshold to show that Mr. Sterling should be joined as a Defendant in these proceedings. The application of the Plaintiff to amend the pleadings and to join Myles Sterling as a Defendant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DECISION: APPLICATIONS TO JOIN MESSRS. POPHAM, MORRIS, TEARLE AND STERLING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Whether or not I am found to be incorrect in concluding that all of the applications of the Plaintiff amount to an abuse of process, I nevertheless dismiss that part of the application of the Plaintiff to join Messrs. Popham, Morris, Tearle and Sterling as Defendants in this Action. Messrs. Popham and Sterling will be entitled to their costs payable forthwith. Messrs. Morris and Tearle will be entitled to one set of costs. In order to avoid the cost of proceeding with an assessment of those costs, I will assess those costs pursuant to Rule 57(13.1) of the </w:t>
      </w:r>
      <w:r>
        <w:rPr>
          <w:rFonts w:ascii="arial" w:eastAsia="arial" w:hAnsi="arial" w:cs="arial"/>
          <w:b/>
          <w:i/>
          <w:color w:val="000000"/>
          <w:sz w:val="20"/>
          <w:lang w:val="en-US" w:eastAsia="en-US" w:bidi="ar-SA"/>
        </w:rPr>
        <w:t>Rules of Court</w:t>
      </w:r>
      <w:r>
        <w:rPr>
          <w:rFonts w:ascii="arial" w:eastAsia="arial" w:hAnsi="arial" w:cs="arial"/>
          <w:color w:val="000000"/>
          <w:sz w:val="20"/>
          <w:lang w:val="en-US" w:eastAsia="en-US" w:bidi="ar-SA"/>
        </w:rPr>
        <w:t xml:space="preserve"> inclusive of fees, disbursements and government taxes at $675.00.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If I am found to be incorrect in concluding that Messrs. Popham, Morris, Tearle and Sterling should not be added as Defendants in this Action and if I am found to be incorrect in concluding that the application of the Plaintiff is an abuse of the process of the Court, I would not be prepared to grant the application requested by the Plaintiff. Rather, I am satisfied that the appropriate course of action is that an order should be made allowing the amendments sought "without prejudice" to the ability of all of these parties who would then be defendants to raise any available limitation defence in this Action: </w:t>
      </w:r>
      <w:r>
        <w:rPr>
          <w:rFonts w:ascii="arial" w:eastAsia="arial" w:hAnsi="arial" w:cs="arial"/>
          <w:b/>
          <w:i/>
          <w:color w:val="000000"/>
          <w:sz w:val="20"/>
          <w:lang w:val="en-US" w:eastAsia="en-US" w:bidi="ar-SA"/>
        </w:rPr>
        <w:t>Strata Plan No. VR 2000 v. Shaw</w:t>
      </w:r>
      <w:r>
        <w:rPr>
          <w:rFonts w:ascii="arial" w:eastAsia="arial" w:hAnsi="arial" w:cs="arial"/>
          <w:color w:val="000000"/>
          <w:sz w:val="20"/>
          <w:lang w:val="en-US" w:eastAsia="en-US" w:bidi="ar-SA"/>
        </w:rPr>
        <w:t xml:space="preserve"> </w:t>
      </w:r>
      <w:hyperlink r:id="rId279" w:history="1">
        <w:r>
          <w:rPr>
            <w:rFonts w:ascii="arial" w:eastAsia="arial" w:hAnsi="arial" w:cs="arial"/>
            <w:i/>
            <w:color w:val="0077CC"/>
            <w:sz w:val="20"/>
            <w:u w:val="single"/>
            <w:shd w:val="clear" w:color="auto" w:fill="FFFFFF"/>
            <w:lang w:val="en-US" w:eastAsia="en-US" w:bidi="ar-SA"/>
          </w:rPr>
          <w:t>(1998), 39 C.L.R. (2d) 87</w:t>
        </w:r>
      </w:hyperlink>
      <w:r>
        <w:rPr>
          <w:rFonts w:ascii="arial" w:eastAsia="arial" w:hAnsi="arial" w:cs="arial"/>
          <w:color w:val="000000"/>
          <w:sz w:val="20"/>
          <w:lang w:val="en-US" w:eastAsia="en-US" w:bidi="ar-SA"/>
        </w:rPr>
        <w:t xml:space="preserve"> (BCSC) and </w:t>
      </w:r>
      <w:r>
        <w:rPr>
          <w:rFonts w:ascii="arial" w:eastAsia="arial" w:hAnsi="arial" w:cs="arial"/>
          <w:b/>
          <w:i/>
          <w:color w:val="000000"/>
          <w:sz w:val="20"/>
          <w:lang w:val="en-US" w:eastAsia="en-US" w:bidi="ar-SA"/>
        </w:rPr>
        <w:t>Stone Venepal (Celgar) Pulp Inc. (Trustee of) v. IMO Industries (Canada) Inc.</w:t>
      </w:r>
      <w:r>
        <w:rPr>
          <w:rFonts w:ascii="arial" w:eastAsia="arial" w:hAnsi="arial" w:cs="arial"/>
          <w:color w:val="000000"/>
          <w:sz w:val="20"/>
          <w:lang w:val="en-US" w:eastAsia="en-US" w:bidi="ar-SA"/>
        </w:rPr>
        <w:t xml:space="preserve">, </w:t>
      </w:r>
      <w:hyperlink r:id="rId280" w:history="1">
        <w:r>
          <w:rPr>
            <w:rFonts w:ascii="arial" w:eastAsia="arial" w:hAnsi="arial" w:cs="arial"/>
            <w:i/>
            <w:color w:val="0077CC"/>
            <w:sz w:val="20"/>
            <w:u w:val="single"/>
            <w:shd w:val="clear" w:color="auto" w:fill="FFFFFF"/>
            <w:lang w:val="en-US" w:eastAsia="en-US" w:bidi="ar-SA"/>
          </w:rPr>
          <w:t>[2008] 9 W.W.R. 385</w:t>
        </w:r>
      </w:hyperlink>
      <w:r>
        <w:rPr>
          <w:rFonts w:ascii="arial" w:eastAsia="arial" w:hAnsi="arial" w:cs="arial"/>
          <w:color w:val="000000"/>
          <w:sz w:val="20"/>
          <w:lang w:val="en-US" w:eastAsia="en-US" w:bidi="ar-SA"/>
        </w:rPr>
        <w:t xml:space="preserve"> (BCCA).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Shaw</w:t>
      </w:r>
      <w:r>
        <w:rPr>
          <w:rFonts w:ascii="arial" w:eastAsia="arial" w:hAnsi="arial" w:cs="arial"/>
          <w:color w:val="000000"/>
          <w:sz w:val="20"/>
          <w:lang w:val="en-US" w:eastAsia="en-US" w:bidi="ar-SA"/>
        </w:rPr>
        <w:t>, Levine J., as she then was,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Applying the principles set out in the cases, I order that the statement of claim be amended to include the new causes of action of negligent misrepresentation and failure to warn against New Home Warranty Program, on terms that New Home Warranty Program be at liberty to raise as a defence that the limitation period in respect of these causes of action had expired at the date of the commencement of the action. (at para. 31)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Stone Venepal</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Bauman J.A. on behalf of the Court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Accordingly, I conclude that a chambers judge faced with an application to amend (which is otherwise proper), under Rule 24(1), and the </w:t>
      </w:r>
      <w:r>
        <w:rPr>
          <w:rFonts w:ascii="arial" w:eastAsia="arial" w:hAnsi="arial" w:cs="arial"/>
          <w:color w:val="000000"/>
          <w:sz w:val="20"/>
          <w:u w:val="single"/>
          <w:lang w:val="en-US" w:eastAsia="en-US" w:bidi="ar-SA"/>
        </w:rPr>
        <w:t>possible</w:t>
      </w:r>
      <w:r>
        <w:rPr>
          <w:rFonts w:ascii="arial" w:eastAsia="arial" w:hAnsi="arial" w:cs="arial"/>
          <w:color w:val="000000"/>
          <w:sz w:val="20"/>
          <w:lang w:val="en-US" w:eastAsia="en-US" w:bidi="ar-SA"/>
        </w:rPr>
        <w:t xml:space="preserve"> expiration of a limitation period in respect of the cause of action raised in the new pleading in circumstances where it would be inappropriate to decide that issue summarily, should ask herself this question: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Assuming that the limitation period has expired, in the exercise of my discretion under s. 4(4)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would I nevertheless permit the amendment?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the answer is "yes", the proposed amendment should be allowed, pursuant to the reasoning in </w:t>
      </w:r>
      <w:r>
        <w:rPr>
          <w:rFonts w:ascii="arial" w:eastAsia="arial" w:hAnsi="arial" w:cs="arial"/>
          <w:i/>
          <w:color w:val="000000"/>
          <w:sz w:val="20"/>
          <w:lang w:val="en-US" w:eastAsia="en-US" w:bidi="ar-SA"/>
        </w:rPr>
        <w:t>Brito, supra</w:t>
      </w:r>
      <w:r>
        <w:rPr>
          <w:rFonts w:ascii="arial" w:eastAsia="arial" w:hAnsi="arial" w:cs="arial"/>
          <w:color w:val="000000"/>
          <w:sz w:val="20"/>
          <w:lang w:val="en-US" w:eastAsia="en-US" w:bidi="ar-SA"/>
        </w:rPr>
        <w:t xml:space="preserve">. If the answer is "no" (i.e. the loss of a limitation defence would cause such prejudice as would not permit the exercise of the s. 4(4) discretion in favour of the amendment) then the amendment should be allowed without prejudice to the defendant raising the limitation defence at trial. Such was the order in </w:t>
      </w:r>
      <w:r>
        <w:rPr>
          <w:rFonts w:ascii="arial" w:eastAsia="arial" w:hAnsi="arial" w:cs="arial"/>
          <w:i/>
          <w:color w:val="000000"/>
          <w:sz w:val="20"/>
          <w:lang w:val="en-US" w:eastAsia="en-US" w:bidi="ar-SA"/>
        </w:rPr>
        <w:t>287993 B.C. Ltd. v. Nanaimo (Regional District)</w:t>
      </w:r>
      <w:r>
        <w:rPr>
          <w:rFonts w:ascii="arial" w:eastAsia="arial" w:hAnsi="arial" w:cs="arial"/>
          <w:color w:val="000000"/>
          <w:sz w:val="20"/>
          <w:lang w:val="en-US" w:eastAsia="en-US" w:bidi="ar-SA"/>
        </w:rPr>
        <w:t xml:space="preserve">, </w:t>
      </w:r>
      <w:hyperlink r:id="rId281" w:history="1">
        <w:r>
          <w:rPr>
            <w:rFonts w:ascii="arial" w:eastAsia="arial" w:hAnsi="arial" w:cs="arial"/>
            <w:i/>
            <w:color w:val="0077CC"/>
            <w:sz w:val="20"/>
            <w:u w:val="single"/>
            <w:shd w:val="clear" w:color="auto" w:fill="FFFFFF"/>
            <w:lang w:val="en-US" w:eastAsia="en-US" w:bidi="ar-SA"/>
          </w:rPr>
          <w:t>2006 BCSC 1231</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Strata Plan VR2000 v. Shaw</w:t>
      </w:r>
      <w:r>
        <w:rPr>
          <w:rFonts w:ascii="arial" w:eastAsia="arial" w:hAnsi="arial" w:cs="arial"/>
          <w:color w:val="000000"/>
          <w:sz w:val="20"/>
          <w:lang w:val="en-US" w:eastAsia="en-US" w:bidi="ar-SA"/>
        </w:rPr>
        <w:t xml:space="preserve"> </w:t>
      </w:r>
      <w:hyperlink r:id="rId279" w:history="1">
        <w:r>
          <w:rPr>
            <w:rFonts w:ascii="arial" w:eastAsia="arial" w:hAnsi="arial" w:cs="arial"/>
            <w:i/>
            <w:color w:val="0077CC"/>
            <w:sz w:val="20"/>
            <w:u w:val="single"/>
            <w:shd w:val="clear" w:color="auto" w:fill="FFFFFF"/>
            <w:lang w:val="en-US" w:eastAsia="en-US" w:bidi="ar-SA"/>
          </w:rPr>
          <w:t>(1998), 39 C.L.R. (2d) 87</w:t>
        </w:r>
      </w:hyperlink>
      <w:r>
        <w:rPr>
          <w:rFonts w:ascii="arial" w:eastAsia="arial" w:hAnsi="arial" w:cs="arial"/>
          <w:color w:val="000000"/>
          <w:sz w:val="20"/>
          <w:lang w:val="en-US" w:eastAsia="en-US" w:bidi="ar-SA"/>
        </w:rPr>
        <w:t xml:space="preserve"> (BCSC).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process protects the interests of both parties in a case where it is not possible to resolve the limitations issue on the Rule 24 application.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say this in the context of a Rule 24(1) application which is otherwise proper because, of course, if the application should fail on an exercise of the discretion regardless of the expiration of the limitation period, the application should be dismissed. (at paras. 47-50)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I reach the same conclusion as was reached in </w:t>
      </w:r>
      <w:r>
        <w:rPr>
          <w:rFonts w:ascii="arial" w:eastAsia="arial" w:hAnsi="arial" w:cs="arial"/>
          <w:b/>
          <w:i/>
          <w:color w:val="000000"/>
          <w:sz w:val="20"/>
          <w:lang w:val="en-US" w:eastAsia="en-US" w:bidi="ar-SA"/>
        </w:rPr>
        <w:t>Shaw</w:t>
      </w:r>
      <w:r>
        <w:rPr>
          <w:rFonts w:ascii="arial" w:eastAsia="arial" w:hAnsi="arial" w:cs="arial"/>
          <w:color w:val="000000"/>
          <w:sz w:val="20"/>
          <w:lang w:val="en-US" w:eastAsia="en-US" w:bidi="ar-SA"/>
        </w:rPr>
        <w:t xml:space="preserve">. While the question in </w:t>
      </w:r>
      <w:r>
        <w:rPr>
          <w:rFonts w:ascii="arial" w:eastAsia="arial" w:hAnsi="arial" w:cs="arial"/>
          <w:b/>
          <w:i/>
          <w:color w:val="000000"/>
          <w:sz w:val="20"/>
          <w:lang w:val="en-US" w:eastAsia="en-US" w:bidi="ar-SA"/>
        </w:rPr>
        <w:t>Stone Venepal</w:t>
      </w:r>
      <w:r>
        <w:rPr>
          <w:rFonts w:ascii="arial" w:eastAsia="arial" w:hAnsi="arial" w:cs="arial"/>
          <w:color w:val="000000"/>
          <w:sz w:val="20"/>
          <w:lang w:val="en-US" w:eastAsia="en-US" w:bidi="ar-SA"/>
        </w:rPr>
        <w:t xml:space="preserve"> involved a limitations period issue relating to an application under Rule 24(1) of the </w:t>
      </w:r>
      <w:r>
        <w:rPr>
          <w:rFonts w:ascii="arial" w:eastAsia="arial" w:hAnsi="arial" w:cs="arial"/>
          <w:b/>
          <w:i/>
          <w:color w:val="000000"/>
          <w:sz w:val="20"/>
          <w:lang w:val="en-US" w:eastAsia="en-US" w:bidi="ar-SA"/>
        </w:rPr>
        <w:t>Rules of Court</w:t>
      </w:r>
      <w:r>
        <w:rPr>
          <w:rFonts w:ascii="arial" w:eastAsia="arial" w:hAnsi="arial" w:cs="arial"/>
          <w:color w:val="000000"/>
          <w:sz w:val="20"/>
          <w:lang w:val="en-US" w:eastAsia="en-US" w:bidi="ar-SA"/>
        </w:rPr>
        <w:t xml:space="preserve">, I am of the view that the solution approved should be followed regarding this application by the Plaintiff. I am satisfied that it would be impossible and inappropriate to decide the limitation issues raised by the proposed defendants summarily. A trial of the limitation issues is required in this Action, perhaps in the context of an application pursuant to Rule 18A of the </w:t>
      </w:r>
      <w:r>
        <w:rPr>
          <w:rFonts w:ascii="arial" w:eastAsia="arial" w:hAnsi="arial" w:cs="arial"/>
          <w:b/>
          <w:i/>
          <w:color w:val="000000"/>
          <w:sz w:val="20"/>
          <w:lang w:val="en-US" w:eastAsia="en-US" w:bidi="ar-SA"/>
        </w:rPr>
        <w:t>Rules of Court</w:t>
      </w:r>
      <w:r>
        <w:rPr>
          <w:rFonts w:ascii="arial" w:eastAsia="arial" w:hAnsi="arial" w:cs="arial"/>
          <w:color w:val="000000"/>
          <w:sz w:val="20"/>
          <w:lang w:val="en-US" w:eastAsia="en-US" w:bidi="ar-SA"/>
        </w:rPr>
        <w:t xml:space="preserve"> or in the context of a full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Accordingly, it is only if I am found to be incorrect in the matters set out above that I would order that all of the proposed defendants be added as Defendants in this Action and that the Plaintiff would be at liberty to amend the style of proceeding and to amend the Writ of Summons and Statement of Claim with those orders being made without prejudice to the ability of the new Defendants to raise in their Defences that limitation periods have expired.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G.D. BURNYEAT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94" style="position:absolute;z-index:25185075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82"/>
          <w:headerReference w:type="default" r:id="rId283"/>
          <w:footerReference w:type="even" r:id="rId284"/>
          <w:footerReference w:type="default" r:id="rId285"/>
          <w:headerReference w:type="first" r:id="rId286"/>
          <w:footerReference w:type="first" r:id="rId28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88" w:history="1">
        <w:r>
          <w:rPr>
            <w:rFonts w:ascii="arial" w:eastAsia="arial" w:hAnsi="arial" w:cs="arial"/>
            <w:b/>
            <w:bCs/>
            <w:i/>
            <w:color w:val="0077CC"/>
            <w:kern w:val="32"/>
            <w:sz w:val="28"/>
            <w:szCs w:val="32"/>
            <w:u w:val="single"/>
            <w:shd w:val="clear" w:color="auto" w:fill="FFFFFF"/>
            <w:lang w:val="en-US" w:eastAsia="en-US" w:bidi="ar-SA"/>
          </w:rPr>
          <w:t>Taylor Ventures Ltd. (Receiver-Manager of) v. 545959 B.C. Ltd., [2000] B.C.J. No. 1086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Burnyeat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17, 18, 1999 and January 17 - 19,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31,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C984815</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[2000] B.C.J. No. 1086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2000 BCSC 830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18 C.B.R. (4th) 289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97 A.C.W.S. (3d) 387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Taylor Ventures Ltd., by its Receiver-Manager, Pricewaterhousecoopers Inc., in its capacity as Receiver-Manager, Trustee in Bankruptcy and Judicial Trustee of Taylor Ventures Ltd., plaintiff, and 545959 B.C. Ltd.,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95" style="position:absolute;z-index:2516725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92" w:name="Keywords_13"/>
      <w:bookmarkEnd w:id="92"/>
      <w:r>
        <w:rPr>
          <w:rFonts w:ascii="arial" w:eastAsia="arial" w:hAnsi="arial" w:cs="arial"/>
          <w:b/>
          <w:color w:val="000000"/>
          <w:sz w:val="20"/>
          <w:lang w:val="en-US" w:eastAsia="en-US" w:bidi="ar-SA"/>
        </w:rPr>
        <w:t>Practice — Judgments and orders — Summary judgment — To dismiss action — Conditions precedent — Requirement that question at issue be beyond doubt.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93" w:name="Case Summary_12"/>
            <w:bookmarkEnd w:id="9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was an application by the company for dismissal of TVL's action. The company also sought to have the trustee personally liable for any damages or costs. TVL, through its trustee in bankruptcy, sought a declaration that TVL was the beneficial owner of the Walnut Grove lands. Through a series of complicated transactions, the company, whose principal was Howlett, became the registered owner in fee simple of the Walnut Grove lands. The trustee alleged that there had been a fraudulent conveyance or a fraudulent preference. Based on the evidence adduced during discoveries, the exact nature of the arrangement between the parties was unclear. The transfer might have provided security to Howlett for advances he made to TVL. It might have been an outright sale. Alternatively, it might have been part of a joint venture agreement between TVL and the company. The parties were involved in several other lawsuits raising interrelated issues.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94" w:name="Holdings of Court_9"/>
            <w:bookmarkEnd w:id="94"/>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This was not an appropriate matter to be dealt with pursuant to the provisions of Rule 18A. A summary trial was not well suited to such a factually complex case. The issues raised were interrelated to a number of other actions. The court was not in a position to find the facts necessary to determine the issues between the parties. The affidavit evidence was not sufficient to determine Howlett's credibility or the intent of the parties with respect to the allegation of a fraudulent conveyance. The consideration of the liability of either the receiver and manager or of the trustee in bankruptcy of TVL for costs of the company had to await a determination of the issues as between the parties.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95" w:name="Legislation Cited_13"/>
      <w:bookmarkEnd w:id="9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96" style="position:absolute;z-index:2517237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18A.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Fraudulent Conveyance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Fraudulent Preference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Land Title Act, ss. 256, 257.</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96" w:name="Counsel_13"/>
      <w:bookmarkEnd w:id="96"/>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97" style="position:absolute;z-index:2517749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R.A. Millar, for the Trustee of Taylor Ventures Ltd. F.G. Potts, for 545959 B.C. Ltd.</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97" w:name="Judgment_13"/>
      <w:bookmarkEnd w:id="97"/>
      <w:r>
        <w:pict>
          <v:line id="_x0000_s1098" style="position:absolute;z-index:251826176"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98" w:name="BURNYEAT J._0"/>
            <w:bookmarkEnd w:id="98"/>
            <w:r>
              <w:rPr>
                <w:rFonts w:ascii="arial" w:eastAsia="arial" w:hAnsi="arial" w:cs="arial"/>
                <w:b/>
                <w:color w:val="000000"/>
                <w:sz w:val="30"/>
                <w:lang w:val="en-US" w:eastAsia="en-US" w:bidi="ar-SA"/>
              </w:rPr>
              <w:t>BURNYEAT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In this action, the plaintiff through its Receiver and Manager and Trustee in Bankruptcy (the "Trustee") claims that a transfer to the defendant of certain properties in Langley (the "Walnut Grove Lands") is null and void under the provisions of the Fraudulent Conveyance Act and Fraudulent Preference Act, for a declaration that Taylor Venture Ltd. ("TVL") is the beneficial owner of the Walnut Grove Lands as 545959 B.C. Ltd. ("545959") holds legal title to the Walnut Grove Lands on an express, constructive or resulting trust and, in the alternative, that 545959 owes TVL certain monies that TVL advanced towards the properties prior to the transfer of the Walnut Grove Lands to 545959. In its Statement of Defence, 545959 denies the allegations contained in the Statement of Claim and specifically denies that it entered into any scheme or arrangement to injure TVL as alleged.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In this application, 545959 seeks to vary the order made on January 22, 1998 in Action No. A980224 which appointed the Receiver and Manager in order that it is clear that the Receiver and Manager will be personally liable for any damages or costs it or TVL is adjudged or ordered to pay to 545959 and so that the liability of the Receiver and Manager shall not be limited in any way and that TVL post security of at least $20,000 for the costs of 545959 in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As well, pursuant to Rule 18A of the Rules of Court and ss. 256 and 257 of the Land Title Act, 545959 also requests orders that the action of the plaintiff be dismissed, that the Certificate of Pending Litigation filed against the Walnut Grove Lands be cancelled or that, in the alternative, the Certificate of Pending Litigation be cancelled upon the defendant giving security and, in the further alternative, that the plaintiff be required to enter into an undertaking and give security in an amount satisfactory to the court as a condition of the Certificate of Pending Litigation remaining registered as against the Walnut Grove Lands. The trial of this action has been set for February 12,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Through a series of complicated transactions, 545959 became the registered owner in fee simple of the Walnut Grove Lands. The Walnut Grove Lands were derived through various subdivisions from two parcels of 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what is described by the parties as the "Barril Lands", TVL entered into an option agreement to purchase those lands from Barril Developments Ltd. ("Barril"), assigned its rights under the option on January 31, 1996 to a TVL associated company, 512046 B.C. Ltd. ("512046"), 512046 exercised the option and became the registered owner of the Barril Lands and at the same time granted a mortgage over the Barril Lands to both Clova Properties Ltd. ("Clova") and 436409 B.C. Ltd. ("436409"), 512046 used the proceeds from the Clova mortgage and the 436409 mortgage to pay approximately $305,000 to Barril and approximately $180,000 to TVL.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Regarding what is referred to by the parties as the Hans-Johnson Lands, TVL acquired title for the Hans-Johnson Lands from Joginder and Surinder Hans on July 28, 1994. On March 3, 1995, TVL entered into a written agreement with 491503 to transfer its interest in the Hans-Johnson Lands to 491503 for a purchase price of $1,000,000. On March 8, 1995, TVL transferred legal title to the Hans-Johnson Lands to 491503 for the stated purchase price of $1,000,000 but received only $464,079.07. No further funds were paid to TVL by 491503 on account of the purchase price other than the $464,079.07 which had been obtained by 491503 when it granted a mortgage on the Hans-Johnson Lands to Westminster Savings Credit Union ("Westminster").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On June 4, 1996, 512046 transferred its interest in the Barril Lands to Mr. Ralph Taylor, the principal of TVL. On June 14, 1996, 491503 transferred its interest in the Hans-Johnson Lands to Mr. Ralph Taylor. Mr. Ralph Taylor then arranged for the amalgamation of the Hans-Johnson Lands and the Barril Lands and, once amalgamated, legal title to the amalgamated lands (the "Walnut Grove Lands") was then transferred to 491503 B.C. Ltd. ("491503").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Subsequent to the transfer to 491503, a Declaration of Trust dated March 8, 1995 between 491503 and TVL was created in September, 1997. In the agreement, 491503 acknowledged that it was acting as a "bare Trustee and Agent" for TVL as "Beneficiary who is the Beneficial Owner of the Property" and that the "purpose of this Declaration Trust is to facilitate financing on the part of Taylor Ventures Ltd." As well, 491503 acknowledged and declared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any interest presently owned by the Trustee or hereafter acquired by the Trustee in the Property shall be held by the Trustee in trust for the Beneficiary. All profits and advantages arising from the Property are and shall be held by the Trustee for the use, benefit and advantage of the Beneficiary and all operating costs and liabilities shall be the responsibility of and be paid by the Beneficiary. The Beneficial ownership of the Property belongs to the Beneficiary.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Sole Director, Member and Officer of 491503 was and is Mr. Alan McLean. In an affidavit sworn January 11, 2000, Mr. McLean states:</w:t>
      </w:r>
      <w:r>
        <w:rPr>
          <w:rFonts w:ascii="arial" w:eastAsia="arial" w:hAnsi="arial" w:cs="arial"/>
          <w:sz w:val="20"/>
          <w:lang w:val="en-US" w:eastAsia="en-US" w:bidi="ar-SA"/>
        </w:rPr>
        <w:cr/>
      </w:r>
    </w:p>
    <w:p>
      <w:pPr>
        <w:numPr>
          <w:numId w:val="9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Prior to March of 1995 I and my family had been large investors with Taylor Ventures. These investments were usually done on an unsecured basis. In 1994 and early 1995 I was concerned about the large of [sic] amount of money my family had invested in Taylor Ventures which was in the order of $500,000.00 to $700,000.00. Arising out of this concern I from time to time approached Ralph Taylor and requested that some type of security be given for this investment.</w:t>
      </w:r>
    </w:p>
    <w:p>
      <w:pPr>
        <w:numPr>
          <w:numId w:val="9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February or early March of 1995 Ralph Taylor contacted me and indicated to me that he was prepared to provide security to me and he described a plan to me whereby the lands which are the subject matter of this proceeding would be transferred to a "shelf company" incorporated by Michael Oliver and that I would be appointed director and shareholder of that company. I was told that Taylor Ventures had also raised mortgage financing against the lands which would be used in the development of the Walnut Grove development which included the lands transferred to 491503. Ralph Taylor also advised me that Taylor Ventures would be responsible for all carrying costs associated with the property and that he would be responsible for the development of the lands.</w:t>
      </w:r>
    </w:p>
    <w:p>
      <w:pPr>
        <w:numPr>
          <w:numId w:val="9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do not recall any specific terms upon which the "security" arrangement with TVL would operate. I felt that this arrangement represented some security to me but it was my clear understanding that 491503 was holding the property in trust for Taylor Ventures and that the moment Taylor Ventures called for the reconveyance of the property, 491503 would have to transfer it back to Taylor Ventures. I do recall at the time attempting to ensure that I would not be liable for capital gains tax on the sale of the property, but I do not recall anything being done about it. In the past I have used declarations of trust to establish that I did not have a taxable interest in the land.</w:t>
      </w:r>
    </w:p>
    <w:p>
      <w:pPr>
        <w:numPr>
          <w:numId w:val="9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the transfer of the lands to 491503 Ralph Taylor regularly provided cheques to me so that 491503 could meet the regular obligations associated with the lands. I exercised no control over the lands and all decisions such as that were made by Mr. Taylor.</w:t>
      </w:r>
    </w:p>
    <w:p>
      <w:pPr>
        <w:numPr>
          <w:numId w:val="9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summer of 1997 I became concerned about the financial condition of Taylor Ventures. I was having difficulty getting cheques from Ralph Taylor to make payments and I had to actually pay the taxes personally and then seek reimbursement. Due to these troubles and the fact that I was busy on other matters and as I felt that I had no real security, I told Ralph Taylor in the summer of 1997 that I was no longer interested in having 491503 holding title to the lands and he said that he would attend to an alternate arrangement.</w:t>
      </w:r>
    </w:p>
    <w:p>
      <w:pPr>
        <w:numPr>
          <w:numId w:val="9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or about October 29, 1997, Ralph Taylor called me and asked me to attend at his house as he had arranged a transfer of the lands. He took me to Michael Oliver's office were [sic] I met Darryl Howlett for the first time. I had heard of Mr. Howlett and I knew that he was a realtor but I had no recollection of ever meeting him before. We attended at the office of Michael Oliver to sign transfers of the lands ...</w:t>
      </w:r>
    </w:p>
    <w:p>
      <w:pPr>
        <w:numPr>
          <w:numId w:val="9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I attended at Mr. Oliver's office I likely exchanged a few words with Mr. Howlett but I was not aware of any of the dealings involving Mr. Howlett and Taylor Ventures. The signing was done quickly and Mr. Taylor, Mr. Howlett and I left and we had coffee together. We did not discuss any of Mr. Howlett's dealings during that 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On October 29, 1997, 491503 transferred its interest in the Walnut Grove Lands to 545959 with the stated consideration for the transfer being $1.00 and "other valuable considerations." It is alleged by the Trustee that, between March 15, 1996 and December 19, 1997, TVL continued to pay the monthly mortgage payments and associated costs on the lands formerly referred to as the Barril Lands. It is also alleged by the Trustee that, between March 8, 1995 and until November 27, 1997, TVL made the payments on account of the Westminster Mortgage and also made payments for the property taxes owing for the years 1995 through 1997 on the Hans-Johnson Lands as well as the amalgamated property owned by 545959 after October 29,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POSITION OF THE TRUSTEE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Trustee alleges that:</w:t>
      </w:r>
      <w:r>
        <w:rPr>
          <w:rFonts w:ascii="arial" w:eastAsia="arial" w:hAnsi="arial" w:cs="arial"/>
          <w:sz w:val="20"/>
          <w:lang w:val="en-US" w:eastAsia="en-US" w:bidi="ar-SA"/>
        </w:rPr>
        <w:cr/>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491503, Mr. McLean and Mr. Taylor entered into "a scheme or arrangement" whereby legal title to the Walnut Grove Lands were transferred to 491503 to enable Mr. Taylor and TVL to "circumvent the lending policies and limits of" Westminster concerning the maximum amount which would be lent to one particular borrower and to allow TVL to raise further financing monies for its investments for other purposes or, in the alternative;</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to provide security for previously unsecured obligations of indebtedness to 491503 or Mr. McLean or to give 491503 preference over other creditors of TVL;</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transfer of any portion of the Walnut Grove Lands by TVL to 491503 was "an unlawful corporate act made by a director of TVL" in breach of the fiduciary duty that Mr. Taylor owed to TVL;</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545959 and Mr. Howlett were aware that 491503 and Mr. McLean held the Walnut Grove Lands in trust for TVL;</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545959 took title to the Walnut Grove Lands with the knowledge that the transfer by TVL to 491503 was an unlawful corporate act made by Mr. Taylor in breach of the fiduciary duties he owed to TVL; and</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transfer of the Walnut Grove Lands from 491503 to 545959 was a disposition of property made with the intent to defeat, delay, hinder, prejudice or defrauded the creditors of TVL of their just and lawful remedies against TVL.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his June 4, 1999 affidavit, George Abakhan, the President of the substituted Trustee in Bankruptcy of TVL states:</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Based upon my investigations in relation to various land dealings involving TVL it appears that there was a systematic pattern whereby land owned or paid for by TVL would be transferred to numbered companies usually incorporated by the same lawyer and the lands would then be mortgaged to Westminster Savings Credit Union ("WSCU"). Typically the companies that took title to the lands would be investors in TVL or persons which I would describe as being close to Ralph Taylor. In most cases the numbered company that acquired the lands did not advance any "new" money or pay the stated purchase price for the lands. Thereafter TVL would pay the costs associated with the lands.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my belief that this scheme for the holding of title to these lands was designed to avoid the lending limits that WSCU required TVL or its related borrowers to adhere to.</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addition, there appears to be a scheme or arrangement whereby TVL would buy properties, mortgage them (often to WSCU) and then transfer them to a numbered company at an "inflated" or stepped up price and re-mortgage them (again to WSCU) based upon appraisals done invariably by the same appraiser. These appraisals appear to be difficult to justify having regard for the amounts paid for the lands and the amounts they appeared to be worth in 1998.</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my belief that the Plaintiff in this action will be able to prove that 491503 held these lands on a trust or under such a scheme and that the scheme can be demonstrated to have caused injury, loss and damage to TVL's creditors and investors.</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Moreover, it is of importance that the determination of the "ownership" of these lands and the other lands which were transferred to the numbered companies be considered in such a way so as to demonstrate the widespread pattern set out above of transfer of title of assets owned by TVL, which were purchased with investor's funds, and which have now ended up in the hands of a few persons.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his June 4, 1999 affidavit, Herb Cowan, the Vice-President of the former Trustee and Receiver and Manager of TVL, states:</w:t>
      </w:r>
      <w:r>
        <w:rPr>
          <w:rFonts w:ascii="arial" w:eastAsia="arial" w:hAnsi="arial" w:cs="arial"/>
          <w:sz w:val="20"/>
          <w:lang w:val="en-US" w:eastAsia="en-US" w:bidi="ar-SA"/>
        </w:rPr>
        <w:cr/>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Based upon the records of TVL in the possession of the Receiver Manager it appears that on March 8, 1995 TVL transferred title to the lands to 491503 B.C. Ltd. ("491503") for no apparent consideration notwithstanding the fact that TVL had paid substantial amounts for option payments to acquire the lands and TVL had significant equity in the lands and the stated purchase price by 491503 was $1,000,000. It appears that on or about that date the lands were mortgaged to Westminster Savings Credit Union ("WSCU") for approximately $465,000 on registration of this mortgage the proceeds of $459,082.85 were paid to TVL. There is no record that the balance of the purchase price was paid by 491503 to TVL. 491503 is a company controlled by Alan McLean who I understand was an investor in TVL.</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Based upon the records of TVL it appears that subsequent to the transfer to 491503, TVL paid all expenses in relation to the lands and paid the mortgage instalments due to QWSCU until TVL became incapable of paying its obligations.</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Upon the appointment of the Receiver Manager it was determined that 491503 transferred the lands to the defendant [545959] which is a company controlled by Darryl Howlett. The records of TVL did not disclose the reasons for such transfer and the records did not disclose the payment of money to TVL despite the apparent substantial equity in the lands.</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Based upon its investigations, the Receiver Manager formed the opinion that 491503 held the lands on a trust for TVL and that the subsequent transfer of the lands to the defendant was in breach of trust or was a fraudulent conveyance. The Receiver Manager commenced a prior action to assert its position for the benefit of TVL and its creditors and of investors.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POSITION OF 545959 AND MR. HOWLETT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his May 13, 1999 affidavit, Darryl Howlett as President and Director of 545959, states that he and his family began to make investments with Mr. Ralph Taylor, the principal of TVL in May, 1990, that he had known Mr. Taylor for over 25 years, that he had been involved in business with him over the years and that he had taken title to two other properties in the name of companies where he was the sole shareholder during the years he invested in properties with Mr. Taylor. Regarding the Walnut Grove Lands, Mr. Howlett states in his May 13, 1999 affidavit:</w:t>
      </w:r>
      <w:r>
        <w:rPr>
          <w:rFonts w:ascii="arial" w:eastAsia="arial" w:hAnsi="arial" w:cs="arial"/>
          <w:sz w:val="20"/>
          <w:lang w:val="en-US" w:eastAsia="en-US" w:bidi="ar-SA"/>
        </w:rPr>
        <w:cr/>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During the course of 1993 until in or about 1998 I was involved with Mr. Taylor in developing the Walnut Grove subdivision. In particular, I used my contacts with municipal authorities, engineers, other realtors and other developers to assist in obtaining zoning approval, subdivision approval, site services and all things necessary for a new residential and commercial development. There were a number of public hearings and negotiations which required substantial hours of my time. Mr. Taylor was unable to devote time to the development of Walnut Grove, so I basically acted as the owner's representative and developer of the properties. I incurred numerous expenditures for architectural fees; property taxes; an appraisal; the 1998 property taxes; mortgage payments' engineer's fees; and, insurance.</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At a certain point, the lots were owned by a numbered company, 491503 B.C. Ltd., which wanted to divest itself of its interest in properties in Walnut Grove. I had been pressing for collateral for my investments with TVL as the Chilliwack development was proceeding slowly and the Walnut Grove lots were closer to market. I was going to pull out my investments in TVL. Mr. Taylor asked me whether I would be prepared to take title to certain lots in the Walnut Grove subdivision and take over the mortgage with the Westminster Savings Credit Union on the properties. I agreed and decided I was prepared to carry on with my investment with TVL in exchange for the Walnut Grove lots.</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Taylor asked me to enter into an arrangement similar to the arrangement we had made with respect to the Chilliwack property, that is I would carry on assisting with the development of the particular Walnut Grove properties which were to be put in the name of my numbered company, would obtain the listings on those properties, and would sell the properties at the best possible prices.</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or about October 22, 1997, the company controlled by Alan McLean, 491503 B.C. Ltd. transferred its interest in two lots in the Walnut Grove area to 545959 B.C. Ltd. One lot was subsequently subdivided by me into seven separate lots, which are the subject of this proceeding.</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was the intention of Mr. Taylor and myself that I would have both legal and beneficial ownership to the Walnut Grove property, firstly as collateral for the investments by my family and I in Taylor Ventures, and secondly as a joint venture partner with TVL. The terms of the joint venture were that once the Walnut Grove property had been sold, the proceeds of the sale of the property would be divided as follows:</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first to repay any mortgage or liens on the property;</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to provide me with security for my exposure on my personal guarantee on the Chilliwack properties;</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to repay the investments my family and I had made in TVL;</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to repay myself for any expenses incurred in owning, maintaining and redeveloping the Walnut Grove properties, as well as or any expenses incurred in owning, maintaining and developing the Chilliwack properties;</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profits would then be split in an equitable manner between myself and TVL, taking into consideration how much work would have been done by me to bring the lots to market.</w:t>
      </w:r>
    </w:p>
    <w:p>
      <w:pPr>
        <w:numPr>
          <w:numId w:val="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was always my understanding that if TVL defaulted on our joint venture agreement or failed to repay my investment to me, then the Walnut Grove property would be mine to deal with or sell as I chose.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his June 16, 1999 affidavit, Darryl Howlett states:</w:t>
      </w:r>
      <w:r>
        <w:rPr>
          <w:rFonts w:ascii="arial" w:eastAsia="arial" w:hAnsi="arial" w:cs="arial"/>
          <w:sz w:val="20"/>
          <w:lang w:val="en-US" w:eastAsia="en-US" w:bidi="ar-SA"/>
        </w:rPr>
        <w:cr/>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Around the middle of 1996 I advised Mr. Taylor that I was contemplating redeeming my investments in Taylor Ventures Ltd. and I explained to him my concerns set out in paragraph 2 above. Mr. Taylor suggested the arrangement as set out in my affidavit of Mary 13, 1999 at paragraphs 6 to 10. However, the transfer of the property did not take place until October 1997 for a couple of reasons.</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One reason was that the Langley property had to be subdivided so the lots were not created right away. Another reason had to do with the choice of lots. I had many discussions with Mr. Taylor and others involved as to the best development options, before we settle upon the lots which were transferred to my company.</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Regarding the period of time leading up to Taylor Ventures Ltd. going into receivership, I did not believe Taylor Ventures Ltd. was insolvent. I knew Taylor Ventures Ltd. was unable to make some payments and was having difficulties with some investors redeeming their shares, but I believed, based on my conversations with Ralph Taylor, that Taylor Ventures Ltd. had enough in assets to satisfy all demands and pay everyone off. The problem, as I understand it, was that Taylor Ventures Ltd. could not simply sell all of its assets at once to do so.</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meetings with the investors at Ralph Taylor's home, I suggested to Mr. Taylor that he should contact a receiver. I recommended that he contact the offices of Coopers &amp; Lybrand, who ultimately did become the receiver. I did so because I believed this would be the best way to deal with Mr. Taylor's problems. I did not believe that Mr. Taylor had done anything improper or fraudulent. I simply believed that he was unable to resolve his problems without professional assistance. I attended the initial meeting with Coopers &amp; Lybrand and Mr. Taylor. At that time it was not suggested that Taylor Ventures Ltd. was insolvent. Rather, it was suggested that once all the property was sold that perhaps all investors would be paid out. The main concern expressed by the representatives of Coopers &amp; Lybrand had to do with Taylor Ventures Ltd.'s problems concerning failing to comply with securities regulations for the sale of the shares.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his May 27, 1999 and June 3, 1999 examinations for discovery, Mr. Howlett was asked the following questions and gave the following answers relating to the Walnut Grove Lands: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Do you know what insolvent means?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Unable to meet your financial obligations is my understanding of it, or unable to pay your debts.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All right. That's a good --. That's a good starting point. When did you become aware that Taylor Ventures was insolvent?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I'm not certain of the date.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as it in August of 1997?</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It was later.</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His financial situation began to unravel in the fall of 1997.</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Relating to a meeting in November of 1997 where there was a discussion in the presence of Mr. Taylor regarding the insolvency of TVL, Mr. Howlett was asked the following questions and gave the following answers at his May 27 and June 3, 1999 examinations for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discussion at your dinner with Ralph and John McLean [not related to Mr. Al McLean of 491503] was the insolvency of TVL, was it not?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At that particular point in time there was discussion of -- the meeting that we had with Coopers Lybrand prior to John McLean coming on board, which was just right after that meeting we had in Coopers Lybrand office, was to discuss alternatives. And at that particular point, I forget how they described it, but in essence it -- I forget what they called it. I don't remember. But it was not a bankruptcy. It was some form of receivership.</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Or a proposal of bankruptcy?</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At his May 27 and June 3, 1999 examinations for discovery, Mr. Howlett was also questioned about the suggestion that various properties were put into the names of others in order that Westminster financing might be available. Mr. Howlett was asked the following questions and gave the following answers at those examinations for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were you involved or did you have knowledge or were you the architect or did you know nothing? And by architect I mean architect of the transaction where Al McLean's company took title to those properties.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didn't know the circumstances, other than I was told that several of these properties were transferred into other people's names for the purpose of financing.</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 said that part of the purpose was to assist in raising mortgage financing. Why was--. Why did they have to go through those types of transactions to raise mortgage financing?</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My understanding of it was that Taylor was at his limit with - Westminster Credit Union was his primary lender. And as --. These properties, as titles transferred, in most cases they were tied up under option, and option payments were made, and eventually the titles have been cleared and transferred into, quote, "TVL's" name. Now I didn't have any knowledge of this initially. You brought up Ken Hick's name. [An associate of Mr. Howlett at Re/Max Treeland Realty.] And he provides me with a lot of information. And the way these sales come through on our statistics through the land registry. So did you sell the property? No. So it was in a, quote, "foreigner's" name, people I didn't know.</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these people are holding the property for the benefit of TVL?</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Yeah. Now, the mortgaging that was put on here really wasn't all that far out of whack as far as dollar volume was concerned. I'm not certain that this whole piece here ultimately only had about 1.5 million on it, and it sold for in excess of seven and a half. So let's suppose that Taylor had optioned it for 1.2, or something like that, and completed on it three years down the road, he would have property taxes and architectural fees and engineering fees and survey fees and so on and so forth. So he may - he may have recovered money here. I don't know that he --. I don't know whether he pulled any, you know, amount beyond costs.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didn't he tell you that that was why it was done in that way?</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He did tell me that the reason he was doing that was that he was at his limit, and he had discussed this scenario or formula or whatever with the credit union, and they found it acceptable.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did he discuss it with Gary Thomas?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As far as I know he did.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Was security for your investment a primary motivating factor for taking title to the lands that Al McLean's company owned?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It was one of. I don't know that it was primary.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Did Mr. [Al] McLean say that he was simply - his company was simply holding this property in trust for TVL?</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didn't discuss it with him at that time. But subsequent to that, I don't know. That's what I believe.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It doesn't make any sense to me.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Taylor did. Taylor said he [Mr. Al McLean] was holding it in trust for Taylor.</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Oh, I see. So Ralph Taylor told you - and let's try to pin down a time. Did Ralph Taylor tell you in October of '97 that Al McLean's company was holding those two properties in trust for TVL?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Long before.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Long before?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Long before.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What discussions did you have with Mike Oliver [solicitor of TVL and Mr. Taylor] about the transfer of that property from Al McLean's company to your company</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It was very limited. He said one, who's signing the disclosure as far as PST is concerned? I said I will. Who is paying the property purchase tax? I said I am.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that was it?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 was it.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But did he inquire why you were getting the benefit of this property as opposed to Taylor Ventures?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Taylor had instructed him.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Taylor had previously instructed Mike Oliver to prepare the necessary documents to effect the conveyance from McLean's company to your company?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As far as I know, 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Ralph Taylor was examined for discovery in Action No. C984815 and Action No. C984811 on April 23, 1999. The questions and answers pertinent to the Walnut Grove Lands are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then we come to, now it says that his company [the company of Mr. McLean, 491503] did not pay any money for the acquisition of legal title to the land amalgamated, the Barril land, amalgamated with the Hans-Johnson land?</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That was another deal where the property was transferred to him for mortgage arrangements because the Taylor Ventures had a $3 million limit. So the property was transferred to him, and he got the mortgage, and Taylor Ventures got the benefit of that mortgage money, and then he got the benefit of security for his shares.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Great. Okay.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Same as Howlett. They're all the same basically. Except on Howlett's, he did all the work.</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What was Mr. Howlett's role at Walnut Grove?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Basically the same as Chilliwack. He was to do most of the City Hall work.</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Yup?</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work with the architect and the engineer and Fisheries and environment. He was to do all that kind of thing.</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difference being, mind you, with Chilliwack, he's pretty much doing it on his own. Whereas with Walnut Grove, you had done a lot of that work already and he was helping you out?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had done some of it, yes. And he had worked on it for several years.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I'm not going to go through paragraph to paragraph of this Hans-Johnson land where we've got the various situations. When McLean's company transferred the land to Howlett's company, that was obviously at your request that that be done?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That was at McLean's request.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Why was that, Did he tell you?</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Because he was working for Erin Mortgage, and Erin Mortgage was being sued, and he figured that he would be sued as well. So that would tie up the property, right?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Umhum. Had Howlett told you at any point in time and through all this that before you transferred the land to him, that he wanted to get some security for his investment?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Did he say anything to you ever like, Gee, if I don't get some security, I'm going to have to pull my money out or redeem or anything?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he did redeem some.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Is that part of the reason you gave him security, so he wouldn't redeem the rest?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And for the work he had some because I hadn't paid him. Like, I owed him for his work and couldn't pay, and he wanted to redeem some shares which I couldn't pay. So I gave him land as collateral.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DISCUSSION AND CASE AUTHORITIES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After consideration of all of the materials before me, I am satisfied that this is not an appropriate matter to be dealt with pursuant to the provisions of Rule 18A. Firstly, summary trials under this rule are not well suited to factually complex cases: Cannaday v. Tod Mountain Development Ltd. </w:t>
      </w:r>
      <w:hyperlink r:id="rId289" w:history="1">
        <w:r>
          <w:rPr>
            <w:rFonts w:ascii="arial" w:eastAsia="arial" w:hAnsi="arial" w:cs="arial"/>
            <w:i/>
            <w:color w:val="0077CC"/>
            <w:sz w:val="20"/>
            <w:u w:val="single"/>
            <w:shd w:val="clear" w:color="auto" w:fill="FFFFFF"/>
            <w:lang w:val="en-US" w:eastAsia="en-US" w:bidi="ar-SA"/>
          </w:rPr>
          <w:t>(1998) 44 B.C.L.R. (3d) 195</w:t>
        </w:r>
      </w:hyperlink>
      <w:r>
        <w:rPr>
          <w:rFonts w:ascii="arial" w:eastAsia="arial" w:hAnsi="arial" w:cs="arial"/>
          <w:color w:val="000000"/>
          <w:sz w:val="20"/>
          <w:lang w:val="en-US" w:eastAsia="en-US" w:bidi="ar-SA"/>
        </w:rPr>
        <w:t xml:space="preserve"> (B.C.C.A.). Secondly, the issues raised in this action are interrelated to a number of other actions of which I am the trial judge as well as the case management judge. The complex nature of the transactions which are alleged by the Trustee to constitute a "scheme" involving Mr. Taylor and various others including Messrs. McLean and Howlett are such that it would be inappropriate to deal with this matter outside the context of the various other actions commenced by or on behalf of the Trustee or as against the Trustee arising out of the "scheme" alleged. In this regard, see Honeywell Ltd. v. British Columbia Buildings Corp. </w:t>
      </w:r>
      <w:hyperlink r:id="rId290" w:history="1">
        <w:r>
          <w:rPr>
            <w:rFonts w:ascii="arial" w:eastAsia="arial" w:hAnsi="arial" w:cs="arial"/>
            <w:i/>
            <w:color w:val="0077CC"/>
            <w:sz w:val="20"/>
            <w:u w:val="single"/>
            <w:shd w:val="clear" w:color="auto" w:fill="FFFFFF"/>
            <w:lang w:val="en-US" w:eastAsia="en-US" w:bidi="ar-SA"/>
          </w:rPr>
          <w:t>(1998) 45 B.C.L.R. (3d) 201</w:t>
        </w:r>
      </w:hyperlink>
      <w:r>
        <w:rPr>
          <w:rFonts w:ascii="arial" w:eastAsia="arial" w:hAnsi="arial" w:cs="arial"/>
          <w:color w:val="000000"/>
          <w:sz w:val="20"/>
          <w:lang w:val="en-US" w:eastAsia="en-US" w:bidi="ar-SA"/>
        </w:rPr>
        <w:t xml:space="preserve"> (B.C.C.A.).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Thirdly, I am not satisfied that I am presently in a position to find the facts necessary to determine the issues between the parties. To grant judgment for or against the defendant or the plaintiff might well lead to an unjust result at this point. In this regard, see Inspiration Management Ltd. v. McDermid St. Lawrence Ltd. </w:t>
      </w:r>
      <w:hyperlink r:id="rId291" w:history="1">
        <w:r>
          <w:rPr>
            <w:rFonts w:ascii="arial" w:eastAsia="arial" w:hAnsi="arial" w:cs="arial"/>
            <w:i/>
            <w:color w:val="0077CC"/>
            <w:sz w:val="20"/>
            <w:u w:val="single"/>
            <w:shd w:val="clear" w:color="auto" w:fill="FFFFFF"/>
            <w:lang w:val="en-US" w:eastAsia="en-US" w:bidi="ar-SA"/>
          </w:rPr>
          <w:t>(1989), 36 B.C.L.R. (2d) 202</w:t>
        </w:r>
      </w:hyperlink>
      <w:r>
        <w:rPr>
          <w:rFonts w:ascii="arial" w:eastAsia="arial" w:hAnsi="arial" w:cs="arial"/>
          <w:color w:val="000000"/>
          <w:sz w:val="20"/>
          <w:lang w:val="en-US" w:eastAsia="en-US" w:bidi="ar-SA"/>
        </w:rPr>
        <w:t xml:space="preserve"> (B.C.C.A.). Specifically, I am not in a position to determine whether Mr. Howlett was aware of the trust arrangement between 491503 and TVL, whether Mr. Howlett or 545959 at any time acknowledged that the Property was being held in trust by 545959 for TVL, the exact nature of what Mr. Howlett refers to as a "joint venture agreement", whether the intent of the parties was such as to prefer Mr. Howlett or 545959 over other creditors of TVL, what was meant by Mr. Howlett by his statement that: "... if TVL defaulted on our joint venture agreement or failed to repay my investment to me, then the Walnut Grove property would be mine to deal with or sell as I choose", if there has been a default or whether there is any lingering balance owing by 545959 to TVL as a result of the transfer of the Walnut Grove Lands to 545959.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Fourthly, I am satisfied that it is inappropriate to determine the credibility of the position advanced by Mr. Howlett on the basis only of his affidavits and his examinations for discovery. It is obviously the case that the Trustee has no personal knowledge of the facts upon which the "scheme" alleged was structured and of the knowledge or lack of knowledge of Mr. Howlett relating to the same. I am satisfied that it will only be after the court has heard the testimony of the appraiser, Mr. Thomas formerly of Westminster, Mr. Howlett, Mr. Oliver the former lawyer for Mr. Taylor and TVL, Mr. McLean, Mr. Taylor and others having personal knowledge of these matters that the credibility of Mr. Howlett can be determined along with the question of whether there was a fraudulent conveyance and/or a fraudulent preference. The affidavits alone are not sufficient in this case. The allegation of fraudulent conveyance and/or fraudulent preferences necessarily involve a determination of the intent of the parties and it is difficult to see how such a determination would be made on the basis of affidavit evidence alone.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In MacMillan Bloedel Ltd. v. B.C. Hydro &amp; Power Authority </w:t>
      </w:r>
      <w:hyperlink r:id="rId292" w:history="1">
        <w:r>
          <w:rPr>
            <w:rFonts w:ascii="arial" w:eastAsia="arial" w:hAnsi="arial" w:cs="arial"/>
            <w:i/>
            <w:color w:val="0077CC"/>
            <w:sz w:val="20"/>
            <w:u w:val="single"/>
            <w:shd w:val="clear" w:color="auto" w:fill="FFFFFF"/>
            <w:lang w:val="en-US" w:eastAsia="en-US" w:bidi="ar-SA"/>
          </w:rPr>
          <w:t>(1992), 72 B.C.L.R. (2d) 273</w:t>
        </w:r>
      </w:hyperlink>
      <w:r>
        <w:rPr>
          <w:rFonts w:ascii="arial" w:eastAsia="arial" w:hAnsi="arial" w:cs="arial"/>
          <w:color w:val="000000"/>
          <w:sz w:val="20"/>
          <w:lang w:val="en-US" w:eastAsia="en-US" w:bidi="ar-SA"/>
        </w:rPr>
        <w:t xml:space="preserve"> (B.C.C.A.), it was said that it was appropriate to resolve proceedings under Rule 18A where the facts were fully set out in affidavits and the only issue was the inference to be drawn upon those facts. In this case, I cannot be satisfied that further examinations for discovery, further production of documents, and the calling of evidence at trial would only serve to confirm the facts which are not in dispute. While there are many facts which are not in dispute, it is the knowledge and the intent of the parties which are in dispute. I am satisfied that it would be unjust to proceed to have these matters heard pursuant to Rule 18A without running the potential of doing a grave injustice to the parties. Accordingly, the application of the defendant for judgment is dismissed as is the request for an order that the Certificate of Pending Litigation filed against the Walnut Grove Lands be cancelled.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545959 also applies for an order deleting paragraph 7 of the January 22, 1998 order of Mr. Justice Cohen so that the Trustees would be "personally liable for any damages or costs it or the Plaintiff is adjudged or ordered to pay to the Defendant, including by way of any counterclaim hereinafter commenced" and so that the liability of the Trustees would no longer be limited to the aggregate of the net cash proceeds realized by the Trustees after deducting its fees and disbursements and would no longer be limited to situations where the Trustees had shown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wilful misconduct. Regarding that request and regarding the request that the plaintiff post the sum of $20,000 as security for the costs of the defendant in this action, I can make no finding at this time in support of the positions taken by 545959.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question of whether the plaintiff will be successful or unsuccessful will have to await the trial of this matter. It is only appropriate that the question of costs be raised at that time. While there is ample support for the proposition that the trustee of a bankrupt estate might be personally liable to pay the costs of a successful defendant, that consideration should only be made after the outcome of the trial is known and after submissions have been received regarding the question of costs. The consideration of the liability of either the Receiver and Manager or of the Trustees in Bankruptcy of TVL for the costs of the defendant must await a determination of the issues as between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BURNYEAT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99" style="position:absolute;z-index:25185177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93"/>
          <w:headerReference w:type="default" r:id="rId294"/>
          <w:footerReference w:type="even" r:id="rId295"/>
          <w:footerReference w:type="default" r:id="rId296"/>
          <w:headerReference w:type="first" r:id="rId297"/>
          <w:footerReference w:type="first" r:id="rId29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99" w:history="1">
        <w:r>
          <w:rPr>
            <w:rFonts w:ascii="arial" w:eastAsia="arial" w:hAnsi="arial" w:cs="arial"/>
            <w:b/>
            <w:bCs/>
            <w:i/>
            <w:color w:val="0077CC"/>
            <w:kern w:val="32"/>
            <w:sz w:val="28"/>
            <w:szCs w:val="32"/>
            <w:u w:val="single"/>
            <w:shd w:val="clear" w:color="auto" w:fill="FFFFFF"/>
            <w:lang w:val="en-US" w:eastAsia="en-US" w:bidi="ar-SA"/>
          </w:rPr>
          <w:t>Terastream Networks Inc. v. Grossholz, [2018] B.C.J. No. 978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Iyer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28,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24,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S173930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[2018] B.C.J. No. 978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2018 BCSC 837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Terastream Networks Inc., Plaintiff, and William John Grossholz, David Owen, Daryl Harley Charles Burge, Karim Lakhani, Terastream Communications Ltd., White Space Technologies Inc., Advanced Interactive Canada Inc., Terastream Broadband Inc., and Terastream Broadband (SK) Corp., Defendants, and Terastream Networks Inc. and Leonard Clough, Defendants by Counterclaim</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00" style="position:absolute;z-index:2516736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99" w:name="Keywords_14"/>
      <w:bookmarkEnd w:id="99"/>
      <w:r>
        <w:rPr>
          <w:rFonts w:ascii="arial" w:eastAsia="arial" w:hAnsi="arial" w:cs="arial"/>
          <w:b/>
          <w:color w:val="000000"/>
          <w:sz w:val="20"/>
          <w:lang w:val="en-US" w:eastAsia="en-US" w:bidi="ar-SA"/>
        </w:rPr>
        <w:t>Commercial law — Personal property — Replevin — Application by plaintiff for return of property pending outcome of claim dismissed — Plaintiff intended to license technology developed by one defendant to deliver wireless fibre-like broadband services — Two defendants were in possession of cable modem termination system and another was in possession of truck — Plaintiff sought return of CMTS and truck, which were modified and equipped with technology so as to deliver services, in their original state — There was no evidence that preserving status quo would threaten CMTS or truck — Supreme Court Rules, Rule 10-1(4).</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00" w:name="Case Summary_13"/>
            <w:bookmarkEnd w:id="10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plaintiff for the return of property pending the outcome of the claim. The plaintiff telecommunications company intended to license technology developed by one defendant to deliver wireless fibre-like broadband services to rural areas. Two defendants were in the possession of a cable modem termination system and another was in the possession of a truck. The plaintiff sought the return of the CMTS and the truck, which were modified and equipped with the technology so as to deliver the services, in their original state.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01" w:name="Holdings of Court_10"/>
            <w:bookmarkEnd w:id="101"/>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There was no evidence that preserving the status quo would threaten the CMTS or the truck. The plaintiff's notice of application stated that one of the defendants with the CMTS was storing it secure from anyone accessing it and that the truck was in the possession of the defendant who had it. The defendants with the CMTS confirmed that it was in their possession for safekeeping and maintenance and that they had no interest in it and would deliver it to the rightful owner. The defendant with the truck deposed that he had it in safekeeping, that it was not being used and that he was making any required payments on it.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02" w:name="Legislation Cited_14"/>
      <w:bookmarkEnd w:id="10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01" style="position:absolute;z-index:2517248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Law and Equity Act, </w:t>
      </w:r>
      <w:hyperlink r:id="rId300" w:history="1">
        <w:r>
          <w:rPr>
            <w:rFonts w:ascii="arial" w:eastAsia="arial" w:hAnsi="arial" w:cs="arial"/>
            <w:i/>
            <w:color w:val="0077CC"/>
            <w:sz w:val="20"/>
            <w:u w:val="single"/>
            <w:shd w:val="clear" w:color="auto" w:fill="FFFFFF"/>
            <w:lang w:val="en-US" w:eastAsia="en-US" w:bidi="ar-SA"/>
          </w:rPr>
          <w:t>R.S.B.C. 1996, c. 253, s. 57</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Supreme Court Rules, B.C. Reg. 3/2016, Rule 10-1, Rule 10-1(1), Rule 10-1(4), Rule 10-1(5)</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03" w:name="Counsel_14"/>
      <w:bookmarkEnd w:id="103"/>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02" style="position:absolute;z-index:2517760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Plaintiff/Defendant by Counterclaim, Terastream Networks Inc.: J. Shewfelt, A. Baron.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Defendants, William Grossholz, David Owen, Terastream Communications Ltd., White Space Technologies, Terastream Broadband Inc., and Terastream Broadband (SK) Corp.: M.D. Shirreff.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Defendants, Karim Lakhani and Advanced Interactive Canada Ltd.: A. Crabtree.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by Counterclaim, Leonard Clough: J. Shewfelt.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04" w:name="Judgment_14"/>
      <w:bookmarkEnd w:id="104"/>
      <w:r>
        <w:pict>
          <v:line id="_x0000_s1103" style="position:absolute;z-index:25182720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APPLICABLE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DISCUSSION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3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05" w:name="IYER J."/>
            <w:bookmarkEnd w:id="105"/>
            <w:r>
              <w:rPr>
                <w:rFonts w:ascii="arial" w:eastAsia="arial" w:hAnsi="arial" w:cs="arial"/>
                <w:b/>
                <w:color w:val="000000"/>
                <w:sz w:val="30"/>
                <w:lang w:val="en-US" w:eastAsia="en-US" w:bidi="ar-SA"/>
              </w:rPr>
              <w:t>IYER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In this application, the plaintiff, Terastream Networks Inc. ("Networks") seeks orders compelling the defendants to return property in their possession pending the outcome of Terastream's civil claim against the defendants filed on April 27, 2017.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Networks is a telecommunications company that was created as an investment vehicle for a venture that did not proceed. It was intended to deliver wireless fibre-like broadband services to rural areas in British Columbia, Alberta and Saskatchewan, where there is no access to wireless internet ("Services"). The defendant White Space Technologies ("White Space") developed the specific wireless fibre technology ("Technology") that made the Services possible. Networks intended to license the Technology.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property that is the subject of this application consists of a cable modem termination system ("CMTS") and a Mercedes Benz Sprinter Truck ("Truck"), both of which have been modified and equipped with the Technology so as to deliver the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CMTS is presently in the possession of the defendants Advanced Interactive Canada Inc. ("Advanced"), and Karim Lakhani, who is the CEO of Advanced. The Truck is in the possession of the defendant Daryl Harley Charles Burge. Mr. Burge worked as a consultant with Networks.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Prior to his termination, the defendant William John Grossholz was the Chief Financial Officer of Networks and was one of its directors. Prior to his termination, the defendant David Owen was the Chief Technology Officer of Networks. Mr. Grossholz and Mr. Owen are officers and directors of White Space, and of the defendants Terastream Broadband Inc. ("Broadband"), Terastream Communications Ltd. ("Communications"), and Terastream Broadband (SK) Corp. ("Broadband 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In the underlying action, Terastream sues Mr. Grossholz and Mr. Owen for breach of fiduciary duty, fraudulent misrepresentation,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and knowing receipt, and makes related claims against the other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As noted the CMTS and the Truck have been modified with the Technology. Essentially, Networks seeks an unconditional order for return of the CMTS and the Truck in the state they were in at the time they were originally delivered to Networks. That would require removal of the Technology and repair of any other modifications.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Applicable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There is no dispute about the applicable law. Rules 10-1(1), (4) and (5) of the Supreme Court Rules, B.C. Reg. 3/2016, provide for the return of property pending the outcome of a proceeding,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Rule 10-1 -- Detention, Preservation and Recovery of Property</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Property that is the subject matter of a proceeding</w:t>
      </w:r>
      <w:r>
        <w:rPr>
          <w:rFonts w:ascii="arial" w:eastAsia="arial" w:hAnsi="arial" w:cs="arial"/>
          <w:sz w:val="20"/>
          <w:lang w:val="en-US" w:eastAsia="en-US" w:bidi="ar-SA"/>
        </w:rPr>
        <w:cr/>
      </w:r>
    </w:p>
    <w:p>
      <w:pPr>
        <w:numPr>
          <w:numId w:val="9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may make an order for the detention, custody or preservation of any property that is the subject matter of a proceeding or as to which a question may arise and, for the purpose of enabling an order under this rule to be carried out, the court may authorize a person to enter on any land or building.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Fund that is the subject matter of a proceeding</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right of a party to a specific fund is in dispute in a proceeding, the court may order the fund to be paid into court or otherwise secured.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Allowance of income from property</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property is the subject matter of a proceeding and the court is satisfied that the property will be more than sufficient to answer all claims on it, the court at any time</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may allow the whole or part of the income of the property to be paid, during such period as the court may direct, to a party who has an interest in it, or</w:t>
      </w:r>
    </w:p>
    <w:p>
      <w:pPr>
        <w:numPr>
          <w:numId w:val="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case of personal property, may order that part of the personal property be delivered or transferred to a party.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Recovery of specific property</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a party claims the recovery of specific property other than land, the court may order that the property claimed be given up to the party, pending the outcome of the proceeding, either unconditionally or on terms and conditions, if any, relating to giving security, time, mode of trial or otherwise.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Compensation for wrongful recovery</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Unless the court otherwise orders, if an order is made under subrule (4) in favour of a party, the order must contain the party's undertaking to abide by any order that the court may make as to damages arising out of delivery of the property to the party or compliance with any other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Section 57 of the </w:t>
      </w:r>
      <w:r>
        <w:rPr>
          <w:rFonts w:ascii="arial" w:eastAsia="arial" w:hAnsi="arial" w:cs="arial"/>
          <w:i/>
          <w:color w:val="000000"/>
          <w:sz w:val="20"/>
          <w:lang w:val="en-US" w:eastAsia="en-US" w:bidi="ar-SA"/>
        </w:rPr>
        <w:t>Law and Equity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253</w:t>
      </w:r>
      <w:r>
        <w:rPr>
          <w:rFonts w:ascii="arial" w:eastAsia="arial" w:hAnsi="arial" w:cs="arial"/>
          <w:color w:val="000000"/>
          <w:sz w:val="20"/>
          <w:lang w:val="en-US" w:eastAsia="en-US" w:bidi="ar-SA"/>
        </w:rPr>
        <w:t>,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Recovery of property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57 (1) In an action for the recovery of specific property, other than land, the court may, if it considers it just and on any terms as to security or otherwise it considers just, order the person from whom recovery of the property is claimed to surrender it to the claimant pending the outcome of the action.</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an order is made under subsection (1) and the action is dismissed,</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claimant must</w:t>
      </w:r>
    </w:p>
    <w:p>
      <w:pPr>
        <w:numPr>
          <w:numId w:val="10"/>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return the property to the person who surrendered it, and</w:t>
      </w:r>
    </w:p>
    <w:p>
      <w:pPr>
        <w:numPr>
          <w:numId w:val="11"/>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compensate that person for any loss suffered or damage sustained by that person because of that person's surrender of the property or compliance with another order respecting the property, and</w:t>
      </w:r>
    </w:p>
    <w:p>
      <w:pPr>
        <w:numPr>
          <w:numId w:val="1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may order that any security provided by or on behalf of the claimant under subsection (1) be applied in payment of the compensation for loss or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These provisions codify the interim injunctive remedy of replevin. Their purpose is to ensure that the property that is in issue not damaged or destroyed prior to trial: </w:t>
      </w:r>
      <w:r>
        <w:rPr>
          <w:rFonts w:ascii="arial" w:eastAsia="arial" w:hAnsi="arial" w:cs="arial"/>
          <w:i/>
          <w:color w:val="000000"/>
          <w:sz w:val="20"/>
          <w:lang w:val="en-US" w:eastAsia="en-US" w:bidi="ar-SA"/>
        </w:rPr>
        <w:t>Laxton v. Coglon</w:t>
      </w:r>
      <w:r>
        <w:rPr>
          <w:rFonts w:ascii="arial" w:eastAsia="arial" w:hAnsi="arial" w:cs="arial"/>
          <w:color w:val="000000"/>
          <w:sz w:val="20"/>
          <w:lang w:val="en-US" w:eastAsia="en-US" w:bidi="ar-SA"/>
        </w:rPr>
        <w:t xml:space="preserve">, </w:t>
      </w:r>
      <w:hyperlink r:id="rId301" w:history="1">
        <w:r>
          <w:rPr>
            <w:rFonts w:ascii="arial" w:eastAsia="arial" w:hAnsi="arial" w:cs="arial"/>
            <w:i/>
            <w:color w:val="0077CC"/>
            <w:sz w:val="20"/>
            <w:u w:val="single"/>
            <w:shd w:val="clear" w:color="auto" w:fill="FFFFFF"/>
            <w:lang w:val="en-US" w:eastAsia="en-US" w:bidi="ar-SA"/>
          </w:rPr>
          <w:t>2006 BCCA 178</w:t>
        </w:r>
      </w:hyperlink>
      <w:r>
        <w:rPr>
          <w:rFonts w:ascii="arial" w:eastAsia="arial" w:hAnsi="arial" w:cs="arial"/>
          <w:color w:val="000000"/>
          <w:sz w:val="20"/>
          <w:lang w:val="en-US" w:eastAsia="en-US" w:bidi="ar-SA"/>
        </w:rPr>
        <w:t xml:space="preserve"> at para. 23. Replevin is an exceptional discretionary remedy, granted only in the limited circumstances that would justify granting interlocutory relief (</w:t>
      </w:r>
      <w:r>
        <w:rPr>
          <w:rFonts w:ascii="arial" w:eastAsia="arial" w:hAnsi="arial" w:cs="arial"/>
          <w:i/>
          <w:color w:val="000000"/>
          <w:sz w:val="20"/>
          <w:lang w:val="en-US" w:eastAsia="en-US" w:bidi="ar-SA"/>
        </w:rPr>
        <w:t>Global Coal &amp; Mining Pvt. Ltd. v. CAD Mechanical Services (2003) Ltd.</w:t>
      </w:r>
      <w:r>
        <w:rPr>
          <w:rFonts w:ascii="arial" w:eastAsia="arial" w:hAnsi="arial" w:cs="arial"/>
          <w:color w:val="000000"/>
          <w:sz w:val="20"/>
          <w:lang w:val="en-US" w:eastAsia="en-US" w:bidi="ar-SA"/>
        </w:rPr>
        <w:t xml:space="preserve">, </w:t>
      </w:r>
      <w:hyperlink r:id="rId302" w:history="1">
        <w:r>
          <w:rPr>
            <w:rFonts w:ascii="arial" w:eastAsia="arial" w:hAnsi="arial" w:cs="arial"/>
            <w:i/>
            <w:color w:val="0077CC"/>
            <w:sz w:val="20"/>
            <w:u w:val="single"/>
            <w:shd w:val="clear" w:color="auto" w:fill="FFFFFF"/>
            <w:lang w:val="en-US" w:eastAsia="en-US" w:bidi="ar-SA"/>
          </w:rPr>
          <w:t>2004 BCSC 1495</w:t>
        </w:r>
      </w:hyperlink>
      <w:r>
        <w:rPr>
          <w:rFonts w:ascii="arial" w:eastAsia="arial" w:hAnsi="arial" w:cs="arial"/>
          <w:color w:val="000000"/>
          <w:sz w:val="20"/>
          <w:lang w:val="en-US" w:eastAsia="en-US" w:bidi="ar-SA"/>
        </w:rPr>
        <w:t>, at para. 15). Four considerations guide the court's exercise of discretion (</w:t>
      </w:r>
      <w:r>
        <w:rPr>
          <w:rFonts w:ascii="arial" w:eastAsia="arial" w:hAnsi="arial" w:cs="arial"/>
          <w:i/>
          <w:color w:val="000000"/>
          <w:sz w:val="20"/>
          <w:lang w:val="en-US" w:eastAsia="en-US" w:bidi="ar-SA"/>
        </w:rPr>
        <w:t>Casselman v. Knott</w:t>
      </w:r>
      <w:r>
        <w:rPr>
          <w:rFonts w:ascii="arial" w:eastAsia="arial" w:hAnsi="arial" w:cs="arial"/>
          <w:color w:val="000000"/>
          <w:sz w:val="20"/>
          <w:lang w:val="en-US" w:eastAsia="en-US" w:bidi="ar-SA"/>
        </w:rPr>
        <w:t xml:space="preserve">, </w:t>
      </w:r>
      <w:hyperlink r:id="rId303" w:history="1">
        <w:r>
          <w:rPr>
            <w:rFonts w:ascii="arial" w:eastAsia="arial" w:hAnsi="arial" w:cs="arial"/>
            <w:i/>
            <w:color w:val="0077CC"/>
            <w:sz w:val="20"/>
            <w:u w:val="single"/>
            <w:shd w:val="clear" w:color="auto" w:fill="FFFFFF"/>
            <w:lang w:val="en-US" w:eastAsia="en-US" w:bidi="ar-SA"/>
          </w:rPr>
          <w:t>2016 BCSC 2260</w:t>
        </w:r>
      </w:hyperlink>
      <w:r>
        <w:rPr>
          <w:rFonts w:ascii="arial" w:eastAsia="arial" w:hAnsi="arial" w:cs="arial"/>
          <w:color w:val="000000"/>
          <w:sz w:val="20"/>
          <w:lang w:val="en-US" w:eastAsia="en-US" w:bidi="ar-SA"/>
        </w:rPr>
        <w:t xml:space="preserve"> at para. 18):</w:t>
      </w:r>
      <w:r>
        <w:rPr>
          <w:rFonts w:ascii="arial" w:eastAsia="arial" w:hAnsi="arial" w:cs="arial"/>
          <w:sz w:val="20"/>
          <w:lang w:val="en-US" w:eastAsia="en-US" w:bidi="ar-SA"/>
        </w:rPr>
        <w:cr/>
      </w:r>
    </w:p>
    <w:p>
      <w:pPr>
        <w:numPr>
          <w:numId w:val="1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Does the applicant have a claim on the evidence and not just on the pleadings to a proprietary interest in the property?</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there some evidence to render it reasonable to believe that the property is threatened with disposition or transfer outside the jurisdiction?</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there a substantial question to be decided as to the plaintiff's entitlement to the property?</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Does the balance of convenience favour granting the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 has the burden of proof.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underlying action in this case is complex. It involves a series of related and competitor companies and investment in emerging technologies. As is apparent from the 14 affidavits filed in this application, there are numerous factual issues in dispute. I am mindful that, in deciding this application, I should be very careful about weighing competing evidence (</w:t>
      </w:r>
      <w:r>
        <w:rPr>
          <w:rFonts w:ascii="arial" w:eastAsia="arial" w:hAnsi="arial" w:cs="arial"/>
          <w:i/>
          <w:color w:val="000000"/>
          <w:sz w:val="20"/>
          <w:lang w:val="en-US" w:eastAsia="en-US" w:bidi="ar-SA"/>
        </w:rPr>
        <w:t>Laxton</w:t>
      </w:r>
      <w:r>
        <w:rPr>
          <w:rFonts w:ascii="arial" w:eastAsia="arial" w:hAnsi="arial" w:cs="arial"/>
          <w:color w:val="000000"/>
          <w:sz w:val="20"/>
          <w:lang w:val="en-US" w:eastAsia="en-US" w:bidi="ar-SA"/>
        </w:rPr>
        <w:t>, supra, para. 23). Fortunately, the issues raised in this application do not require me to decide any significantly disputed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There is no dispute that Terastream paid money towards purchase of the CMTS and the lease of the Truck and acquired some interest in them. This is sufficient to establish that it has a claim on the evidence, which is the first consideration. I am also satisfied, with respect to the third question, that there is a serious issue to be tried, based on the conflicting affidavit evidence relating to the relationships between the various corporate entities, their officers and directors, and the various ownership interests in the relevant technologies.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However, the success of this application turns on the second consideration, whether there is some evidence to render it reasonable to believe that the property is threatened with disposition or transfer outside the jurisdiction. In my view, this consideration goes to the heart of why the extraordinary interim remedy of returning disputed property to a party is sometimes appropriate. That occurs when it is reasonable to believe that keeping the property where it is until conclusion of the trial will leave the winning party with a pyrrhic victory because the property and its value to them has been lost.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Terastream did not squarely address this consideration. The focus of its submission was that, as it had led evidence that the CMTS and Truck were its property, and (as it characterized it) the defendants had not established their interest in the property, it had met the test in Rule 10(1)(4).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That is not what the Rule requires. Granting a remedy under this provision requires evidence that leaving the property where it is until completion of the proceedings carries some real danger that it would be damaged, destroyed or lost. For example, in </w:t>
      </w:r>
      <w:r>
        <w:rPr>
          <w:rFonts w:ascii="arial" w:eastAsia="arial" w:hAnsi="arial" w:cs="arial"/>
          <w:i/>
          <w:color w:val="000000"/>
          <w:sz w:val="20"/>
          <w:lang w:val="en-US" w:eastAsia="en-US" w:bidi="ar-SA"/>
        </w:rPr>
        <w:t>Casselman</w:t>
      </w:r>
      <w:r>
        <w:rPr>
          <w:rFonts w:ascii="arial" w:eastAsia="arial" w:hAnsi="arial" w:cs="arial"/>
          <w:color w:val="000000"/>
          <w:sz w:val="20"/>
          <w:lang w:val="en-US" w:eastAsia="en-US" w:bidi="ar-SA"/>
        </w:rPr>
        <w:t>, this court declined to return a disputed vintage truck to the plaintiff, on the basis that the danger that it might be damaged if driven was "speculative in the extreme" (at para. 41). Instead, Dorgan J. made a preservation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Far from establishing that there is any threat to the CMTS or the Truck by keeping them as and where they are prior to completion of the trial, Terastream's application asks the court to change the </w:t>
      </w:r>
      <w:r>
        <w:rPr>
          <w:rFonts w:ascii="arial" w:eastAsia="arial" w:hAnsi="arial" w:cs="arial"/>
          <w:i/>
          <w:color w:val="000000"/>
          <w:sz w:val="20"/>
          <w:lang w:val="en-US" w:eastAsia="en-US" w:bidi="ar-SA"/>
        </w:rPr>
        <w:t>status quo</w:t>
      </w:r>
      <w:r>
        <w:rPr>
          <w:rFonts w:ascii="arial" w:eastAsia="arial" w:hAnsi="arial" w:cs="arial"/>
          <w:color w:val="000000"/>
          <w:sz w:val="20"/>
          <w:lang w:val="en-US" w:eastAsia="en-US" w:bidi="ar-SA"/>
        </w:rPr>
        <w:t xml:space="preserve"> by requiring the CMTS and the Truck be returned to their original factory condition. Terastream acknowledges that this will involve "some difficulty", but maintains that its property interest justifies the order. Its position misconceives the nature of this application. I am not determining ownership of the CMTS and the Truck. I am determining what order is necessary to ensure that, when all of the ownership and other interests have been determined at the conclusion of the proceedings, the property in dispute is able to be disposed of appropriately. "Restoring" the CMTS and Truck to their factory condition would entail removing the Technology and related modifications prior to a determination that this is necessary. There is no evidence at all that preserving the </w:t>
      </w:r>
      <w:r>
        <w:rPr>
          <w:rFonts w:ascii="arial" w:eastAsia="arial" w:hAnsi="arial" w:cs="arial"/>
          <w:i/>
          <w:color w:val="000000"/>
          <w:sz w:val="20"/>
          <w:lang w:val="en-US" w:eastAsia="en-US" w:bidi="ar-SA"/>
        </w:rPr>
        <w:t>status quo</w:t>
      </w:r>
      <w:r>
        <w:rPr>
          <w:rFonts w:ascii="arial" w:eastAsia="arial" w:hAnsi="arial" w:cs="arial"/>
          <w:color w:val="000000"/>
          <w:sz w:val="20"/>
          <w:lang w:val="en-US" w:eastAsia="en-US" w:bidi="ar-SA"/>
        </w:rPr>
        <w:t xml:space="preserve"> will threaten either the CMTS or the Truck in any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Terastream's Notice of Application states that Advanced Interactive is storing the CMTS secure from anyone accessing it, and that the Truck is in the possession of Mr. Burge. In his affidavit, Mr. Burge deposes that he has the Truck in safe keeping, it is not being used, and he is making any required payments on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their responses to civil claim and in the hearing before me, Advanced Interactive and Mr. Lakhani confirmed that the CMTS is in their possession for safekeeping and required maintenance, that they have no interest in it and will deliver it to the rightful owner as agreed by the parties or decided by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At the hearing, I asked counsel for Terastream why a preservation order would not be sufficient. He responded that the only application before the court was that under Rule (10(1)(4), and that the court "should not be embarking on alternative applications" that are not put before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That being the case, I conclude that the Terastream has failed to demonstrate a basis for granting the order sought. There is no evidence that maintaining the CMTS and the Truck in their current locations will be to the detriment of anyone.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Terastream's application is dismissed with costs to the application respondents.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IYER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04" style="position:absolute;z-index:25185280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04"/>
          <w:headerReference w:type="default" r:id="rId305"/>
          <w:footerReference w:type="even" r:id="rId306"/>
          <w:footerReference w:type="default" r:id="rId307"/>
          <w:headerReference w:type="first" r:id="rId308"/>
          <w:footerReference w:type="first" r:id="rId30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10" w:history="1">
        <w:r>
          <w:rPr>
            <w:rFonts w:ascii="arial" w:eastAsia="arial" w:hAnsi="arial" w:cs="arial"/>
            <w:b/>
            <w:bCs/>
            <w:i/>
            <w:color w:val="0077CC"/>
            <w:kern w:val="32"/>
            <w:sz w:val="28"/>
            <w:szCs w:val="32"/>
            <w:u w:val="single"/>
            <w:shd w:val="clear" w:color="auto" w:fill="FFFFFF"/>
            <w:lang w:val="en-US" w:eastAsia="en-US" w:bidi="ar-SA"/>
          </w:rPr>
          <w:t>Thibodeau (guardian ad litem of) v. Stanevicius, [2006] B.C.J. No. 131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N.H. Smith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11, 2006 (New Westminster).</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25,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M044784</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[2006] B.C.J. No. 131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2006 BCSC 110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34 C.C.L.I. (4th) 119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145 A.C.W.S. (3d) 1023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2006 CarswellBC 166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Craig Thibodeau, by his guardian ad litem Paul Thibodeau, plaintiff, and Walter Stanevicius, CitiCapital Commercial Leasing Corporation, Credit-Bail Commercial CitiCapital, Mercedes Pickering, Mark Trofinuk, Peter Kala and Ford Credit Canada Leasing Company/Compagnie de Location Credit Ford Canada,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05" style="position:absolute;z-index:2516746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06" w:name="Keywords_15"/>
      <w:bookmarkEnd w:id="106"/>
      <w:r>
        <w:rPr>
          <w:rFonts w:ascii="arial" w:eastAsia="arial" w:hAnsi="arial" w:cs="arial"/>
          <w:b/>
          <w:color w:val="000000"/>
          <w:sz w:val="20"/>
          <w:lang w:val="en-US" w:eastAsia="en-US" w:bidi="ar-SA"/>
        </w:rPr>
        <w:t>Civil procedure — Trials — Adjournments — Plaintiff was granted an early trial date because of financial hardship — Defendants' application for an adjournment nine months prior to trial because of counsel unavailability was denied — Plaintiff's financial hardship and the resulting need to have a trial as soon as possible outweighed the defendants' interests.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07" w:name="Case Summary_14"/>
            <w:bookmarkEnd w:id="10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defendants to adjourn a trial -- Trial was set to commence in September 2006 and was scheduled to last 20 days -- Application was brought in January 2006 -- Thibodeau suffered a brain injury in a motor vehicle accident that occurred in June 2004 -- He was caught in the middle of a dispute between his British Columbia and Ontario insurers over who was required to pay benefits -- He only received an advance payment of $50,000 shortly before this application -- Thibodeau was allowed to set an early trial date because of financial hardship -- Date was not agreed to by the defendants -- Senior counsel for two of the defendants were not available at that time -- Defendants submitted that since Thibodeau received the payment the trial should await the outcome of related proceedings in Ontario and further assessments of his condition -- Ontario proceedings involved an arbitration between the two insurers -- HELD: Application dismissed -- Senior counsel were not extensively involved in the case so far -- Their efforts would not be duplicated if other equally experienced counsel became involved at this point -- Court balanced defendants' legitimate desire to be represented by counsel of their choice against Thibodeau's interests -- Dispute between the insurers caused Thibodeau significant financial hardship -- Payment was not sufficient to rectify the damage done by the delay or to meet his needs until the trial occurred -- Thibodeau's financial hardship and the resulting need to have a trial as soon as possible outweighed the defendants' wish to be represented by their first choice of counsel -- Court would not await the outcome of the Ontario proceedings -- Those proceedings did not deal with the issues of this trial -- An adjournment pending the resolution of the Ontario proceeding could result in an indefinite stay of this action -- There was adequate time before the trial for the defendants to conduct discoveries and medical examinations in order to assess Thibodeau's condition.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08" w:name="Legislation Cited_15"/>
      <w:bookmarkEnd w:id="10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06" style="position:absolute;z-index:2517258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Insurance (Motor Vehicle) Act, </w:t>
      </w:r>
      <w:hyperlink r:id="rId311" w:history="1">
        <w:r>
          <w:rPr>
            <w:rFonts w:ascii="arial" w:eastAsia="arial" w:hAnsi="arial" w:cs="arial"/>
            <w:i/>
            <w:color w:val="0077CC"/>
            <w:sz w:val="20"/>
            <w:u w:val="single"/>
            <w:shd w:val="clear" w:color="auto" w:fill="FFFFFF"/>
            <w:lang w:val="en-US" w:eastAsia="en-US" w:bidi="ar-SA"/>
          </w:rPr>
          <w:t>R.S.B.C. 1996, c. 231 s. 25</w:t>
        </w:r>
      </w:hyperlink>
      <w:r>
        <w:rPr>
          <w:rFonts w:ascii="arial" w:eastAsia="arial" w:hAnsi="arial" w:cs="arial"/>
          <w:color w:val="000000"/>
          <w:sz w:val="20"/>
          <w:lang w:val="en-US" w:eastAsia="en-US" w:bidi="ar-SA"/>
        </w:rPr>
        <w:t>, s. 25(4), s. 25(5)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Insurance (Motor Vehicle) Act, </w:t>
      </w:r>
      <w:hyperlink r:id="rId312" w:history="1">
        <w:r>
          <w:rPr>
            <w:rFonts w:ascii="arial" w:eastAsia="arial" w:hAnsi="arial" w:cs="arial"/>
            <w:i/>
            <w:color w:val="0077CC"/>
            <w:sz w:val="20"/>
            <w:u w:val="single"/>
            <w:shd w:val="clear" w:color="auto" w:fill="FFFFFF"/>
            <w:lang w:val="en-US" w:eastAsia="en-US" w:bidi="ar-SA"/>
          </w:rPr>
          <w:t>B.C. Reg. 447/83</w:t>
        </w:r>
      </w:hyperlink>
      <w:r>
        <w:rPr>
          <w:rFonts w:ascii="arial" w:eastAsia="arial" w:hAnsi="arial" w:cs="arial"/>
          <w:color w:val="000000"/>
          <w:sz w:val="20"/>
          <w:lang w:val="en-US" w:eastAsia="en-US" w:bidi="ar-SA"/>
        </w:rPr>
        <w:t xml:space="preserve"> Part 7</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09" w:name="Counsel_15"/>
      <w:bookmarkEnd w:id="109"/>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07" style="position:absolute;z-index:2517770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M.G. Thomas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Stanevicius, and CitiCapital Commercial Leasing Corporation Credit-Bail Commercial CitiCapital: S. Brooks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Kala and Ford Credit Canada Leasing Company: L. Murphy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Pickering and Trofinuk: J.G. Marshall</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10" w:name="Judgment_15"/>
      <w:bookmarkEnd w:id="110"/>
      <w:r>
        <w:pict>
          <v:line id="_x0000_s1108" style="position:absolute;z-index:251828224"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11" w:name="N.H. SMITH J."/>
            <w:bookmarkEnd w:id="111"/>
            <w:r>
              <w:rPr>
                <w:rFonts w:ascii="arial" w:eastAsia="arial" w:hAnsi="arial" w:cs="arial"/>
                <w:b/>
                <w:color w:val="000000"/>
                <w:sz w:val="30"/>
                <w:lang w:val="en-US" w:eastAsia="en-US" w:bidi="ar-SA"/>
              </w:rPr>
              <w:t>N.H. SMITH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defendants apply for the adjournment of a trial now set for 20 days beginning September 5,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suffered a brain injury in a motor vehicle accident on June 17, 2004. Since then, the plaintiff has been caught in the middle of a dispute between the Insurance Corporation of British Columbia ("ICBC") and an Ontario insurer over who is required to pay accident benefits. As a result of that dispute, the plaintiff has not, until very recently, received any insurance benefits, despite the fact that he has ongoing care needs and has been unable to work since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was allowed to set an early trial date because of that financial hardship. The date was not agreed to by defence counsel, and senior counsel for two of the defendants say they are not available at that time. The defendants also say that now that some benefits have been paid, the trial of this action should await the outcome of related proceedings in Ontario and further assessments of the plaintiff's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accident took place on the Malahat section of the Trans-Canada Highway on Vancouver Island. The plaintiff was 22 years old at the time. He was a passenger in one of three vehicles that were involved. The defendants each deny liability, but do not allege that the plaintiff was at fault, aside from an allegation that he was not wearing a seat belt.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Shortly after the accident, the plaintiff was transferred to a hospital in Ontario, where his family lives. He was released from hospital in November, 2004 and has remained in Ontario since then.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The plaintiff's father is insured under an Ontario automobile insurance policy issued by Federated Insurance Company of Canada ("Federated"). If the plaintiff is eligible for no-fault accident benefits from that policy, he may be entitled to as much as $2 million. Comparable benefits available from ICBC under Part 7 of the Revised Regulation under the Insurance (Motor Vehicle) Act, </w:t>
      </w:r>
      <w:hyperlink r:id="rId312" w:history="1">
        <w:r>
          <w:rPr>
            <w:rFonts w:ascii="arial" w:eastAsia="arial" w:hAnsi="arial" w:cs="arial"/>
            <w:i/>
            <w:color w:val="0077CC"/>
            <w:sz w:val="20"/>
            <w:u w:val="single"/>
            <w:shd w:val="clear" w:color="auto" w:fill="FFFFFF"/>
            <w:lang w:val="en-US" w:eastAsia="en-US" w:bidi="ar-SA"/>
          </w:rPr>
          <w:t>B.C. Reg. 447/83</w:t>
        </w:r>
      </w:hyperlink>
      <w:r>
        <w:rPr>
          <w:rFonts w:ascii="arial" w:eastAsia="arial" w:hAnsi="arial" w:cs="arial"/>
          <w:color w:val="000000"/>
          <w:sz w:val="20"/>
          <w:lang w:val="en-US" w:eastAsia="en-US" w:bidi="ar-SA"/>
        </w:rPr>
        <w:t xml:space="preserve"> would be limited to $150,000. Benefits received from either Federated or ICBC are subject to s. 25 of the Insurance (Motor Vehicle) Act, </w:t>
      </w:r>
      <w:r>
        <w:rPr>
          <w:rFonts w:ascii="arial" w:eastAsia="arial" w:hAnsi="arial" w:cs="arial"/>
          <w:i/>
          <w:color w:val="000000"/>
          <w:sz w:val="20"/>
          <w:lang w:val="en-US" w:eastAsia="en-US" w:bidi="ar-SA"/>
        </w:rPr>
        <w:t>R.S.B.C. 1996, c. 231</w:t>
      </w:r>
      <w:r>
        <w:rPr>
          <w:rFonts w:ascii="arial" w:eastAsia="arial" w:hAnsi="arial" w:cs="arial"/>
          <w:color w:val="000000"/>
          <w:sz w:val="20"/>
          <w:lang w:val="en-US" w:eastAsia="en-US" w:bidi="ar-SA"/>
        </w:rPr>
        <w:t>. The effect of this section is this that, after this court has determined liability and assessed damages in this action, the amount of benefits that the plaintiff has received "or is entitled to receive from an insurance company" must be deducted from the judgment. The plaintiff is only entitled to the balance.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It is of course, not yet possible to predict what damages will be awarded in this action, but counsel appear to be working on the assumption that damages will likely exceed the amount of benefits available from ICBC, but may not exceed the amount available under the Ontario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 applied to Federated for the Ontario benefits shortly after the accident. In August, 2004, Federated said the plaintiff should apply to ICBC. Federated's position is that the plaintiff is not an insured under its policy and that the plaintiff is in any case required to look first to ICBC as the insurer of the vehicle in which he was riding.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However, under the terms of the Federated policy and the applicable Ontario regulations, acceptance of benefits from ICBC might constitute a waiver of the plaintiff's right to collect benefits from Federated even if a court subsequently finds that he is eligible for them. However, the defendants might still be able to argue for a s. 25 deduction based on the benefits that Federated should have paid. This left the plaintiff in a position that plaintiff's counsel described as follows in a letter to the insurers: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if he were to accept the first party benefits that he is entitled to under ICBC's policy, he could eliminate his ability to obtain the first party insurance benefits that he might otherwise be entitled to under his father's insurance policy. However (s. 25) could enable ICBC to deduct benefits available under his father's insurance policy from any tort award, regardless of the fact that Craig did not receive those benefits. Therefore the decision of Federated Insurance has restricted Craig's ability to obtain any insurance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ICBC did not respond to requests to state its position until late November, 2004. At that point, ICBC said it was prepared to pay benefits only if that payment was without prejudice to its claim that Federated was the proper insurer and only if Federated agreed not to rely on the waiver provision. By letter dated November 26, 2004, counsel for Federated agreed to those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ICBC then sought a further agreement that if Federated is found to be the proper insurer, it would repay ICBC for any benefits ICBC paid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On January 20, 2005, plaintiff's counsel wrote to both insurers to ask if they had come to an agreement. By that time, the plaintiff had been released from hospital and was under the care of his parents. Counsel told the insurers that the family had "undergone extreme financial hardship." Plaintiff's counsel sent another letter to the same effect on March 18,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a letter dated May 13, 2005, counsel for Federated confirmed that Federated agreed to ICBC's additional condition. He said he thought this agreement had already been communicated by telephone and "we trust ICBC has commenced funding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However, ICBC did not provide benefits at that point. By December 20, 2005, the two insurers had agreed to submit their dispute to arbitration in Ontario, but ICBC's Ontario counsel was still asking Federated to confirm that payment of benefits would not prejudice ICBC's position in the dispute. Federated had agreed to that more than seven months earlier. In a letter dated December 23, 2005, counsel for Federated confirmed that ICBC's conditions had been agreed to in May.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Finally, on January 10, 2006, ICBC forwarded plaintiff's counsel a cheque for $50,000 as an "advance" on the plaintiff's claim for accident benefits, subject to ultimate resolution of the dispute between Federated and ICBC. The covering letter from ICBC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Insurance Corporation recognizes the financial hardship that this insurance question places upon your client (the plaintiff) and we are prepared to "compassionately front" funds to your client pending resolution of this insurance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insurers now appear to have agreed on the obvious and sensible interim solution to the coverage problem. There is no satisfactory explanation why with all parties aware of the plaintiff's immediate financial need, it could not have been implemented more than a year ago, when the plaintiff was released from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plaintiff says that because of the delay, his parents have had to borrow money to pay for his care and that the $50,000 ICBC has now provided will not even cover that debt, let alone pay for any ongoing expenses.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only detailed evidence I have about the plaintiff's recent condition is a report from a psychologist, Dr. Andy Cancelliere, dated Aug 31, 2005. Dr. Cancelliere says the plaintiff is not, and will likely never again be competitively employable. Although the plaintiff is now living independently, Dr. Cancelliere says that has required "considerable assistance/intervention." He expresses concern about the plaintiff's ability to manage finances and about his possible social isolation. Dr. Cancelliere adds that he doesn't expect very much improvement in the plaintiff's condition, although active rehabilitation and treatment may be of some assistance.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defendants rely on a brief report from a neurologist, Dr. Stanley Hashimoto, dated November 23, 2005. Dr. Hashimoto's opinion is that the plaintiff has had a significant head injury, but that his final, stable level of brain function will not be known until at least two years following the accident-that is, no earlier than June of this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Dr. Hashimoto has not seen the plaintiff and it is not clear what material he reviewed to come to his opinion. It is also not clear whether Dr. Hashimoto is anticipating significant functional improvement that would, for example, make the plaintiff employable, or if he is simply referring to the limited improvement suggested by Dr. Cancelliere.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In Novak v. Bond, </w:t>
      </w:r>
      <w:hyperlink r:id="rId313" w:history="1">
        <w:r>
          <w:rPr>
            <w:rFonts w:ascii="arial" w:eastAsia="arial" w:hAnsi="arial" w:cs="arial"/>
            <w:i/>
            <w:color w:val="0077CC"/>
            <w:sz w:val="20"/>
            <w:u w:val="single"/>
            <w:shd w:val="clear" w:color="auto" w:fill="FFFFFF"/>
            <w:lang w:val="en-US" w:eastAsia="en-US" w:bidi="ar-SA"/>
          </w:rPr>
          <w:t>[1998] B.C.J. No. 2034</w:t>
        </w:r>
      </w:hyperlink>
      <w:r>
        <w:rPr>
          <w:rFonts w:ascii="arial" w:eastAsia="arial" w:hAnsi="arial" w:cs="arial"/>
          <w:color w:val="000000"/>
          <w:sz w:val="20"/>
          <w:lang w:val="en-US" w:eastAsia="en-US" w:bidi="ar-SA"/>
        </w:rPr>
        <w:t>, (B.C.S.C.) Martinson J. summarized the test for granting an adjournment at [paragraph] 11: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question of granting an adjournment is a matter of discretion, to be exercised in accordance with the interests of justice. This requires a balancing of interests of the plaintiff and the defendant: Sideroff v. Joe </w:t>
      </w:r>
      <w:hyperlink r:id="rId314" w:history="1">
        <w:r>
          <w:rPr>
            <w:rFonts w:ascii="arial" w:eastAsia="arial" w:hAnsi="arial" w:cs="arial"/>
            <w:i/>
            <w:color w:val="0077CC"/>
            <w:sz w:val="20"/>
            <w:u w:val="single"/>
            <w:shd w:val="clear" w:color="auto" w:fill="FFFFFF"/>
            <w:lang w:val="en-US" w:eastAsia="en-US" w:bidi="ar-SA"/>
          </w:rPr>
          <w:t>(1992), 76 B.C.L.R. (2d) 82</w:t>
        </w:r>
      </w:hyperlink>
      <w:r>
        <w:rPr>
          <w:rFonts w:ascii="arial" w:eastAsia="arial" w:hAnsi="arial" w:cs="arial"/>
          <w:color w:val="000000"/>
          <w:sz w:val="20"/>
          <w:lang w:val="en-US" w:eastAsia="en-US" w:bidi="ar-SA"/>
        </w:rPr>
        <w:t xml:space="preserve"> (C.A.). The paramount consideration that must be maintained in the exercise of that discretion is to ensure that there will remain a fair trial on the merits of the action: Cal-Wood Door v. Olma, </w:t>
      </w:r>
      <w:hyperlink r:id="rId315" w:history="1">
        <w:r>
          <w:rPr>
            <w:rFonts w:ascii="arial" w:eastAsia="arial" w:hAnsi="arial" w:cs="arial"/>
            <w:i/>
            <w:color w:val="0077CC"/>
            <w:sz w:val="20"/>
            <w:u w:val="single"/>
            <w:shd w:val="clear" w:color="auto" w:fill="FFFFFF"/>
            <w:lang w:val="en-US" w:eastAsia="en-US" w:bidi="ar-SA"/>
          </w:rPr>
          <w:t>[1984] B.C.J. No. 1953</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Novak was a medical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case in which an expedited trial date had been given because of the state of the plaintiff's health. The court heard an adjournment application about five weeks before the scheduled trial date. Senior counsel for the defendant was unavailable on the scheduled date. In addition to being very experienced in such matters, counsel who was not available had already been extensively involved in the matter. At the same time, the plaintiff's medical condition appeared to have stabilized. After balancing the interests of the plaintiff and defendant, Martinson J. ordered an adjournment.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defendants argue that, like the defendant in Novak, they are entitled to have what may be a complicated and serious trial conducted by experienced counsel of their choice. That is a factor the court must consider in balancing the interests of the parties. However, this case is distinguishable from Novak.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trial of this case is still nine months away and there is no evidence that senior counsel have had extensive personal involvement or that there would be significant duplication of effort if other, equally experienced counsel from their firms became involved at this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Although the defendants have a legitimate desire for the counsel of their choice, I must balance that against the plaintiff's interests. The dispute between the insurers has caused the plaintiff significant financial hardship. I am not satisfied that the payment that has now been made, more than a year late, is sufficient to rectify the damage done by the delay, or to meet the plaintiffs' needs between now and the present trial date, let alone until a new trial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All parties, along with this court, are aware that defence counsel are appointed by ICBC. Mr. Brooks, counsel for the defendants, referred to that fact in argument. I have considered whether I should take ICBC's conduct in its role as no-fault insurer into account when balancing the interests of the parties. In the recent case of Maillet v. Rosenau, </w:t>
      </w:r>
      <w:hyperlink r:id="rId316" w:history="1">
        <w:r>
          <w:rPr>
            <w:rFonts w:ascii="arial" w:eastAsia="arial" w:hAnsi="arial" w:cs="arial"/>
            <w:i/>
            <w:color w:val="0077CC"/>
            <w:sz w:val="20"/>
            <w:u w:val="single"/>
            <w:shd w:val="clear" w:color="auto" w:fill="FFFFFF"/>
            <w:lang w:val="en-US" w:eastAsia="en-US" w:bidi="ar-SA"/>
          </w:rPr>
          <w:t>[2005] B.C.J. No. 2579</w:t>
        </w:r>
      </w:hyperlink>
      <w:r>
        <w:rPr>
          <w:rFonts w:ascii="arial" w:eastAsia="arial" w:hAnsi="arial" w:cs="arial"/>
          <w:color w:val="000000"/>
          <w:sz w:val="20"/>
          <w:lang w:val="en-US" w:eastAsia="en-US" w:bidi="ar-SA"/>
        </w:rPr>
        <w:t xml:space="preserve">, </w:t>
      </w:r>
      <w:hyperlink r:id="rId316" w:history="1">
        <w:r>
          <w:rPr>
            <w:rFonts w:ascii="arial" w:eastAsia="arial" w:hAnsi="arial" w:cs="arial"/>
            <w:i/>
            <w:color w:val="0077CC"/>
            <w:sz w:val="20"/>
            <w:u w:val="single"/>
            <w:shd w:val="clear" w:color="auto" w:fill="FFFFFF"/>
            <w:lang w:val="en-US" w:eastAsia="en-US" w:bidi="ar-SA"/>
          </w:rPr>
          <w:t>2005 BCSC 1656</w:t>
        </w:r>
      </w:hyperlink>
      <w:r>
        <w:rPr>
          <w:rFonts w:ascii="arial" w:eastAsia="arial" w:hAnsi="arial" w:cs="arial"/>
          <w:color w:val="000000"/>
          <w:sz w:val="20"/>
          <w:lang w:val="en-US" w:eastAsia="en-US" w:bidi="ar-SA"/>
        </w:rPr>
        <w:t>, McEwan J. said at [paragraph]4: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understandable, in a monopoly insurer environment, that at times defendants who are being covered by the Insurance Corporation for third party damages, come to be identified with the insurer. It is, however, an error to do so, and to impose obligations as a matter of law on the basis of that casual identification.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that case, McEwan J. held that it was not appropriate to order, as a condition of a trial adjournment in a tort action, that ICBC pay benefits that might go beyond what it would be obliged to pay under Part 7. No such obligation is being suggested in this case. I am required to balance the interests of the parties and come to a result that accords with the interests of justice. In the circumstances of this case, I cannot properly balance those interests without considering the real interests that are involved.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plaintiff was permitted to set an early trial because of the financial hardship caused by an inordinate delay in the provision of no-fault benefits. As I have said, that issue should have been resolved long ago and ICBC bears a large measure of responsibility for the fact it was not. In these circumstances, it would be contrary to the interests of justice to ignore the relationship between the defendants and ICBC. If ICBC is unable to have its first choice of counsel, it will be at least partially the author of its own misfortune.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the circumstances, the plaintiff's financial hardship, and the resulting need to have this matter come to trial as soon as possible, must outweigh the defendants' wish to have their first choice of counsel. I do not believe that an adjournment at this point is necessary to ensure the fairness of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defendants also argue that this trial should await the outcome of the Ontario proceedings. They say that if the plaintiff is found to be entitled to benefits under the Federated policy, his claim would be greatly reduced and perhaps eliminated. They also raise a concern about the possibility of inconsistent findings in the two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In support of this argument they rely on B. (P.G.) v. British Columbia, </w:t>
      </w:r>
      <w:hyperlink r:id="rId317" w:history="1">
        <w:r>
          <w:rPr>
            <w:rFonts w:ascii="arial" w:eastAsia="arial" w:hAnsi="arial" w:cs="arial"/>
            <w:i/>
            <w:color w:val="0077CC"/>
            <w:sz w:val="20"/>
            <w:u w:val="single"/>
            <w:shd w:val="clear" w:color="auto" w:fill="FFFFFF"/>
            <w:lang w:val="en-US" w:eastAsia="en-US" w:bidi="ar-SA"/>
          </w:rPr>
          <w:t>[2002] B.C.J. No. 2678</w:t>
        </w:r>
      </w:hyperlink>
      <w:r>
        <w:rPr>
          <w:rFonts w:ascii="arial" w:eastAsia="arial" w:hAnsi="arial" w:cs="arial"/>
          <w:color w:val="000000"/>
          <w:sz w:val="20"/>
          <w:lang w:val="en-US" w:eastAsia="en-US" w:bidi="ar-SA"/>
        </w:rPr>
        <w:t xml:space="preserve">, </w:t>
      </w:r>
      <w:hyperlink r:id="rId317" w:history="1">
        <w:r>
          <w:rPr>
            <w:rFonts w:ascii="arial" w:eastAsia="arial" w:hAnsi="arial" w:cs="arial"/>
            <w:i/>
            <w:color w:val="0077CC"/>
            <w:sz w:val="20"/>
            <w:u w:val="single"/>
            <w:shd w:val="clear" w:color="auto" w:fill="FFFFFF"/>
            <w:lang w:val="en-US" w:eastAsia="en-US" w:bidi="ar-SA"/>
          </w:rPr>
          <w:t>2002 BCSC 1654</w:t>
        </w:r>
      </w:hyperlink>
      <w:r>
        <w:rPr>
          <w:rFonts w:ascii="arial" w:eastAsia="arial" w:hAnsi="arial" w:cs="arial"/>
          <w:color w:val="000000"/>
          <w:sz w:val="20"/>
          <w:lang w:val="en-US" w:eastAsia="en-US" w:bidi="ar-SA"/>
        </w:rPr>
        <w:t xml:space="preserve"> and Stenner v. Merrill Lynch, </w:t>
      </w:r>
      <w:hyperlink r:id="rId318" w:history="1">
        <w:r>
          <w:rPr>
            <w:rFonts w:ascii="arial" w:eastAsia="arial" w:hAnsi="arial" w:cs="arial"/>
            <w:i/>
            <w:color w:val="0077CC"/>
            <w:sz w:val="20"/>
            <w:u w:val="single"/>
            <w:shd w:val="clear" w:color="auto" w:fill="FFFFFF"/>
            <w:lang w:val="en-US" w:eastAsia="en-US" w:bidi="ar-SA"/>
          </w:rPr>
          <w:t>[2005] B.C.J. No. 883</w:t>
        </w:r>
      </w:hyperlink>
      <w:r>
        <w:rPr>
          <w:rFonts w:ascii="arial" w:eastAsia="arial" w:hAnsi="arial" w:cs="arial"/>
          <w:color w:val="000000"/>
          <w:sz w:val="20"/>
          <w:lang w:val="en-US" w:eastAsia="en-US" w:bidi="ar-SA"/>
        </w:rPr>
        <w:t xml:space="preserve">, </w:t>
      </w:r>
      <w:hyperlink r:id="rId318" w:history="1">
        <w:r>
          <w:rPr>
            <w:rFonts w:ascii="arial" w:eastAsia="arial" w:hAnsi="arial" w:cs="arial"/>
            <w:i/>
            <w:color w:val="0077CC"/>
            <w:sz w:val="20"/>
            <w:u w:val="single"/>
            <w:shd w:val="clear" w:color="auto" w:fill="FFFFFF"/>
            <w:lang w:val="en-US" w:eastAsia="en-US" w:bidi="ar-SA"/>
          </w:rPr>
          <w:t>2005 BCSC 600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P.G.B. the defendant sought damages for an assault that had taken place many years before at a residential school. There were eight similar actions by other plaintiffs which were set to proceed to trial before the same judge shortly before the trial of the plaintiff's action would begin. The court held that the result of the related proceeding would likely be considered persuasive authority on many of the issues in the plaintiff's case and that the risk of inconsistent findings should be avoided.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Stenner, two plaintiffs had brought separate actions against the same defendant, their former employer. There was another action in which one of the plaintiffs was making claims against the other. The court found that the outcome of the action between the two plaintiffs would likely have an impact on the calculation of damages in the actions against the former employer and ordered that it be tried first.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this action, the plaintiff asks this court to determine liability and assess damages arising from an accident in British Columbia. The Ontario proceeding does not deal with either of those issues. The issues in the Ontario proceedings will not be before the court in the trial of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Section 25 of the Insurance (Motor Vehicle) Act reads, in part, as follows:</w:t>
      </w:r>
      <w:r>
        <w:rPr>
          <w:rFonts w:ascii="arial" w:eastAsia="arial" w:hAnsi="arial" w:cs="arial"/>
          <w:sz w:val="20"/>
          <w:lang w:val="en-US" w:eastAsia="en-US" w:bidi="ar-SA"/>
        </w:rPr>
        <w:cr/>
      </w:r>
    </w:p>
    <w:p>
      <w:pPr>
        <w:numPr>
          <w:numId w:val="10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an action in respect of bodily injury or death caused by a motor vehicle or trailer or its use or operation, the amount of benefits paid, or to which the claimant is or would have been entitled, must not be referred to or disclosed to the court or jury until the court has assessed the award of damages.</w:t>
      </w:r>
    </w:p>
    <w:p>
      <w:pPr>
        <w:numPr>
          <w:numId w:val="10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assessing the award of damages under subsection (4), the amount of benefits referred to in that subsection must be disclosed to the court, and taken into account, or, if the amount of benefits has not been ascertained, the court must estimate it and take the estimate into account, and the person is entitled to enter judgment for the balance only.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legislation clearly requires the court to assess damages without regard to what benefits have been or may be paid to the claimant. It is only after judgment is given that the deductibility issue can be brought to the court's attention and decided. Section 25 also specifically contemplates that tort actions may go to trial before the final amount of available accident benefits is known.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Further, the P.G.B. and Stenner cases involved situations where the trials being adjourned and the related proceedings were all proceedings before this court. It is one thing for this court to give one proceeding priority over another when it has some ability to control the conduct and timing of both proceedings. It is quite another to demand that a plaintiff, who has appropriately sought a remedy from this court, await the outcome of proceedings in another jurisdiction over which this court has no control.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plaintiff is entitled to have liability and damages determined. By the time those issues are decided, the Ontario proceeding may or may not have been concluded and the plaintiff may or may not be in a position to enter judgment for the full award. However, the plaintiff is entitled to advance the matter as far as he can.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 also note, that as a result of the agreement between the insurers to arbitrate the issues between them, the insurers appear to have more control than the plaintiff over how quickly the matter proceeds in Ontario. I agree with plaintiff's counsel that an order adjourning the trial of this action until the Ontario proceedings are resolved could amount to an indefinite stay.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Finally, the defendants argue that trial of this action is premature because more needs to be known about the plaintiff's condition and ultimate prognosis. I am not prepared to reach that conclusion on the basis of the evidence before me on this application. The defendants have conducted no examinations for discovery or medical examinations. There is adequate time for them to do both before the scheduled trial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If those discoveries and medical examinations produce better evidence in support of an adjournment, the appropriate application can be made at that time. The court will then be in a much better position to assess whether the case is ready for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application to adjourn the trial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N.H. SMITH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09" style="position:absolute;z-index:25185382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19"/>
          <w:headerReference w:type="default" r:id="rId320"/>
          <w:footerReference w:type="even" r:id="rId321"/>
          <w:footerReference w:type="default" r:id="rId322"/>
          <w:headerReference w:type="first" r:id="rId323"/>
          <w:footerReference w:type="first" r:id="rId32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25" w:history="1">
        <w:r>
          <w:rPr>
            <w:rFonts w:ascii="arial" w:eastAsia="arial" w:hAnsi="arial" w:cs="arial"/>
            <w:b/>
            <w:bCs/>
            <w:i/>
            <w:color w:val="0077CC"/>
            <w:kern w:val="32"/>
            <w:sz w:val="28"/>
            <w:szCs w:val="32"/>
            <w:u w:val="single"/>
            <w:shd w:val="clear" w:color="auto" w:fill="FFFFFF"/>
            <w:lang w:val="en-US" w:eastAsia="en-US" w:bidi="ar-SA"/>
          </w:rPr>
          <w:t>TLC (Re), [2014] B.C.J. No. 107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S.C. Fitzpatrick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December 11-13 and 19,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22,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S137436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[2014] B.C.J. No. 107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2014 BCSC 97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96 E.T.R. (3d) 17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[2014] 7 W.W.R. 12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58 B.C.L.R. (5th) 321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242 A.C.W.S. (3d) 1002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2014 CarswellBC 160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IN THE MATTER OF the Companies' Creditors Arrangement Act, R.S.C. 1985, c. C-36, As Amended AND IN THE MATTER OF TLC The Land Conservancy of British Columbia, Inc. No. S36826, and The TLC The Land Conservancy (Enterprises) Ltd., Petitioners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(321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10" style="position:absolute;z-index:2516756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12" w:name="Keywords_16"/>
      <w:bookmarkEnd w:id="112"/>
      <w:r>
        <w:rPr>
          <w:rFonts w:ascii="arial" w:eastAsia="arial" w:hAnsi="arial" w:cs="arial"/>
          <w:b/>
          <w:color w:val="000000"/>
          <w:sz w:val="20"/>
          <w:lang w:val="en-US" w:eastAsia="en-US" w:bidi="ar-SA"/>
        </w:rPr>
        <w:t>Bankruptcy and insolvency law — Administration of estate — Sale of property — Application by the Land Conservancy of British Columbia (TLC) for court approval of the sale of the Binning House, a historically and culturally significant property, adjourned — The Binning Estate transferred title to a new society which immediately transferred it to TLC — TLC, in financial trouble, had received an offer to purchase the property for $1.6 million — TLC accepted the Binning House as a discrete purpose charitable property and therefore had no beneficial interest in it — Further evidence was required regarding the potential application of the cy-prs doctrine or section 3(4) of the Companies' Creditors Arrangement Act.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Bankruptcy and insolvency law — Companies' Creditors Arrangement Act (CCAA) matters — Application by the Land Conservancy of British Columbia (TLC) for court approval of the sale of the Binning House, a historically and culturally significant property, adjourned — The Binning Estate transferred title to a new society which immediately transferred it to TLC — TLC, in financial trouble, had received an offer to purchase the property for $1.6 million — TLC accepted the Binning House as a discrete purpose charitable property and therefore had no beneficial interest in it — Further evidence was required regarding the potential application of the cy-prs doctrine or section 3(4) of the Companies' Creditors Arrangement Act.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13" w:name="Case Summary_15"/>
            <w:bookmarkEnd w:id="11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Land Conservancy of British Columbia (TLC) for court approval of the sale of the property known as the Binning House. TLC was a society which operated as a land trust. One of the properties it held was the Binning House, located in West Vancouver, which was designed and constructed in 1941 by Binning, a well-known Canadian artist. The residence was historically and culturally significant. On Binning's death in 1976, the residence passed to his widow. In 1998, the house was designated a national historic site of Canada. In 2007, Binning's widow passed away without any direct heirs. Title to the residence was transferred from the Estate to a new society, BHPS, which immediately transferred it to TLC. TLC did not have the financial resources to maintain and administer its various property interests and obtained creditor protection in October 2013. TLC received an unsolicited offer to purchase the Binning House for $1.6 million. Those opposed to the sale, including the University of British Columbia and the Attorney General of British Columbia, submitted that TLC did not properly obtain title to the property and was not entitled to either the property or its proceeds. Alternatively, those opposed to the sale submitted that TLC was restricted from selling full title to the Binning House by reason of the Charitable Purposes Preservation Act or common law trust obligations.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14" w:name="Holdings of Court_11"/>
            <w:bookmarkEnd w:id="114"/>
            <w:r>
              <w:rPr>
                <w:rFonts w:ascii="arial" w:eastAsia="arial" w:hAnsi="arial" w:cs="arial"/>
                <w:color w:val="000000"/>
                <w:sz w:val="20"/>
                <w:lang w:val="en-US" w:eastAsia="en-US" w:bidi="ar-SA"/>
              </w:rPr>
              <w:t>HELD: Application adjourned.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executors of the Estate acted in accordance with the wishes of Binning's widow to preserve the property for historical purposes and TLC now held the Binning House in accordance with her intention. However, TLC accepted the Binning House as a discrete purpose charitable property and therefore had no beneficial interest in the property. The application was adjourned as further evidence was required in respect of the potential application of either the cy-prs doctrine or section 3(4) of the Companies' Creditors Arrangement Act.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15" w:name="Legislation Cited_16"/>
      <w:bookmarkEnd w:id="11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11" style="position:absolute;z-index:2517268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Bankruptcy and Insolvency Act, </w:t>
      </w:r>
      <w:hyperlink r:id="rId326" w:history="1">
        <w:r>
          <w:rPr>
            <w:rFonts w:ascii="arial" w:eastAsia="arial" w:hAnsi="arial" w:cs="arial"/>
            <w:i/>
            <w:color w:val="0077CC"/>
            <w:sz w:val="20"/>
            <w:u w:val="single"/>
            <w:shd w:val="clear" w:color="auto" w:fill="FFFFFF"/>
            <w:lang w:val="en-US" w:eastAsia="en-US" w:bidi="ar-SA"/>
          </w:rPr>
          <w:t>R.S.C. 1985, c. B-3, s. 67</w:t>
        </w:r>
      </w:hyperlink>
      <w:r>
        <w:rPr>
          <w:rFonts w:ascii="arial" w:eastAsia="arial" w:hAnsi="arial" w:cs="arial"/>
          <w:color w:val="000000"/>
          <w:sz w:val="20"/>
          <w:lang w:val="en-US" w:eastAsia="en-US" w:bidi="ar-SA"/>
        </w:rPr>
        <w:t>, s. 81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Charitable Purposes Preservation Act, </w:t>
      </w:r>
      <w:r>
        <w:rPr>
          <w:rFonts w:ascii="arial" w:eastAsia="arial" w:hAnsi="arial" w:cs="arial"/>
          <w:i/>
          <w:color w:val="000000"/>
          <w:sz w:val="20"/>
          <w:lang w:val="en-US" w:eastAsia="en-US" w:bidi="ar-SA"/>
        </w:rPr>
        <w:t>SBC 2004, CHAPTER 59</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Charities Act 1993 (UK) c. 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Companies' Creditors Arrangement Act, </w:t>
      </w:r>
      <w:hyperlink r:id="rId327" w:history="1">
        <w:r>
          <w:rPr>
            <w:rFonts w:ascii="arial" w:eastAsia="arial" w:hAnsi="arial" w:cs="arial"/>
            <w:i/>
            <w:color w:val="0077CC"/>
            <w:sz w:val="20"/>
            <w:u w:val="single"/>
            <w:shd w:val="clear" w:color="auto" w:fill="FFFFFF"/>
            <w:lang w:val="en-US" w:eastAsia="en-US" w:bidi="ar-SA"/>
          </w:rPr>
          <w:t>R.S.C. 1985, c. C-36, s. 1</w:t>
        </w:r>
      </w:hyperlink>
      <w:r>
        <w:rPr>
          <w:rFonts w:ascii="arial" w:eastAsia="arial" w:hAnsi="arial" w:cs="arial"/>
          <w:color w:val="000000"/>
          <w:sz w:val="20"/>
          <w:lang w:val="en-US" w:eastAsia="en-US" w:bidi="ar-SA"/>
        </w:rPr>
        <w:t>, s. 2, s. 2(1), s. 2(3), s. 2(4), s. 3, s. 3(4), s. 4(2)(c), s. 5, s. 11, s. 11.2(1), s. 36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Land Title Act, </w:t>
      </w:r>
      <w:hyperlink r:id="rId328" w:history="1">
        <w:r>
          <w:rPr>
            <w:rFonts w:ascii="arial" w:eastAsia="arial" w:hAnsi="arial" w:cs="arial"/>
            <w:i/>
            <w:color w:val="0077CC"/>
            <w:sz w:val="20"/>
            <w:u w:val="single"/>
            <w:shd w:val="clear" w:color="auto" w:fill="FFFFFF"/>
            <w:lang w:val="en-US" w:eastAsia="en-US" w:bidi="ar-SA"/>
          </w:rPr>
          <w:t>RSBC 1996, CHAPTER 250, s. 23</w:t>
        </w:r>
      </w:hyperlink>
      <w:r>
        <w:rPr>
          <w:rFonts w:ascii="arial" w:eastAsia="arial" w:hAnsi="arial" w:cs="arial"/>
          <w:color w:val="000000"/>
          <w:sz w:val="20"/>
          <w:lang w:val="en-US" w:eastAsia="en-US" w:bidi="ar-SA"/>
        </w:rPr>
        <w:t>(2), s. 25.1(1), s. 26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Municipal Heritage site and Heritage Maintenance Bylaw No. 4187,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Society Act, RSBC 1996, CHAPTER 433, s. 2, s. 4</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16" w:name="Counsel_16"/>
      <w:bookmarkEnd w:id="116"/>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12" style="position:absolute;z-index:2517780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Petitioners: John R. Sandrelli, Steven D. Dvorak, Tevia R.M. Jeffries.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University of British Columbia: Amy D. Francis, Claire Wilson.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Attorney General of British Columbia: Shirley P. Kay, Richard D. Butler.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Monitor: Jonathan L. Williams, Zachary J. Ansley.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District of West Vancouver: Francesca V. Marzari, Elizabeth A. Anderson.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Agent for Counsel for 0980469 B.C. Ltd. and Frances Margaret Sloan Sainas and Agent for Counsel for Carlyon Holdings Ltd.: Stephanie Redding, 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Habitat Conservation Trust Foundation: Gregory J. Gehlen, Allan J. Perry.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Trustees/Executors: Stephen R. Schachter, Q.C.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Bull Housser Tupper LLP: William G. MacLeod, E. Jane Milton, Q.C., Sharon I. Walls, appearing on behalf of Ross Bay Villa Society: Sharon I. Walls.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Proposed Purchaser: Robert A. Millar, Daniel A. Byma.</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17" w:name="Judgment_16"/>
      <w:bookmarkEnd w:id="117"/>
      <w:r>
        <w:pict>
          <v:line id="_x0000_s1113" style="position:absolute;z-index:251829248" from="0,12pt" to="512pt,12pt" strokecolor="#009ddb" strokeweight="1.5pt">
            <v:stroke linestyle="single"/>
          </v:line>
        </w:pict>
      </w:r>
    </w:p>
    <w:p>
      <w:p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TLC's Background</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CCAA</w:t>
      </w:r>
      <w:r>
        <w:rPr>
          <w:rFonts w:ascii="arial" w:eastAsia="arial" w:hAnsi="arial" w:cs="arial"/>
          <w:color w:val="000000"/>
          <w:sz w:val="20"/>
          <w:lang w:val="en-US" w:eastAsia="en-US" w:bidi="ar-SA"/>
        </w:rPr>
        <w:t xml:space="preserve"> Proceedings</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Binning House</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Sale Agreement</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Issues</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Summary of the Evidence</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Will Issue</w:t>
      </w:r>
      <w:r>
        <w:rPr>
          <w:rFonts w:ascii="arial" w:eastAsia="arial" w:hAnsi="arial" w:cs="arial"/>
          <w:sz w:val="20"/>
          <w:lang w:val="en-US" w:eastAsia="en-US" w:bidi="ar-SA"/>
        </w:rPr>
        <w:cr/>
      </w:r>
    </w:p>
    <w:p>
      <w:pPr>
        <w:numPr>
          <w:numId w:val="10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Interpretation of the Will (ii) Fraud on a Power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Trust Issues</w:t>
      </w:r>
      <w:r>
        <w:rPr>
          <w:rFonts w:ascii="arial" w:eastAsia="arial" w:hAnsi="arial" w:cs="arial"/>
          <w:sz w:val="20"/>
          <w:lang w:val="en-US" w:eastAsia="en-US" w:bidi="ar-SA"/>
        </w:rPr>
        <w:cr/>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Does the </w:t>
      </w:r>
      <w:r>
        <w:rPr>
          <w:rFonts w:ascii="arial" w:eastAsia="arial" w:hAnsi="arial" w:cs="arial"/>
          <w:i/>
          <w:color w:val="000000"/>
          <w:sz w:val="20"/>
          <w:lang w:val="en-US" w:eastAsia="en-US" w:bidi="ar-SA"/>
        </w:rPr>
        <w:t>CPPA</w:t>
      </w:r>
      <w:r>
        <w:rPr>
          <w:rFonts w:ascii="arial" w:eastAsia="arial" w:hAnsi="arial" w:cs="arial"/>
          <w:color w:val="000000"/>
          <w:sz w:val="20"/>
          <w:lang w:val="en-US" w:eastAsia="en-US" w:bidi="ar-SA"/>
        </w:rPr>
        <w:t xml:space="preserve"> or general trust law apply so as to prevent the sale of the Binning House by TLC on the proposed terms?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Submissions of the AG and the District</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General Principles</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There Certainty Of Intention?</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Specific Purpose Trust a Sham?</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There Certainty Of Objects?</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Trust Cease to Apply?</w:t>
      </w:r>
    </w:p>
    <w:p>
      <w:pPr>
        <w:numPr>
          <w:numId w:val="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Binning House is subject to a statutory or common law trust in the hands of TLC, should the trust be modified?</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any event, is the Binning House exigible by TLC's creditors?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2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18" w:name="S.C. FITZPATRICK J."/>
            <w:bookmarkEnd w:id="118"/>
            <w:r>
              <w:rPr>
                <w:rFonts w:ascii="arial" w:eastAsia="arial" w:hAnsi="arial" w:cs="arial"/>
                <w:b/>
                <w:color w:val="000000"/>
                <w:sz w:val="30"/>
                <w:lang w:val="en-US" w:eastAsia="en-US" w:bidi="ar-SA"/>
              </w:rPr>
              <w:t>S.C. FITZPATRICK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petitioner, TLC The Land Conservancy of British Columbia Inc. No. S36826 ("TLC"), is a society which operates as a land trust. Its mandate is a laudable one: firstly, to secure at-risk environmentally sensitive properties themselves or to transfer those properties to other parties who will hold them; and secondly, to secure conservation covenants on other properties, all for the benefit of society and for generations to 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Unfortunately, TLC's ambitions have outpaced its ability to fund the fulfillment of those ambitions, both in the short and long term. To put it bluntly, TLC does not have the financial resources to maintain and administer the various property interests that it has secured. As such, TLC sought and obtained creditor protection in October 2013 pursuant to the </w:t>
      </w:r>
      <w:r>
        <w:rPr>
          <w:rFonts w:ascii="arial" w:eastAsia="arial" w:hAnsi="arial" w:cs="arial"/>
          <w:i/>
          <w:color w:val="000000"/>
          <w:sz w:val="20"/>
          <w:lang w:val="en-US" w:eastAsia="en-US" w:bidi="ar-SA"/>
        </w:rPr>
        <w:t>Companies' Creditors Arrangement Act</w:t>
      </w:r>
      <w:r>
        <w:rPr>
          <w:rFonts w:ascii="arial" w:eastAsia="arial" w:hAnsi="arial" w:cs="arial"/>
          <w:color w:val="000000"/>
          <w:sz w:val="20"/>
          <w:lang w:val="en-US" w:eastAsia="en-US" w:bidi="ar-SA"/>
        </w:rPr>
        <w:t xml:space="preserve">, </w:t>
      </w:r>
      <w:hyperlink r:id="rId329" w:history="1">
        <w:r>
          <w:rPr>
            <w:rFonts w:ascii="arial" w:eastAsia="arial" w:hAnsi="arial" w:cs="arial"/>
            <w:i/>
            <w:color w:val="0077CC"/>
            <w:sz w:val="20"/>
            <w:u w:val="single"/>
            <w:shd w:val="clear" w:color="auto" w:fill="FFFFFF"/>
            <w:lang w:val="en-US" w:eastAsia="en-US" w:bidi="ar-SA"/>
          </w:rPr>
          <w:t>R.S.C. 1985, c. C-36</w:t>
        </w:r>
      </w:hyperlink>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CCAA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One of the properties which TLC holds is a historically and culturally significant residence in West Vancouver, known as the Binning House. TLC has received an offer to purchase that property and it now seeks court approval of that sale to address its urgent financing needs. To some extent, TLC's fate in these proceedings and its ability to continue with its restructuring efforts depends on its ability to sell the Binning House and use the proceeds towards that 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What stands in the way are various issues raised by other persons: namely, that TLC did not properly obtain title to the Binning House and that TLC is not entitled to either the property or its proceeds; and that if TLC did properly obtain title, TLC is restricted from selling full title to the Binning House by reason of certain provincial legislation, being the </w:t>
      </w:r>
      <w:r>
        <w:rPr>
          <w:rFonts w:ascii="arial" w:eastAsia="arial" w:hAnsi="arial" w:cs="arial"/>
          <w:i/>
          <w:color w:val="000000"/>
          <w:sz w:val="20"/>
          <w:lang w:val="en-US" w:eastAsia="en-US" w:bidi="ar-SA"/>
        </w:rPr>
        <w:t>Charitable Purposes Preservation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2004, c. 59</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CPPA</w:t>
      </w:r>
      <w:r>
        <w:rPr>
          <w:rFonts w:ascii="arial" w:eastAsia="arial" w:hAnsi="arial" w:cs="arial"/>
          <w:color w:val="000000"/>
          <w:sz w:val="20"/>
          <w:lang w:val="en-US" w:eastAsia="en-US" w:bidi="ar-SA"/>
        </w:rPr>
        <w:t>"), or common law trust obligations.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stakeholders say that this decision may potentially have implications for other properties held by TLC. Even if that is so (and I make no comment on that), the more specific issue here is the fate of the Binning House. Binning House is not a revenue generating property and like many older homes, requires substantial maintenance and repairs. Someone will have to expend substantial sums of money for its upkeep.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All the stakeholders, including TLC, have expressed an interest in ensuring that the Binning House is preserved into the future. The sad fact though is that TLC is no longer financially able or willing to do so. More importantly, up to this point in time, no person, government (provincial or municipal), educational institution or charity has come forward to take on such an undertaking, other than the purchaser now proposed by TLC.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TLC's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In 1996, TLC was registered as a society pursuant to the </w:t>
      </w:r>
      <w:r>
        <w:rPr>
          <w:rFonts w:ascii="arial" w:eastAsia="arial" w:hAnsi="arial" w:cs="arial"/>
          <w:i/>
          <w:color w:val="000000"/>
          <w:sz w:val="20"/>
          <w:lang w:val="en-US" w:eastAsia="en-US" w:bidi="ar-SA"/>
        </w:rPr>
        <w:t>Society Act</w:t>
      </w:r>
      <w:r>
        <w:rPr>
          <w:rFonts w:ascii="arial" w:eastAsia="arial" w:hAnsi="arial" w:cs="arial"/>
          <w:color w:val="000000"/>
          <w:sz w:val="20"/>
          <w:lang w:val="en-US" w:eastAsia="en-US" w:bidi="ar-SA"/>
        </w:rPr>
        <w:t xml:space="preserve">, </w:t>
      </w:r>
      <w:hyperlink r:id="rId330" w:history="1">
        <w:r>
          <w:rPr>
            <w:rFonts w:ascii="arial" w:eastAsia="arial" w:hAnsi="arial" w:cs="arial"/>
            <w:i/>
            <w:color w:val="0077CC"/>
            <w:sz w:val="20"/>
            <w:u w:val="single"/>
            <w:shd w:val="clear" w:color="auto" w:fill="FFFFFF"/>
            <w:lang w:val="en-US" w:eastAsia="en-US" w:bidi="ar-SA"/>
          </w:rPr>
          <w:t>R.S.B.C. 1996, c. 433</w:t>
        </w:r>
      </w:hyperlink>
      <w:r>
        <w:rPr>
          <w:rFonts w:ascii="arial" w:eastAsia="arial" w:hAnsi="arial" w:cs="arial"/>
          <w:color w:val="000000"/>
          <w:sz w:val="20"/>
          <w:lang w:val="en-US" w:eastAsia="en-US" w:bidi="ar-SA"/>
        </w:rPr>
        <w:t>. Its stated goal was to act as a land trust in order to protect certain lands with ecological, agricultural or cultural importance.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Article 2 of TLC's Constitution sets out its purposes:</w:t>
      </w:r>
      <w:r>
        <w:rPr>
          <w:rFonts w:ascii="arial" w:eastAsia="arial" w:hAnsi="arial" w:cs="arial"/>
          <w:sz w:val="20"/>
          <w:lang w:val="en-US" w:eastAsia="en-US" w:bidi="ar-SA"/>
        </w:rPr>
        <w:cr/>
      </w:r>
    </w:p>
    <w:p>
      <w:pPr>
        <w:numPr>
          <w:numId w:val="1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to contribute to and improve the education, health and welfare of the general public and to benefit the community as a whole by the promotion and encouragement of the protection, preservation, restoration, beneficial use and management of primarily;</w:t>
      </w:r>
    </w:p>
    <w:p>
      <w:pPr>
        <w:numPr>
          <w:numId w:val="1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plants, animals and natural communities that represent diversity of life on Earth by protecting the lands and waters they need to survive, and secondarily:</w:t>
      </w:r>
    </w:p>
    <w:p>
      <w:pPr>
        <w:numPr>
          <w:numId w:val="1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areas of scientific, historical, cultural, scenic and compatible outdoor recreational value;</w:t>
      </w:r>
    </w:p>
    <w:p>
      <w:pPr>
        <w:numPr>
          <w:numId w:val="1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to promote such charitable activities or endeavors, including the acquisition, management and disposal of land and interests in land, as may in the opinion of the Society board of directors appear to contribute to the above objectives;</w:t>
      </w:r>
    </w:p>
    <w:p>
      <w:pPr>
        <w:numPr>
          <w:numId w:val="1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To encourage co-operation in, support for and research into, and education regarding all matters pertaining to the fulfillment of the above objectives;</w:t>
      </w:r>
    </w:p>
    <w:p>
      <w:pPr>
        <w:numPr>
          <w:numId w:val="1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to do all such other things as are incidental or ancillary to the attainment of the purposes and the exercise of the powers of [TLC].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Since 1996, TLC has protected over 250 properties by securing those properties and transferring them to other land trusts or government park departments or agencies. By 2013, TLC had also secured and was holding 50 other properties in addition to having secured approximately 250 conservations covenants on various properties which it monitors in terms of ensuring compliance with those covenants.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Historically, TLC obtained funding from a variety of sources, including: private or community foundations, individual donations, membership dues, other land trusts, corporate donations, gaming commission money, government grants, community collectives and event and direct product sales. In some instances, TLC obtained mortgage funding in order to obtain certain properties quickly where there was urgent need for protection or in anticipation of later funding which unfortunately never materialized. Funding from the usual sources, including government agencies, has dropped significantly over the last few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financial difficulties that arose were first formally addressed by TLC beginning in 2009 and various restructuring options were explored. However, these efforts did not garner any significant success. By early 2012, some of the mortgages were in default and foreclosure proceedings were commenced. Remittances to Canada Revenue Agency were also in arrears. TLC was also, by this time, unable to fund the management of its portfolio of covenants.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TLC's problems were compounded by various restrictions as to how they could deal with the various properties. TLC's Bylaws set out certain powers and actions the TLC Board of directors may exercise in respect of property owned by TLC. In particular, the Bylaws contemplated that properties could be designated as "inalienable" and that once designated, TLC was prohibited from mortgaging or selling that property save in certain limited circumstances. Over half of the 50 properties were so designated. These provisions were designed to enhance the permanence of these conservation efforts but they have also largely hamstrung TLC in finding a solution to its financial woes.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As of October 2013, TLC owed in excess of $7.5 million to its secured and unsecured creditors. The value of TLC's properties exceeds $43.7 million.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 xml:space="preserve">The </w:t>
      </w:r>
      <w:r>
        <w:rPr>
          <w:rFonts w:ascii="arial" w:eastAsia="arial" w:hAnsi="arial" w:cs="arial"/>
          <w:b/>
          <w:i/>
          <w:color w:val="000000"/>
          <w:sz w:val="20"/>
          <w:u w:val="single"/>
          <w:lang w:val="en-US" w:eastAsia="en-US" w:bidi="ar-SA"/>
        </w:rPr>
        <w:t>CCAA</w:t>
      </w:r>
      <w:r>
        <w:rPr>
          <w:rFonts w:ascii="arial" w:eastAsia="arial" w:hAnsi="arial" w:cs="arial"/>
          <w:b/>
          <w:color w:val="000000"/>
          <w:sz w:val="20"/>
          <w:u w:val="single"/>
          <w:lang w:val="en-US" w:eastAsia="en-US" w:bidi="ar-SA"/>
        </w:rPr>
        <w:t xml:space="preserv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On October 7, 2013, TLC sought creditor protection pursuant to the </w:t>
      </w:r>
      <w:r>
        <w:rPr>
          <w:rFonts w:ascii="arial" w:eastAsia="arial" w:hAnsi="arial" w:cs="arial"/>
          <w:i/>
          <w:color w:val="000000"/>
          <w:sz w:val="20"/>
          <w:lang w:val="en-US" w:eastAsia="en-US" w:bidi="ar-SA"/>
        </w:rPr>
        <w:t>CCAA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One of the first issues addressed was whether TLC could, as a society, seek protection under the </w:t>
      </w:r>
      <w:r>
        <w:rPr>
          <w:rFonts w:ascii="arial" w:eastAsia="arial" w:hAnsi="arial" w:cs="arial"/>
          <w:i/>
          <w:color w:val="000000"/>
          <w:sz w:val="20"/>
          <w:lang w:val="en-US" w:eastAsia="en-US" w:bidi="ar-SA"/>
        </w:rPr>
        <w:t>CCAA</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CCAA</w:t>
      </w:r>
      <w:r>
        <w:rPr>
          <w:rFonts w:ascii="arial" w:eastAsia="arial" w:hAnsi="arial" w:cs="arial"/>
          <w:color w:val="000000"/>
          <w:sz w:val="20"/>
          <w:lang w:val="en-US" w:eastAsia="en-US" w:bidi="ar-SA"/>
        </w:rPr>
        <w:t xml:space="preserve"> applies to a "debtor company" (s. 3). Section 2 defines debtor company as a "company" and "company" is defined as meaning and including: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any company, corporation or legal person incorporated by or under an Act of Parliament or of the legislature of a province, any incorporated company having assets or doing business in Canada, wherever incorporated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Society Act</w:t>
      </w:r>
      <w:r>
        <w:rPr>
          <w:rFonts w:ascii="arial" w:eastAsia="arial" w:hAnsi="arial" w:cs="arial"/>
          <w:color w:val="000000"/>
          <w:sz w:val="20"/>
          <w:lang w:val="en-US" w:eastAsia="en-US" w:bidi="ar-SA"/>
        </w:rPr>
        <w:t xml:space="preserve">, s. 2 provides that a society may be "incorporated" under that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Further, s. 4 of that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Effect of incorporation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 (1) From the date of the certificate of incorporation, the members of a society are members of a corporation</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 the name contained in the certificate,</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having perpetual succession,</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 the right to a seal, and</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 the powers and capacity of a natural person of full capacity as may be required to pursue its purposes.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In similar circumstances, the Ontario courts have granted protection to a society under the </w:t>
      </w:r>
      <w:r>
        <w:rPr>
          <w:rFonts w:ascii="arial" w:eastAsia="arial" w:hAnsi="arial" w:cs="arial"/>
          <w:i/>
          <w:color w:val="000000"/>
          <w:sz w:val="20"/>
          <w:lang w:val="en-US" w:eastAsia="en-US" w:bidi="ar-SA"/>
        </w:rPr>
        <w:t>CCAA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Canadian Red Cross Society (Re)</w:t>
      </w:r>
      <w:r>
        <w:rPr>
          <w:rFonts w:ascii="arial" w:eastAsia="arial" w:hAnsi="arial" w:cs="arial"/>
          <w:color w:val="000000"/>
          <w:sz w:val="20"/>
          <w:lang w:val="en-US" w:eastAsia="en-US" w:bidi="ar-SA"/>
        </w:rPr>
        <w:t xml:space="preserve">, </w:t>
      </w:r>
      <w:hyperlink r:id="rId331" w:history="1">
        <w:r>
          <w:rPr>
            <w:rFonts w:ascii="arial" w:eastAsia="arial" w:hAnsi="arial" w:cs="arial"/>
            <w:i/>
            <w:color w:val="0077CC"/>
            <w:sz w:val="20"/>
            <w:u w:val="single"/>
            <w:shd w:val="clear" w:color="auto" w:fill="FFFFFF"/>
            <w:lang w:val="en-US" w:eastAsia="en-US" w:bidi="ar-SA"/>
          </w:rPr>
          <w:t>[1998] O.J. No. 3306</w:t>
        </w:r>
      </w:hyperlink>
      <w:r>
        <w:rPr>
          <w:rFonts w:ascii="arial" w:eastAsia="arial" w:hAnsi="arial" w:cs="arial"/>
          <w:color w:val="000000"/>
          <w:sz w:val="20"/>
          <w:lang w:val="en-US" w:eastAsia="en-US" w:bidi="ar-SA"/>
        </w:rPr>
        <w:t xml:space="preserve"> (Ct. J. (Gen.Div.)), leave to appeal to ONCA refused </w:t>
      </w:r>
      <w:hyperlink r:id="rId332" w:history="1">
        <w:r>
          <w:rPr>
            <w:rFonts w:ascii="arial" w:eastAsia="arial" w:hAnsi="arial" w:cs="arial"/>
            <w:i/>
            <w:color w:val="0077CC"/>
            <w:sz w:val="20"/>
            <w:u w:val="single"/>
            <w:shd w:val="clear" w:color="auto" w:fill="FFFFFF"/>
            <w:lang w:val="en-US" w:eastAsia="en-US" w:bidi="ar-SA"/>
          </w:rPr>
          <w:t>[1998] O.J. No. 6562</w:t>
        </w:r>
      </w:hyperlink>
      <w:r>
        <w:rPr>
          <w:rFonts w:ascii="arial" w:eastAsia="arial" w:hAnsi="arial" w:cs="arial"/>
          <w:color w:val="000000"/>
          <w:sz w:val="20"/>
          <w:lang w:val="en-US" w:eastAsia="en-US" w:bidi="ar-SA"/>
        </w:rPr>
        <w:t xml:space="preserve">. Although in a different context, this court has recognized the status of a society as that of a corporation: </w:t>
      </w:r>
      <w:r>
        <w:rPr>
          <w:rFonts w:ascii="arial" w:eastAsia="arial" w:hAnsi="arial" w:cs="arial"/>
          <w:i/>
          <w:color w:val="000000"/>
          <w:sz w:val="20"/>
          <w:lang w:val="en-US" w:eastAsia="en-US" w:bidi="ar-SA"/>
        </w:rPr>
        <w:t>International Taoist Church of Canada v. Ching Chung Taoist Association of Hong Kong Limited</w:t>
      </w:r>
      <w:r>
        <w:rPr>
          <w:rFonts w:ascii="arial" w:eastAsia="arial" w:hAnsi="arial" w:cs="arial"/>
          <w:color w:val="000000"/>
          <w:sz w:val="20"/>
          <w:lang w:val="en-US" w:eastAsia="en-US" w:bidi="ar-SA"/>
        </w:rPr>
        <w:t xml:space="preserve">, </w:t>
      </w:r>
      <w:hyperlink r:id="rId333" w:history="1">
        <w:r>
          <w:rPr>
            <w:rFonts w:ascii="arial" w:eastAsia="arial" w:hAnsi="arial" w:cs="arial"/>
            <w:i/>
            <w:color w:val="0077CC"/>
            <w:sz w:val="20"/>
            <w:u w:val="single"/>
            <w:shd w:val="clear" w:color="auto" w:fill="FFFFFF"/>
            <w:lang w:val="en-US" w:eastAsia="en-US" w:bidi="ar-SA"/>
          </w:rPr>
          <w:t>2010 BCSC 1164</w:t>
        </w:r>
      </w:hyperlink>
      <w:r>
        <w:rPr>
          <w:rFonts w:ascii="arial" w:eastAsia="arial" w:hAnsi="arial" w:cs="arial"/>
          <w:color w:val="000000"/>
          <w:sz w:val="20"/>
          <w:lang w:val="en-US" w:eastAsia="en-US" w:bidi="ar-SA"/>
        </w:rPr>
        <w:t xml:space="preserve"> at para. 23, rev'd on other grounds </w:t>
      </w:r>
      <w:hyperlink r:id="rId334" w:history="1">
        <w:r>
          <w:rPr>
            <w:rFonts w:ascii="arial" w:eastAsia="arial" w:hAnsi="arial" w:cs="arial"/>
            <w:i/>
            <w:color w:val="0077CC"/>
            <w:sz w:val="20"/>
            <w:u w:val="single"/>
            <w:shd w:val="clear" w:color="auto" w:fill="FFFFFF"/>
            <w:lang w:val="en-US" w:eastAsia="en-US" w:bidi="ar-SA"/>
          </w:rPr>
          <w:t>2011 BCCA 149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On the basis of these authorities and a plain reading of the legislation, I was satisfied that as a society, TLC was able to seek creditor protection under the </w:t>
      </w:r>
      <w:r>
        <w:rPr>
          <w:rFonts w:ascii="arial" w:eastAsia="arial" w:hAnsi="arial" w:cs="arial"/>
          <w:i/>
          <w:color w:val="000000"/>
          <w:sz w:val="20"/>
          <w:lang w:val="en-US" w:eastAsia="en-US" w:bidi="ar-SA"/>
        </w:rPr>
        <w:t>CCAA</w:t>
      </w:r>
      <w:r>
        <w:rPr>
          <w:rFonts w:ascii="arial" w:eastAsia="arial" w:hAnsi="arial" w:cs="arial"/>
          <w:color w:val="000000"/>
          <w:sz w:val="20"/>
          <w:lang w:val="en-US" w:eastAsia="en-US" w:bidi="ar-SA"/>
        </w:rPr>
        <w:t xml:space="preserve"> and on October 7, 2013, this Court granted an Initial Order (the "Initial Order"). At that time, TLC's stated intention was to restructure its operations, assets and affairs to enable it to continue its conservation efforts and fulfill TLC's general purposes as a land trust in British Columbia. The restructuring was intended to be accomplished through a reduction in operating costs, retirement or restructuring its debt, growing its membership and funding and perhaps most importantly, adopting a more entrepreneurial model that would see a more secure basis for funding of its properties. Critical to this plan was the sale or transfer of its land holdings to the extent possible in order to eliminate debt and fund its ongoing operating and restructuring efforts. The Initial Order requires that this Court approve any sale of TLC's properties, including the Binning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Initial Order provided for the appointment of Wolrige Mahon Limited as Monitor. An Administration Charge of $500,000 and a Directors' Charge of $500,000 were approved at that time. In addition, interim financing in the amount of $1.85 million was approved in order to fund TLC during the restructuring proceedings and these funds were secured by a DIP Lenders' Charge. All of these charges were secured against eight separate properties of TLC which mostly include those identified by the Monitor as "heritage properties which have varying degrees of marketability and have special interest group support that is dedicated to ensure each property's special character is maintained and preserved". One of the properties which was made subject to the charges under the Initial Order is the Binning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On November 4, 2013, this Court extended the Initial Order and at the time of the hearing, the stay of proceedings was to expire on January 20, 2014. Since then, the stay has been further extended to the end of April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At least two other properties are for sale, although both are subject to mortgages and any equity realized is not expected to be sufficient to materially advance TLC's efforts to restructure. As such, TLC urgently requires funding in order to move forward with its restructuring efforts. While opponents of the sale have decried the "monetization" of the Binning House to satisfy TLC's creditors, this is a simplistic and to some extent inaccurate description of what is intended. TLC has been using credit to support its conservancy efforts, which include those relating to Binning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In addition, if TLC is to survive its financial difficulties and continue with its conservation efforts, it must have the ability to fund the continuation of this proceeding under the </w:t>
      </w:r>
      <w:r>
        <w:rPr>
          <w:rFonts w:ascii="arial" w:eastAsia="arial" w:hAnsi="arial" w:cs="arial"/>
          <w:i/>
          <w:color w:val="000000"/>
          <w:sz w:val="20"/>
          <w:lang w:val="en-US" w:eastAsia="en-US" w:bidi="ar-SA"/>
        </w:rPr>
        <w:t>CCAA</w:t>
      </w:r>
      <w:r>
        <w:rPr>
          <w:rFonts w:ascii="arial" w:eastAsia="arial" w:hAnsi="arial" w:cs="arial"/>
          <w:color w:val="000000"/>
          <w:sz w:val="20"/>
          <w:lang w:val="en-US" w:eastAsia="en-US" w:bidi="ar-SA"/>
        </w:rPr>
        <w:t>. In that sense, obtaining these sale proceeds represents a key part of ensuring the attainment of these laudable goals. Accordingly, the fate of TLC is somewhat linked to the Binning House and the reverse is also true; the fate of the Binning House is somewhat linked to the fate of TLC.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Binning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Binning House is located in West Vancouver. It was designed and constructed in 1941 by Bertram Charles (B.C.) Binning, a well-known Canadian artist. Since its construction and continuing to this day, it has been recognized as one of the first and finest examples of the West Coast modern architectural movement. For that reason, since its construction, the Binning House was seen as having significant cultural and heritage value, both nationally and locally and it remains so to this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On the death of B.C. Binning in 1976, the Binning House passed to his widow, Jessie Binning.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Binning House was designated a national historic site of Canada on March 12,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1999, the District of West Vancouver (the "District") passed certain bylaws (the "Bylaws") at the request of Jessie Binning, being Heritage Designation Bylaw No. 4157, 1999, designating the Binning House as a Municipal Heritage site and Heritage Maintenance Bylaw No. 4187, 1999, establishing maintenance standards for Heritage Designated Buildings and Sites. Title to the Binning House references a notation as to the Notice of Heritage Status.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Designation Bylaw sets out the components and features of the Binning House designated for heritage protection, the requirement that the Binning House be "maintained in good order" in accordance with the Maintenance Bylaw, and the requirement to seek authorization of the District's Director of Planning and Development in order to make any changes to the interior or exterior finishes not otherwise permitted by the Bylaws.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2007, Jessie Binning passed away without any direct heirs. Details of her last will are in issue on this application, as discussed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Through a series of transactions in 2008, which will be discussed in more detail below, the executors of Jessie Binning's estate (the "Estate") began working with TLC to ensure that the Binning House would be preserved into the future. The process that was agreed upon involved the setting up of a separate society called the Binning Heritage Property Society ("BHPS").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On October 16, 2008, title to the Binning House was transferred from the Estate to this new society and immediately thereafter, BHPS transferred the Binning House to TLC. A Deed of Gift was also executed by both BHPS and TLC at the same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Since that time, the Binning House has been administered by TLC as one of the many properties under its control and it has been dealt with in accordance with its general purposes. In particular, all revenue relating to the Binning House has been deposited into its general operating account and all disbursements have been paid from this same account although TLC maintained operating budgets specifically relating to the property. Unlike some of its properties, TLC never designated the Binning House as "inalienable".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the period of approximately five years since TLC took title to the Binning House, the Binning House has been available for public viewing and public use from time to time, either through guided tours, open houses or special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only charges against Binning House are the charges granted in the Initial Order, as noted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October 2011, TLC arranged for a tenant or warden to reside in the Binning House to provide security and assist in minor maintenance and facilitate any tours, events and workshops there. The warden has been paying $700 per month in rent to TLC which has been deposited into TLC's general revenue.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TLC has completed only minor maintenance and no capital improvements to the Binning House since it was acquired in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Sale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On October 28, 2013, TLC received an unsolicited offer from BJW Real Estate Holdings Ltd. ("BJW") to purchase the Binning House for $1.6 million, subject only to the Bylaws. The offer included all personal property on the premises, including: artwork, drawings and furniture associated with B.C. and Jessie Binning. The offer initially contemplated a closing at the end of November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It was later revealed that the person behind the BJW offer was in fact Bruno Wall, a Vancouver businessman. Mr. Wall has been collecting the works of B.C. Binning for over ten years and has accumulated a significant collection to date. As such, he clearly has an interest in acquiring this large "work" of B.C. Binning. Mr. Wall's offer requires that title to the Binning House be transferred to him free of any trust or other requirements.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After inspecting the Binning House, BJW obtained the services of an engineer to determine the condition of it. The engineering report obtained by BJW indicates that Binning House is in a "structurally satisfactory condition" but it requires some repairs and a "regular building maintenance program". The engineer estimated that $150,000 to $200,000 would be required for those repairs, to prevent further structural deterioration and to ensure compliance with the Bylaws. BJW or Mr. Wall has the financial resources to have this work performed.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Mr. Wall has indicated that he will review all reasonable proposals for public access and educational purposes once the property is restored.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offer exceeds the 2013 assessed value of Binning House in the amount of $1,519,900. In December 2012, TLC had received another unsolicited offer in the amount of $700,000. In addition, based on the valuation information gathered by TLC indicating a range of $1,775,000-$1,825,000, TLC is satisfied that the offer represents fair market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On the basis of the above, TLC decided that the offer was a provident one and the offer was accepted, subject to court approval. In particular and in light of its stated purpose under its Constitution, TLC was of the view that BJW/Mr. Wall was a suitable and appropriate purchaser for the Binning House since Mr. Wall was expected to preserve and protect the Binning House in accordance with the Bylaws.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Further, TLC is of the view that the sale of the Binning House would further the goals of its restructuring efforts by divesting it and freeing up necessary funds to facilitate these </w:t>
      </w:r>
      <w:r>
        <w:rPr>
          <w:rFonts w:ascii="arial" w:eastAsia="arial" w:hAnsi="arial" w:cs="arial"/>
          <w:i/>
          <w:color w:val="000000"/>
          <w:sz w:val="20"/>
          <w:lang w:val="en-US" w:eastAsia="en-US" w:bidi="ar-SA"/>
        </w:rPr>
        <w:t>CCAA</w:t>
      </w:r>
      <w:r>
        <w:rPr>
          <w:rFonts w:ascii="arial" w:eastAsia="arial" w:hAnsi="arial" w:cs="arial"/>
          <w:color w:val="000000"/>
          <w:sz w:val="20"/>
          <w:lang w:val="en-US" w:eastAsia="en-US" w:bidi="ar-SA"/>
        </w:rPr>
        <w:t xml:space="preserve"> proceedings. Retaining the Binning House is not essential to TLC's restructuring goals.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anticipation of the sale, TLC has now given the warden notice to vacate the premises by the end of January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At the November 4, 2013 hearing, counsel for TLC referred to the conditionally accepted offer to purchase and that an application would be brought on quickly to obtain the necessary court approval. By that time, however, opposition to the sale was beginning to mount. At the return of the application on November 18, 2013, BHPS was not present; however, substantial others interests, including the District, were aligned against TLC's sale of the Binning House. Alternatively, if the sale was approved, the University of British Columbia ("UBC"), a beneficiary under the will in question, asserted that it was entitled to the proceeds of the sale. The Attorney General of British Columbia (the "AG") indicated her intention to provide the court with assistance on the trust issues raised and generally speaking, the AG submitted that TLC did not hold beneficial interest in the Binning House that could be sold.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The arguments against the sale raise substantial issues relating to TLC's right to deal with the Binning House in light of the potential application of the </w:t>
      </w:r>
      <w:r>
        <w:rPr>
          <w:rFonts w:ascii="arial" w:eastAsia="arial" w:hAnsi="arial" w:cs="arial"/>
          <w:i/>
          <w:color w:val="000000"/>
          <w:sz w:val="20"/>
          <w:lang w:val="en-US" w:eastAsia="en-US" w:bidi="ar-SA"/>
        </w:rPr>
        <w:t>CPPA</w:t>
      </w:r>
      <w:r>
        <w:rPr>
          <w:rFonts w:ascii="arial" w:eastAsia="arial" w:hAnsi="arial" w:cs="arial"/>
          <w:color w:val="000000"/>
          <w:sz w:val="20"/>
          <w:lang w:val="en-US" w:eastAsia="en-US" w:bidi="ar-SA"/>
        </w:rPr>
        <w:t xml:space="preserve"> and general trust law and issues relating to the interpretation of Jessie Binning's will. Before I address those issues, I will briefly address the issue in relation to this sale under the </w:t>
      </w:r>
      <w:r>
        <w:rPr>
          <w:rFonts w:ascii="arial" w:eastAsia="arial" w:hAnsi="arial" w:cs="arial"/>
          <w:i/>
          <w:color w:val="000000"/>
          <w:sz w:val="20"/>
          <w:lang w:val="en-US" w:eastAsia="en-US" w:bidi="ar-SA"/>
        </w:rPr>
        <w:t>CCAA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Section 36 of the </w:t>
      </w:r>
      <w:r>
        <w:rPr>
          <w:rFonts w:ascii="arial" w:eastAsia="arial" w:hAnsi="arial" w:cs="arial"/>
          <w:i/>
          <w:color w:val="000000"/>
          <w:sz w:val="20"/>
          <w:lang w:val="en-US" w:eastAsia="en-US" w:bidi="ar-SA"/>
        </w:rPr>
        <w:t>CCAA</w:t>
      </w:r>
      <w:r>
        <w:rPr>
          <w:rFonts w:ascii="arial" w:eastAsia="arial" w:hAnsi="arial" w:cs="arial"/>
          <w:color w:val="000000"/>
          <w:sz w:val="20"/>
          <w:lang w:val="en-US" w:eastAsia="en-US" w:bidi="ar-SA"/>
        </w:rPr>
        <w:t xml:space="preserve">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Restriction on disposition of business assets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(1) A debtor company in respect of which an order has been made under this Act may not sell or otherwise dispose of assets outside the ordinary course of business unless authorized to do so by a court. Despite any requirement for shareholder approval, including one under federal or provincial law, the court may authorize the sale or disposition even if shareholder approval was not obtained.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Factors to be considered</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deciding whether to grant the authorization, the court is to consider, among other things,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a</w:t>
      </w:r>
      <w:r>
        <w:rPr>
          <w:rFonts w:ascii="arial" w:eastAsia="arial" w:hAnsi="arial" w:cs="arial"/>
          <w:color w:val="000000"/>
          <w:sz w:val="20"/>
          <w:lang w:val="en-US" w:eastAsia="en-US" w:bidi="ar-SA"/>
        </w:rPr>
        <w:t>) whether the process leading to the proposed sale or disposition was reasonable in the circumstances;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b</w:t>
      </w:r>
      <w:r>
        <w:rPr>
          <w:rFonts w:ascii="arial" w:eastAsia="arial" w:hAnsi="arial" w:cs="arial"/>
          <w:color w:val="000000"/>
          <w:sz w:val="20"/>
          <w:lang w:val="en-US" w:eastAsia="en-US" w:bidi="ar-SA"/>
        </w:rPr>
        <w:t>) whether the monitor approved the process leading to the proposed sale or disposition;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c</w:t>
      </w:r>
      <w:r>
        <w:rPr>
          <w:rFonts w:ascii="arial" w:eastAsia="arial" w:hAnsi="arial" w:cs="arial"/>
          <w:color w:val="000000"/>
          <w:sz w:val="20"/>
          <w:lang w:val="en-US" w:eastAsia="en-US" w:bidi="ar-SA"/>
        </w:rPr>
        <w:t>) whether the monitor filed with the court a report stating that in their opinion the sale or disposition would be more beneficial to the creditors than a sale or disposition under a bankruptcy;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d</w:t>
      </w:r>
      <w:r>
        <w:rPr>
          <w:rFonts w:ascii="arial" w:eastAsia="arial" w:hAnsi="arial" w:cs="arial"/>
          <w:color w:val="000000"/>
          <w:sz w:val="20"/>
          <w:lang w:val="en-US" w:eastAsia="en-US" w:bidi="ar-SA"/>
        </w:rPr>
        <w:t>) the extent to which the creditors were consulted;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e</w:t>
      </w:r>
      <w:r>
        <w:rPr>
          <w:rFonts w:ascii="arial" w:eastAsia="arial" w:hAnsi="arial" w:cs="arial"/>
          <w:color w:val="000000"/>
          <w:sz w:val="20"/>
          <w:lang w:val="en-US" w:eastAsia="en-US" w:bidi="ar-SA"/>
        </w:rPr>
        <w:t>) the effects of the proposed sale or disposition on the creditors and other interested parties; and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f</w:t>
      </w:r>
      <w:r>
        <w:rPr>
          <w:rFonts w:ascii="arial" w:eastAsia="arial" w:hAnsi="arial" w:cs="arial"/>
          <w:color w:val="000000"/>
          <w:sz w:val="20"/>
          <w:lang w:val="en-US" w:eastAsia="en-US" w:bidi="ar-SA"/>
        </w:rPr>
        <w:t>) whether the consideration to be received for the assets is reasonable and fair, taking into account their market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There are obviously some factors set out in s. 36(3) which make this proposed sale somewhat unusual. First and foremost, this offer was unsolicited and therefore, there was no "process" by which it was obtained in order to test the market for its value. This point is somewhat muted by the fact that this proposed sale has now been covered extensively in the press since November 2013, although I will return to this matter in relation to the trust issues. Despite some suggestion during the hearing that another offer might materialize, I am advised that no other offeror has come forward.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In any event, the offer exceeds the assessed price and TLC's efforts to determine value has confirmed the reasonableness of the amount, particularly in light of the repairs that need to be done to the Binning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Secondly, general creditors have not been consulted. No secured creditors have mortgages against title. The DIP Lenders support the sale. Assuming that the offer represents fair market value, there is obvious benefit to the general creditors in shedding an asset which results in a cash drain and which results in the monetization of the Binning House for TLC's urgent financing needs.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Finally and importantly, the Monitor has fully reviewed the situation and fully supports the sale in accordance with its Second Report to Court on November 14, 2013. The Monitor supports the assertion of TLC that the offer is at fair market value and that its sale is provident at this time in terms of freeing up badly needed operating funds for not only the restructuring process but its continuing mandate to protect its various property interests. Indeed, since the fall of 2013, TLC's funding needs have become more acute and it appears that ongoing operations are only possible because professional fees are not being paid when incurred.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Monitor notes that TLC has been funding the management of the Binning House from its general operating funds since, despite its initial intentions, it did not obtain any funding specifically for the purpose of maintaining and preserving the Binning House. Despite having been granted some property tax relief from the District and having received various specific grants over the years, the Monitor also notes that TLC does not have the financial capability to manage, maintain and preserve the Binning House into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No person has asserted that the statutory test in s. 36 of the </w:t>
      </w:r>
      <w:r>
        <w:rPr>
          <w:rFonts w:ascii="arial" w:eastAsia="arial" w:hAnsi="arial" w:cs="arial"/>
          <w:i/>
          <w:color w:val="000000"/>
          <w:sz w:val="20"/>
          <w:lang w:val="en-US" w:eastAsia="en-US" w:bidi="ar-SA"/>
        </w:rPr>
        <w:t>CCAA</w:t>
      </w:r>
      <w:r>
        <w:rPr>
          <w:rFonts w:ascii="arial" w:eastAsia="arial" w:hAnsi="arial" w:cs="arial"/>
          <w:color w:val="000000"/>
          <w:sz w:val="20"/>
          <w:lang w:val="en-US" w:eastAsia="en-US" w:bidi="ar-SA"/>
        </w:rPr>
        <w:t xml:space="preserve"> has not been met on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Accordingly, at the outset and in these unusual circumstances, I am satisfied that, assuming that the Binning House is TLC's "asset" available for disposition by it (i.e. subject to the will and </w:t>
      </w:r>
      <w:r>
        <w:rPr>
          <w:rFonts w:ascii="arial" w:eastAsia="arial" w:hAnsi="arial" w:cs="arial"/>
          <w:i/>
          <w:color w:val="000000"/>
          <w:sz w:val="20"/>
          <w:lang w:val="en-US" w:eastAsia="en-US" w:bidi="ar-SA"/>
        </w:rPr>
        <w:t>CPPA</w:t>
      </w:r>
      <w:r>
        <w:rPr>
          <w:rFonts w:ascii="arial" w:eastAsia="arial" w:hAnsi="arial" w:cs="arial"/>
          <w:color w:val="000000"/>
          <w:sz w:val="20"/>
          <w:lang w:val="en-US" w:eastAsia="en-US" w:bidi="ar-SA"/>
        </w:rPr>
        <w:t>/trust issues discussed below), a sale of the Binning House is appropriate at this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issues are:</w:t>
      </w:r>
      <w:r>
        <w:rPr>
          <w:rFonts w:ascii="arial" w:eastAsia="arial" w:hAnsi="arial" w:cs="arial"/>
          <w:sz w:val="20"/>
          <w:lang w:val="en-US" w:eastAsia="en-US" w:bidi="ar-SA"/>
        </w:rPr>
        <w:cr/>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The Will Issue</w:t>
      </w:r>
      <w:r>
        <w:rPr>
          <w:rFonts w:ascii="arial" w:eastAsia="arial" w:hAnsi="arial" w:cs="arial"/>
          <w:color w:val="000000"/>
          <w:sz w:val="20"/>
          <w:lang w:val="en-US" w:eastAsia="en-US" w:bidi="ar-SA"/>
        </w:rPr>
        <w:t>: did Jessie Binning's will allow the transfer of the Binning House to BHPS and then to TLC?</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The Trust Issues</w:t>
      </w:r>
      <w:r>
        <w:rPr>
          <w:rFonts w:ascii="arial" w:eastAsia="arial" w:hAnsi="arial" w:cs="arial"/>
          <w:color w:val="000000"/>
          <w:sz w:val="20"/>
          <w:lang w:val="en-US" w:eastAsia="en-US" w:bidi="ar-SA"/>
        </w:rPr>
        <w:t>:</w:t>
      </w:r>
    </w:p>
    <w:p>
      <w:pPr>
        <w:numPr>
          <w:numId w:val="1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does the </w:t>
      </w:r>
      <w:r>
        <w:rPr>
          <w:rFonts w:ascii="arial" w:eastAsia="arial" w:hAnsi="arial" w:cs="arial"/>
          <w:i/>
          <w:color w:val="000000"/>
          <w:sz w:val="20"/>
          <w:lang w:val="en-US" w:eastAsia="en-US" w:bidi="ar-SA"/>
        </w:rPr>
        <w:t>CPPA</w:t>
      </w:r>
      <w:r>
        <w:rPr>
          <w:rFonts w:ascii="arial" w:eastAsia="arial" w:hAnsi="arial" w:cs="arial"/>
          <w:color w:val="000000"/>
          <w:sz w:val="20"/>
          <w:lang w:val="en-US" w:eastAsia="en-US" w:bidi="ar-SA"/>
        </w:rPr>
        <w:t xml:space="preserve"> or general trust law apply so as to prevent the sale of the Binning House by TLC on the proposed terms?</w:t>
      </w:r>
    </w:p>
    <w:p>
      <w:pPr>
        <w:numPr>
          <w:numId w:val="1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Binning House is subject to a statutory or common law trust in the hands of TLC, should the trust be modified?</w:t>
      </w:r>
    </w:p>
    <w:p>
      <w:pPr>
        <w:numPr>
          <w:numId w:val="2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 any event, is the Binning House exigible by TLC's creditors?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 of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As stated above, Jessie Binning died in May 2007 leaving her last will and testament dated February 15, 2007 (the "Will"). The executors and trustees under her Will were Geoffrey Massey, Ronald Patrick Walsh and Everhard Van Lidth de Jeude (the "Executors").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Will at para. 4(g)(i) stated at the outset that the Binning House had been designated a National Heritage Site and was listed on the heritage inventory of the District. Paragraph 4(g) continued:</w:t>
      </w:r>
      <w:r>
        <w:rPr>
          <w:rFonts w:ascii="arial" w:eastAsia="arial" w:hAnsi="arial" w:cs="arial"/>
          <w:sz w:val="20"/>
          <w:lang w:val="en-US" w:eastAsia="en-US" w:bidi="ar-SA"/>
        </w:rPr>
        <w:cr/>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my hope that the [Binning House] and historic household furnishings will be preserved for historical purposes;</w:t>
      </w:r>
    </w:p>
    <w:p>
      <w:pPr>
        <w:numPr>
          <w:numId w:val="2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my Trustees decide it is feasible and practical to do so, to establish a foundation or other organization, society, association or corporation (the "Entity"), as my Trustees decide, and to transfer any interest ... I have in the [Binning House], along with those household furnishings selected by my Trustees, to the Entity to hold, maintain and use the [Binning House] and those household furnishings for those purposes it decides are desirable;</w:t>
      </w:r>
    </w:p>
    <w:p>
      <w:pPr>
        <w:numPr>
          <w:numId w:val="24"/>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the [Binning House] is transferred to the Entity and, due to unforeseen circumstances, the Entity decides it is no longer feasible or practical to retain the [Binning House] and it subsequently sells the [Binning House], it is my hope that it will give the net sale proceeds to the </w:t>
      </w:r>
      <w:r>
        <w:rPr>
          <w:rFonts w:ascii="arial" w:eastAsia="arial" w:hAnsi="arial" w:cs="arial"/>
          <w:b/>
          <w:color w:val="000000"/>
          <w:sz w:val="20"/>
          <w:lang w:val="en-US" w:eastAsia="en-US" w:bidi="ar-SA"/>
        </w:rPr>
        <w:t>B.C. BINNING MEMORIAL FELLOWSHIP FUND</w:t>
      </w:r>
      <w:r>
        <w:rPr>
          <w:rFonts w:ascii="arial" w:eastAsia="arial" w:hAnsi="arial" w:cs="arial"/>
          <w:color w:val="000000"/>
          <w:sz w:val="20"/>
          <w:lang w:val="en-US" w:eastAsia="en-US" w:bidi="ar-SA"/>
        </w:rPr>
        <w:t xml:space="preserve">, administered by </w:t>
      </w:r>
      <w:r>
        <w:rPr>
          <w:rFonts w:ascii="arial" w:eastAsia="arial" w:hAnsi="arial" w:cs="arial"/>
          <w:b/>
          <w:color w:val="000000"/>
          <w:sz w:val="20"/>
          <w:lang w:val="en-US" w:eastAsia="en-US" w:bidi="ar-SA"/>
        </w:rPr>
        <w:t>THE UNIVERSITY OF BRITISH COLUMBIA</w:t>
      </w:r>
      <w:r>
        <w:rPr>
          <w:rFonts w:ascii="arial" w:eastAsia="arial" w:hAnsi="arial" w:cs="arial"/>
          <w:color w:val="000000"/>
          <w:sz w:val="20"/>
          <w:lang w:val="en-US" w:eastAsia="en-US" w:bidi="ar-SA"/>
        </w:rPr>
        <w:t>, for the purpose of creating additional scholarships to be awarded by it each year from the income earned by those proceeds;</w:t>
      </w:r>
    </w:p>
    <w:p>
      <w:pPr>
        <w:numPr>
          <w:numId w:val="25"/>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my Trustees decide not to retain the [Binning House] and historic household furnishings, the Trustees will sell the [Binning House], and sell or otherwise dispose of those household furnishings, and give the net sale proceeds to the </w:t>
      </w:r>
      <w:r>
        <w:rPr>
          <w:rFonts w:ascii="arial" w:eastAsia="arial" w:hAnsi="arial" w:cs="arial"/>
          <w:b/>
          <w:color w:val="000000"/>
          <w:sz w:val="20"/>
          <w:lang w:val="en-US" w:eastAsia="en-US" w:bidi="ar-SA"/>
        </w:rPr>
        <w:t>B.C. BINNING MEMORIAL FELLOWSHIP FUND</w:t>
      </w:r>
      <w:r>
        <w:rPr>
          <w:rFonts w:ascii="arial" w:eastAsia="arial" w:hAnsi="arial" w:cs="arial"/>
          <w:color w:val="000000"/>
          <w:sz w:val="20"/>
          <w:lang w:val="en-US" w:eastAsia="en-US" w:bidi="ar-SA"/>
        </w:rPr>
        <w:t>, for the purpose of creating additional scholarships to be awarded by it each year from the income earned by those proceeds;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Paragraph 4 of the Will further dealt with the residue of the estate funds:</w:t>
      </w:r>
      <w:r>
        <w:rPr>
          <w:rFonts w:ascii="arial" w:eastAsia="arial" w:hAnsi="arial" w:cs="arial"/>
          <w:sz w:val="20"/>
          <w:lang w:val="en-US" w:eastAsia="en-US" w:bidi="ar-SA"/>
        </w:rPr>
        <w:cr/>
      </w:r>
    </w:p>
    <w:p>
      <w:pPr>
        <w:numPr>
          <w:numId w:val="26"/>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the Entity is established pursuant to paragraph 4.(g)(iii) of this Will, to divide the residue of my estate between the Entity and the </w:t>
      </w:r>
      <w:r>
        <w:rPr>
          <w:rFonts w:ascii="arial" w:eastAsia="arial" w:hAnsi="arial" w:cs="arial"/>
          <w:b/>
          <w:color w:val="000000"/>
          <w:sz w:val="20"/>
          <w:lang w:val="en-US" w:eastAsia="en-US" w:bidi="ar-SA"/>
        </w:rPr>
        <w:t>B.C. BINNING MEMORIAL FELLOWSHIP FUND</w:t>
      </w:r>
      <w:r>
        <w:rPr>
          <w:rFonts w:ascii="arial" w:eastAsia="arial" w:hAnsi="arial" w:cs="arial"/>
          <w:color w:val="000000"/>
          <w:sz w:val="20"/>
          <w:lang w:val="en-US" w:eastAsia="en-US" w:bidi="ar-SA"/>
        </w:rPr>
        <w:t>, in such portions (including giving the entire residue to one of them to the exclusion of the other), as my Trustees decide;</w:t>
      </w:r>
    </w:p>
    <w:p>
      <w:pPr>
        <w:numPr>
          <w:numId w:val="26"/>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the Entity is not established pursuant to paragraph 4.(g)(iii) of this Will, to give the residue of my estate to the </w:t>
      </w:r>
      <w:r>
        <w:rPr>
          <w:rFonts w:ascii="arial" w:eastAsia="arial" w:hAnsi="arial" w:cs="arial"/>
          <w:b/>
          <w:color w:val="000000"/>
          <w:sz w:val="20"/>
          <w:lang w:val="en-US" w:eastAsia="en-US" w:bidi="ar-SA"/>
        </w:rPr>
        <w:t>B.C. BINNING MEMORIAL FELLOWSHIP FUND</w:t>
      </w: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In late 2007, the Executors and TLC had discussions regarding whether TLC could take over ownership of the Binning House in accordance with the terms of the Will. Mr. Massey, one of the Executors states that the estate did not have the time or means to set up an individual foundation to hold and administer the Binning House in accordance with Jessie Binning's wishes. He became aware of TLC and its mandate and felt that it was in a good position to manage and maintain the Binning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However, it is evident that the Executors did not consider that a direct transfer to TLC was possible under the Will. In fact, the Executors sought legal advice as to their options under the Will in relation to the Binning House. On January 28, 2008, Bull Housser &amp; Tupper LLP ("BHT") provided their opinion to the Executors.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BHT advised the Executors that the Will only allowed them to transfer the Binning House to an entity that they might create as opposed to an existing entity, such as TLC. BHT specifically referred to UBC's status as a potential beneficiary of the sale proceeds under paragraph 4(g)(v) of the Will and that UBC was entitled to require the Executors to "comply strictly with the provisions of clause 4(g) in dealing with the [Binning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In their opinion, BHT identified two potential solutions to the "problem":</w:t>
      </w:r>
      <w:r>
        <w:rPr>
          <w:rFonts w:ascii="arial" w:eastAsia="arial" w:hAnsi="arial" w:cs="arial"/>
          <w:sz w:val="20"/>
          <w:lang w:val="en-US" w:eastAsia="en-US" w:bidi="ar-SA"/>
        </w:rPr>
        <w:cr/>
      </w:r>
    </w:p>
    <w:p>
      <w:pPr>
        <w:numPr>
          <w:numId w:val="27"/>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Firstly, the Executors could apply to this court to vary the Will. This option was said to have various difficulties, being uncertainty as to the grounds on which that application might be made, costs and uncertainty of result. An internal February 2008 email between TLC employees attributed to Mr. Massey the comment that a direct transfer would be "problematic" (i.e. complicated, costly ..., time consuming ..., court application required ...".</w:t>
      </w:r>
    </w:p>
    <w:p>
      <w:pPr>
        <w:numPr>
          <w:numId w:val="2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Secondly, the Executors could work with TLC to establish a new charitable society. BHT stated that this entity might be controlled by TLC employees such that "it would effectively give control of [the Binning House] to the same people who control [TLC]". The solicitors stated that this approach would "respect the provisions of clause 4(g)(iii)" of the Will.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On January 26, 2008, the TLC Board considered an Acquisition Support Paper and Acquisition Proposal which recommended that TLC accept a transfer of the site and its long term management since it fit well within TLC's "mandate to protect areas of high cultural value". The report to TLC's Board stated that the Executors were attempting to fulfill Jessie Binning's "first choice" (i.e. to preserve the Binning House for historical purposes through a foundation or similar organization), rather than sell it to a private individual (who might damage the site and its key features) and give the proceeds to UBC. The Price was stated as "Full title will be donated to TLC". The Board approved the proposal.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minutes of a further TLC Board meeting on March 30, 2008 provided: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Bill Turner reported that the executors are continuing to work through the process of transferring this property. Due to the wording of the will, it is necessary that a trust be established first, that can receive the property and then, in due course, transfer it to TLC.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In April 2008, BHT advised UBC that the Binning House would not be sold (and the proceeds paid to it); rather, it was to be transferred to a non-profit organization. UBC assumed this meant a society set up in accordance with the Will.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In May 2008, discussions continued between the Executors and TLC along the lines that this new society would be formed which would be controlled by the Executors and TLC. It appears that the original intention was to obtain charitable status for this new society prior to the transfer of the Binning House. After the transfer, the intention was that the Executors resign, leaving TLC in full control of the new society.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Based on the legal advice, the Executors and TLC did set up a new society to accept a transfer of the Binning House from the Estate. The society established for the purpose of these transfers was BHPS. BHPS was incorporated on July 3, 2008 and its initial members and directors included two of the Executors (Mr. Walsh and Mr. de Jeude) and Bill Turner, an employee of TLC. BHPS' Constitution provided:</w:t>
      </w:r>
      <w:r>
        <w:rPr>
          <w:rFonts w:ascii="arial" w:eastAsia="arial" w:hAnsi="arial" w:cs="arial"/>
          <w:sz w:val="20"/>
          <w:lang w:val="en-US" w:eastAsia="en-US" w:bidi="ar-SA"/>
        </w:rPr>
        <w:cr/>
      </w:r>
    </w:p>
    <w:p>
      <w:pPr>
        <w:numPr>
          <w:numId w:val="29"/>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purposes of the Society are:</w:t>
      </w:r>
    </w:p>
    <w:p>
      <w:pPr>
        <w:numPr>
          <w:numId w:val="30"/>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to restore, develop and preserve for historical purposes the [Binning House], with a view to educate and commemorate the site;</w:t>
      </w:r>
    </w:p>
    <w:p>
      <w:pPr>
        <w:numPr>
          <w:numId w:val="30"/>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to receive bequests, legacies, donations, gifts, funds and property from all sources and to hold and invest such funds and property and to administer and distribute such funds and property for the purposes of the Society;</w:t>
      </w:r>
    </w:p>
    <w:p>
      <w:pPr>
        <w:numPr>
          <w:numId w:val="30"/>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to develop sources of income as may from time to time be appropriate;</w:t>
      </w:r>
    </w:p>
    <w:p>
      <w:pPr>
        <w:numPr>
          <w:numId w:val="30"/>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to acquire by lease, purchase, or otherwise such real and personal property as may be necessary to carry out the purposes of the Society; and</w:t>
      </w:r>
    </w:p>
    <w:p>
      <w:pPr>
        <w:numPr>
          <w:numId w:val="30"/>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to do all such other things as are incidental and ancillary to the attainment of the foregoing purposes and the exercise of the powers of the Society.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By August 2008, matters were not entirely settled. It appears that the Executors were continuing to apply for charitable status for BHPS and in this interim period, they intended to maintain ownership of the Binning House. Pending details of the transfer to BHPS being finalized, there were also discussions regarding ongoing management and financial support from TLC.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By mid-September 2008, arrangements were in place for the transfers, although despite initial intentions, BHPS did not then have charitable status. The application for charitable status was abandoned.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context in which the eventual transfers took place is set out in a Preliminary Property Report and Recommendation to TLC's Board dated September 17, 2008. In this report, Tamsin Baker, an employee of TLC, states that the Executors had attempted to fulfill Jessie Binning's "first wish" (i.e. to preserve the Binning House and furnishings through a foundation or similar organization) but that no suitable organization had stepped forward to take over management of the property. She reported that in these circumstances, the Executors were considering selling the property (said to be Jessie Binning's second choice) and paying the proceeds to the B.C. Binning Memorial Fellowship Fund at UBC. The Executors were said to be "eager to relinquish management" of the Binning House and Ms. Baker stated that "TLC is clearly the best suited organization to handle the ownership and management of the site". Ms. Baker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UPDATE: Due to the poor wording in Jessie Binning's Will, the transfer of the house to TLC can only occur with the creation of a separate Society. The house will then be transferred to this Society, and then moved over to TLC in short order. The Society would then be dissolved and TLC would hold full title.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Price</w:t>
      </w:r>
      <w:r>
        <w:rPr>
          <w:rFonts w:ascii="arial" w:eastAsia="arial" w:hAnsi="arial" w:cs="arial"/>
          <w:color w:val="000000"/>
          <w:sz w:val="20"/>
          <w:lang w:val="en-US" w:eastAsia="en-US" w:bidi="ar-SA"/>
        </w:rPr>
        <w:t>: Full title will be donated to TLC.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On September 9, 2008, one of the Executors, Mr. Walsh, expressed concern about his and Mr. de Jeude's position in BHPS in respect of the anticipated further transfer by BHPS to TLC. He expressed the view that "[o]ut of an abundance of caution", he would feel more comfortable not being a director of BHPS when it transferred the Binning House to TLC. One of the lawyers at BHT expressed the view that no such concerns were necessary and there was no "risk of criticism" of the Executors although another lawyer said that she would feel more "comfortable" if the Executors were not directors of BHPS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In fact, the approach of the Executors resulted in them resigning from BHPS even before the </w:t>
      </w:r>
      <w:r>
        <w:rPr>
          <w:rFonts w:ascii="arial" w:eastAsia="arial" w:hAnsi="arial" w:cs="arial"/>
          <w:i/>
          <w:color w:val="000000"/>
          <w:sz w:val="20"/>
          <w:lang w:val="en-US" w:eastAsia="en-US" w:bidi="ar-SA"/>
        </w:rPr>
        <w:t>first</w:t>
      </w:r>
      <w:r>
        <w:rPr>
          <w:rFonts w:ascii="arial" w:eastAsia="arial" w:hAnsi="arial" w:cs="arial"/>
          <w:color w:val="000000"/>
          <w:sz w:val="20"/>
          <w:lang w:val="en-US" w:eastAsia="en-US" w:bidi="ar-SA"/>
        </w:rPr>
        <w:t xml:space="preserve"> transfer took place from the Estate to BHPS. Mr. Massey stated in an email on September 12, 2008 that the Executors would resign prior to the transfers "so the TLC would be free to do what they wanted with [the Binning House]. The Society would own [the Binning House] with no strings attached".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Mr. Walsh and Mr. de Jeude resigned as members and directors/officers of BHPS on September 15, 2008. They were replaced on that same date by Ian Fawcett and Ms. Baker, both TLC employees.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As stated above, the Executors sought and obtained legal advice from BHT in January 2008 concerning their obligations under the Will in light of the proposal to transfer the Binning House to another entity. BHT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before proceeding, you should satisfy yourselves that the proposal is feasible in the sense that [TLC] has or will have the financial and administrative resources to be able to preserve the [Binning House] and make it available to the public as intended.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discussions between the Executors and TLC obviously progressed in this respect for the remainder of the year to the extent that the Executors were satisfied about the ability of TLC to preserve the Binning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Even so, on September 12, Mr. Massey was wondering if the Executors needed "some agreement" regarding TLC's responsibility for costs, what would happen if BHPS sold the property and "what they are going to do with the house and so forth". BHT responded in an email on September 12, 2008: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executors, you are exercising the discretion given to you by section 4(g)(iii) of Mrs. Binning's Will and are transferring the property to the society you have established. It is proper for you to do this and that is the end of your obligations insofar as the property is concerned.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Society can then do what it likes with the property as long as in doing so it respects its constitution and by-laws. Having said this, the plan is that the Society will transfer the property to the TLC, which is also fine and just happens to be in keeping with Mrs. Binning's wishes. What the TLC then does with the property and any proceeds from its sale is, as you point out, for it to decide. The clause in the Will specifying that if the property is sold, the proceeds are to go to ... UBC is inoperative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One month later, on October 16, 2008, title to the Binning House was transferred by the Executors to BHPS by a Form A transfer at the Land Title Office for "$1.00 and other good and valuable consideration". Its stated value at that time was $1,176,600. Immediately thereafter, BHPS (per Mr. Turner and Ms. Baker) transferred the Binning House to TLC in the same manner and on the same terms.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In conjunction with the second transfer, BHPS' Board (by now, all current TLC employees) passed a consent resolution to donate the Binning House to TLC in accordance with a Deed of Gift. There is no evidence as to how this Deed of Gift arose in the sense of whether it was even discussed with the Executors or if TLC independently created this document. By the time it was executed, as mentioned above, TLC completely controlled BHPS.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In any event, BHPS (per Ms. Baker) and TLC (per Mr. Turner) both executed that Deed of Gift on October 16, 2008. By that document, BHPS, as the "Donor", indicated that it wished to make a "certain and irrevocable gift" to TLC. The Deed specifically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Donor [BHPS] hereby gifts, absolutely and irrevocable, to TLC, the [Binning House] for the purpose of restoring, developing and preserving the Binning House, formerly the home of B.C. Binning, for historical purposes with a view to educating the public and commemorating the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As a result of BHPS not having obtaining charitable status prior to the transfer, the transfer of the Binning House attracted property transfer tax. To facilitate the transfer, the Estate loaned $21,532 to TLC to pay the tax, which was approved by the TLC Board on September 17, 2008 along with the overall arrangements. This amount was eventually repaid.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At the time of the transfers and as noted in the September 2008 Report, TLC estimated an annual cost of $50,000 to properly manage the site, which amount was to be financed by rental revenue (from a warden), endowments, grants, events and donations.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In November 2010, upon learning that the Binning House had been transferred to TLC, UBC wrote to Mr. Massey to advise that in UBC's view, the transfer to TLC was not an option under the Will. There is no evidence as to any response but UBC took no further action in any event and indeed, their current opposition has arisen only now because of the proposed sale by TLC.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parties opposed to the sale of the Binning House have now obtained evidence from some of the participants in the transfers from the Executors to BHPS and then to TLC.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Mr. Massey, one of the Executors, now states that the Binning House was to have been preserved by TLC as a public historical site and not sold to a private entity. He further says that if he and other Executors had thought that it could be sold by TLC to advance its general purposes, they would not have transferred it to TLC and would have instead sold it and paid the proceeds to UBC.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Stuart Stark, a former TLC Board member, now says that the Binning House was to be protected "in perpetuity". He further says that the Board did not contemplate that the Binning House would be sold after the donation.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Ms. Baker, a former TLC employee and Board member, now states that "it was understood by all parties involved that the Binning House was being given to TLC not for its own benefit but to hold and administer as a public historical asset, in accordance with Jessie Binning's wishes for the house". She further states that as a former director of BHPS, she "understood that the transfer of the Binning House to TLC was upon the undertaking of TLC to hold, preserve and manage the property for the public".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BHPS was not dissolved after the transfer of the Binning House to TLC as had been originally intended by the parties involved. It is not entirely clear which, if any, of the TLC employees remain as members/directors/officers of BHPS. Ms. Baker, who was the Chair of the Board as of September 2013, states she resigned as a director of BHPS in October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Nevertheless, on October 30, 2013, Mr. Turner, wrote to TLC stating that he was acting as "Chair" of the board of the BHPS. I assume that he is no longer with TLC in any capacity. It is unclear whether Mr. Turner is in any position to act on behalf of BHPS if that is the case. In any event, Mr. Turner sought to be consulted in respect of TLC's plans with respect to the Binning House. In that letter, Mr. Turner stated that the transfer by BHPS to TLC was a "donation" on the understanding that the Binning House and its contents would be preserved and protected forever by TLC and that regular public access would be available. He also asserted that the Binning House was a "gift" falling under the protection of the </w:t>
      </w:r>
      <w:r>
        <w:rPr>
          <w:rFonts w:ascii="arial" w:eastAsia="arial" w:hAnsi="arial" w:cs="arial"/>
          <w:i/>
          <w:color w:val="000000"/>
          <w:sz w:val="20"/>
          <w:lang w:val="en-US" w:eastAsia="en-US" w:bidi="ar-SA"/>
        </w:rPr>
        <w:t>CPPA</w:t>
      </w:r>
      <w:r>
        <w:rPr>
          <w:rFonts w:ascii="arial" w:eastAsia="arial" w:hAnsi="arial" w:cs="arial"/>
          <w:color w:val="000000"/>
          <w:sz w:val="20"/>
          <w:lang w:val="en-US" w:eastAsia="en-US" w:bidi="ar-SA"/>
        </w:rPr>
        <w:t xml:space="preserve"> and that if TLC could not continue to preserve the Binning House, BHPS was willing to recommend an alternative recipient for its "donation". No such recommendation has been received from him. BHPS was not represented, let alone separately represented, on these applications.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TLC objects to this "new" evidence from Mr. Massey, Mr. Stark, Ms. Baker and the letter from Mr. Turner as late characterizations of the intentions of the parties and what it says is the clear legal effect of the documents, including the Will, the Form A transfers and the Deed of Gift executed in 2008. TLC also says that these characterizations are inconsistent with TLC's past practices since it took possession of the Binning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Will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UBC urges me to find that on a proper interpretation of Jessie Binning's Will, the Executors never had the power to transfer the Binning House to TLC using the BHPS as a "flow-through entity". UBC argues that the actions of the Executors were a fraud on a power granted to them pursuant to the Will. If I accede to this argument, for practical reasons UBC does not oppose the sale of the Binning House but submits that I should declare that UBC is the beneficial owner of the proceeds from any 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I acknowledge at the outset that UBC opposed the determination of this issue on a summary basis during the December hearing dates. Despite attending on November 18, 2013 and agreeing on a process by which written arguments would be exchanged on this issue in advance, on the first day of the 3 day hearing, UBC applied to lift the </w:t>
      </w:r>
      <w:r>
        <w:rPr>
          <w:rFonts w:ascii="arial" w:eastAsia="arial" w:hAnsi="arial" w:cs="arial"/>
          <w:i/>
          <w:color w:val="000000"/>
          <w:sz w:val="20"/>
          <w:lang w:val="en-US" w:eastAsia="en-US" w:bidi="ar-SA"/>
        </w:rPr>
        <w:t>CCAA</w:t>
      </w:r>
      <w:r>
        <w:rPr>
          <w:rFonts w:ascii="arial" w:eastAsia="arial" w:hAnsi="arial" w:cs="arial"/>
          <w:color w:val="000000"/>
          <w:sz w:val="20"/>
          <w:lang w:val="en-US" w:eastAsia="en-US" w:bidi="ar-SA"/>
        </w:rPr>
        <w:t xml:space="preserve"> stay per the Initial Order so that it could file a petition proceeding and pursue a normal litigation process in respect of this issue. It appears that the urgency of the situation even back in November was not fully appreciated by UBC's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In response, I indicated that while that process might be acceptable in ordinary circumstances, the exigencies of these </w:t>
      </w:r>
      <w:r>
        <w:rPr>
          <w:rFonts w:ascii="arial" w:eastAsia="arial" w:hAnsi="arial" w:cs="arial"/>
          <w:i/>
          <w:color w:val="000000"/>
          <w:sz w:val="20"/>
          <w:lang w:val="en-US" w:eastAsia="en-US" w:bidi="ar-SA"/>
        </w:rPr>
        <w:t>CCAA</w:t>
      </w:r>
      <w:r>
        <w:rPr>
          <w:rFonts w:ascii="arial" w:eastAsia="arial" w:hAnsi="arial" w:cs="arial"/>
          <w:color w:val="000000"/>
          <w:sz w:val="20"/>
          <w:lang w:val="en-US" w:eastAsia="en-US" w:bidi="ar-SA"/>
        </w:rPr>
        <w:t xml:space="preserve"> proceedings, and the "real time" litigation nature of them, dictated a more abbreviated approach to the matter, while attempting, to the extent possible, to provide a fair process to the participants. Accordingly, UBC's proposed petition was converted to an Application within these proceedings. Later procedures allowed UBC to obtain and adduce evidence as to the file of the solicitor who acted for Jessie Binning and later still, I allowed an application for production of BHT's file in respect of the 2008 transfers. UBC did not seek any other assistance from the court in terms of adducing any further evidence in respect of this issue. As far as I am aware, while the evidentiary record has been somewhat of a moving target, the parties are substantially satisfied that the necessary evidence is before the court to decide the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TLC argues that upon a correct interpretation of Jessie Binning's Will, the Executors' transfer of the Binning House to BHPS and the subsequent transfer from BHPS to TLC is entirely appropriate and any claim UBC has to the Binning House after the transfer to BHPS is only based upon Jessie Binning's "hope". TLC submits that there was a condition precedent to UBC having any interest; namely, that the Executors exercise their discretion to sell the Binning House. Since the Executors exercised their discretion to not sell the Binning House, TLC submits that UBC has no claim to the Binning House.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Interpretation of the Will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xml:space="preserve">  The general rules of interpretation of wills begin with determining the intention of the testator based on the natural and ordinary meaning of the words used, as set out in </w:t>
      </w:r>
      <w:r>
        <w:rPr>
          <w:rFonts w:ascii="arial" w:eastAsia="arial" w:hAnsi="arial" w:cs="arial"/>
          <w:i/>
          <w:color w:val="000000"/>
          <w:sz w:val="20"/>
          <w:lang w:val="en-US" w:eastAsia="en-US" w:bidi="ar-SA"/>
        </w:rPr>
        <w:t>National Trust Co. Ltd. v. Fleury</w:t>
      </w:r>
      <w:r>
        <w:rPr>
          <w:rFonts w:ascii="arial" w:eastAsia="arial" w:hAnsi="arial" w:cs="arial"/>
          <w:color w:val="000000"/>
          <w:sz w:val="20"/>
          <w:lang w:val="en-US" w:eastAsia="en-US" w:bidi="ar-SA"/>
        </w:rPr>
        <w:t xml:space="preserve">, </w:t>
      </w:r>
      <w:hyperlink r:id="rId335" w:history="1">
        <w:r>
          <w:rPr>
            <w:rFonts w:ascii="arial" w:eastAsia="arial" w:hAnsi="arial" w:cs="arial"/>
            <w:i/>
            <w:color w:val="0077CC"/>
            <w:sz w:val="20"/>
            <w:u w:val="single"/>
            <w:shd w:val="clear" w:color="auto" w:fill="FFFFFF"/>
            <w:lang w:val="en-US" w:eastAsia="en-US" w:bidi="ar-SA"/>
          </w:rPr>
          <w:t>[1965] S.C.R. 817</w:t>
        </w:r>
      </w:hyperlink>
      <w:r>
        <w:rPr>
          <w:rFonts w:ascii="arial" w:eastAsia="arial" w:hAnsi="arial" w:cs="arial"/>
          <w:color w:val="000000"/>
          <w:sz w:val="20"/>
          <w:lang w:val="en-US" w:eastAsia="en-US" w:bidi="ar-SA"/>
        </w:rPr>
        <w:t xml:space="preserve"> at 829: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construction of wills, the primary purpose is to determine the intention of the testator and it is only when such intention cannot be arrived at with reasonable certainty by giving the natural and ordinary meaning to the words which he has used that resort is to be had to the rules of construction which have been developed by the Courts in the interpretation of other wills.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One must look at the entire will and not simply read provisions in isolation: "[t]he testator's intention is to be gathered from a consideration of the will as a whole and not solely from the words used, say, in an unclear portion of the will. ... the testator's intention is to be ascertained, first of all, from the four corners of the will": James MacKenzie, </w:t>
      </w:r>
      <w:r>
        <w:rPr>
          <w:rFonts w:ascii="arial" w:eastAsia="arial" w:hAnsi="arial" w:cs="arial"/>
          <w:i/>
          <w:color w:val="000000"/>
          <w:sz w:val="20"/>
          <w:lang w:val="en-US" w:eastAsia="en-US" w:bidi="ar-SA"/>
        </w:rPr>
        <w:t>Feeney's Canadian Law of Wills</w:t>
      </w:r>
      <w:r>
        <w:rPr>
          <w:rFonts w:ascii="arial" w:eastAsia="arial" w:hAnsi="arial" w:cs="arial"/>
          <w:color w:val="000000"/>
          <w:sz w:val="20"/>
          <w:lang w:val="en-US" w:eastAsia="en-US" w:bidi="ar-SA"/>
        </w:rPr>
        <w:t>, loose-leaf (consulted on 16 December 2013), (Markham, ON: LexisNexis Canada, 2000), at para. 10.60.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Where the testator has used a word which can have only one reasonable meaning in the circumstances, the court cannot assume that the testator would have had a different intention: MacKenzie at para. 10.44.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xml:space="preserve">  If the intention of the testator can be construed in the context of the will as a whole, it is not necessary to look any further: </w:t>
      </w:r>
      <w:r>
        <w:rPr>
          <w:rFonts w:ascii="arial" w:eastAsia="arial" w:hAnsi="arial" w:cs="arial"/>
          <w:i/>
          <w:color w:val="000000"/>
          <w:sz w:val="20"/>
          <w:lang w:val="en-US" w:eastAsia="en-US" w:bidi="ar-SA"/>
        </w:rPr>
        <w:t>Smith v. Smith Estate</w:t>
      </w:r>
      <w:r>
        <w:rPr>
          <w:rFonts w:ascii="arial" w:eastAsia="arial" w:hAnsi="arial" w:cs="arial"/>
          <w:color w:val="000000"/>
          <w:sz w:val="20"/>
          <w:lang w:val="en-US" w:eastAsia="en-US" w:bidi="ar-SA"/>
        </w:rPr>
        <w:t xml:space="preserve">, </w:t>
      </w:r>
      <w:hyperlink r:id="rId336" w:history="1">
        <w:r>
          <w:rPr>
            <w:rFonts w:ascii="arial" w:eastAsia="arial" w:hAnsi="arial" w:cs="arial"/>
            <w:i/>
            <w:color w:val="0077CC"/>
            <w:sz w:val="20"/>
            <w:u w:val="single"/>
            <w:shd w:val="clear" w:color="auto" w:fill="FFFFFF"/>
            <w:lang w:val="en-US" w:eastAsia="en-US" w:bidi="ar-SA"/>
          </w:rPr>
          <w:t>2010 BCCA 106</w:t>
        </w:r>
      </w:hyperlink>
      <w:r>
        <w:rPr>
          <w:rFonts w:ascii="arial" w:eastAsia="arial" w:hAnsi="arial" w:cs="arial"/>
          <w:color w:val="000000"/>
          <w:sz w:val="20"/>
          <w:lang w:val="en-US" w:eastAsia="en-US" w:bidi="ar-SA"/>
        </w:rPr>
        <w:t xml:space="preserve"> at para. 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If it is not possible to construe the intention based on the document alone due to some ambiguity, the court may have resort to what has been called the "armchair rule" in order to try to resolve the ambiguity. This is explained by MacKenzie at para. 10.45: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first instance, the court may not be convinced that the testator's intention can be discerned from the will itself. In such a situation, since the testator must be taken to have used the language of the will in view of the surrounding circumstances known to him or her when he or she made his or her will, evidence of such circumstances is necessarily admissible, at least insofar as it corresponds to the facts and circumstances referred to in the will.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xml:space="preserve">  What constitutes the types of evidence of "surrounding circumstances" that may, or may not be, looked at when interpreting a will was discussed in </w:t>
      </w:r>
      <w:r>
        <w:rPr>
          <w:rFonts w:ascii="arial" w:eastAsia="arial" w:hAnsi="arial" w:cs="arial"/>
          <w:i/>
          <w:color w:val="000000"/>
          <w:sz w:val="20"/>
          <w:lang w:val="en-US" w:eastAsia="en-US" w:bidi="ar-SA"/>
        </w:rPr>
        <w:t>Murray Estate</w:t>
      </w:r>
      <w:r>
        <w:rPr>
          <w:rFonts w:ascii="arial" w:eastAsia="arial" w:hAnsi="arial" w:cs="arial"/>
          <w:color w:val="000000"/>
          <w:sz w:val="20"/>
          <w:lang w:val="en-US" w:eastAsia="en-US" w:bidi="ar-SA"/>
        </w:rPr>
        <w:t xml:space="preserve">, </w:t>
      </w:r>
      <w:hyperlink r:id="rId337" w:history="1">
        <w:r>
          <w:rPr>
            <w:rFonts w:ascii="arial" w:eastAsia="arial" w:hAnsi="arial" w:cs="arial"/>
            <w:i/>
            <w:color w:val="0077CC"/>
            <w:sz w:val="20"/>
            <w:u w:val="single"/>
            <w:shd w:val="clear" w:color="auto" w:fill="FFFFFF"/>
            <w:lang w:val="en-US" w:eastAsia="en-US" w:bidi="ar-SA"/>
          </w:rPr>
          <w:t>2007 BCSC 1035</w:t>
        </w:r>
      </w:hyperlink>
      <w:r>
        <w:rPr>
          <w:rFonts w:ascii="arial" w:eastAsia="arial" w:hAnsi="arial" w:cs="arial"/>
          <w:color w:val="000000"/>
          <w:sz w:val="20"/>
          <w:lang w:val="en-US" w:eastAsia="en-US" w:bidi="ar-SA"/>
        </w:rPr>
        <w:t xml:space="preserve"> at paras. 7-12. At para. 7, the court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construing the terms of a will, the court may look to the surrounding circumstances existing at the time the will was made to determine the testator's intention. The court may not, however, have regard to direct extrinsic evidence of intent, except in limited circumstances, as the will is presumed to have been accepted by the testator, and to speak for itself. That rule applies, in particular, to instructions provided to his solicitor.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xml:space="preserve">  UBC argues that the ordinary and primary meaning of the words in Jessie Binning's Will only contemplate one of two possible actions regarding the Binning House. UBC submits that the Trustees may either "establish a foundation or other organization, society, association or corporation to 'hold, maintain and use' the property" </w:t>
      </w:r>
      <w:r>
        <w:rPr>
          <w:rFonts w:ascii="arial" w:eastAsia="arial" w:hAnsi="arial" w:cs="arial"/>
          <w:i/>
          <w:color w:val="000000"/>
          <w:sz w:val="20"/>
          <w:lang w:val="en-US" w:eastAsia="en-US" w:bidi="ar-SA"/>
        </w:rPr>
        <w:t>or</w:t>
      </w:r>
      <w:r>
        <w:rPr>
          <w:rFonts w:ascii="arial" w:eastAsia="arial" w:hAnsi="arial" w:cs="arial"/>
          <w:color w:val="000000"/>
          <w:sz w:val="20"/>
          <w:lang w:val="en-US" w:eastAsia="en-US" w:bidi="ar-SA"/>
        </w:rPr>
        <w:t>, "if the Trustees decide not to retain the property, they must sell the property and the net sale proceeds are payable to the BC Binning Memorial Fellowship Fund at UBC." UBC submits that no other options were available under the Will.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xml:space="preserve">  In support, UBC relies on the definition of "establish": </w:t>
      </w:r>
      <w:r>
        <w:rPr>
          <w:rFonts w:ascii="arial" w:eastAsia="arial" w:hAnsi="arial" w:cs="arial"/>
          <w:i/>
          <w:color w:val="000000"/>
          <w:sz w:val="20"/>
          <w:lang w:val="en-US" w:eastAsia="en-US" w:bidi="ar-SA"/>
        </w:rPr>
        <w:t>Black's Law Dictionary</w:t>
      </w:r>
      <w:r>
        <w:rPr>
          <w:rFonts w:ascii="arial" w:eastAsia="arial" w:hAnsi="arial" w:cs="arial"/>
          <w:color w:val="000000"/>
          <w:sz w:val="20"/>
          <w:lang w:val="en-US" w:eastAsia="en-US" w:bidi="ar-SA"/>
        </w:rPr>
        <w:t>, 8th 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To settle, make, or fix firmly; to enact permanently &lt;one object of the Constitution was to establish justice&gt;. </w:t>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w:t>
      </w:r>
      <w:r>
        <w:rPr>
          <w:rFonts w:ascii="arial" w:eastAsia="arial" w:hAnsi="arial" w:cs="arial"/>
          <w:color w:val="000000"/>
          <w:sz w:val="20"/>
          <w:u w:val="single"/>
          <w:lang w:val="en-US" w:eastAsia="en-US" w:bidi="ar-SA"/>
        </w:rPr>
        <w:t>To make or form; to bring about or into existence</w:t>
      </w:r>
      <w:r>
        <w:rPr>
          <w:rFonts w:ascii="arial" w:eastAsia="arial" w:hAnsi="arial" w:cs="arial"/>
          <w:color w:val="000000"/>
          <w:sz w:val="20"/>
          <w:lang w:val="en-US" w:eastAsia="en-US" w:bidi="ar-SA"/>
        </w:rPr>
        <w:t xml:space="preserve"> &lt;Congress has the power to establish Article III courts&gt;. </w:t>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To prove; to convince &lt;the House managers tried to establish the President's guilt&gt;.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UBC's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UBC argues that under this definition, TLC was not established by the Executors as they did not make, form or bring TLC into existence. There is really no issue here in that respect.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In my view, Jessie Binning's intentions as contained in the Will were clear. Paragraph 4 deals with the administration of her property and in that vein, she makes specific directions in terms of the disposition of her late husband's works of art and related materials, including a drawing, a collection of art and other compositions and certain archival materials. With respect to the art collection, she specifically directed that it be held in trust: paragraph 4(b)(v).</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In contrast, with respect to the Binning House, after acknowledging its heritage designation, Jessie Binning stated that it was her "hope" that it "will be preserved for historical purposes".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There is no doubt that the precatory language or "hope" in subparagraph (ii) did not require the Executors to take steps to preserve the Binning House. A reading of paragraph 4(g) does, however, indicate that Jessie Binning intended to invest the Executors with significant discretion with that purpose in mind. Both subparagraphs (iii) and (v) refer to "if my Trustees decide" and both provisions provide clear choices (and powers) in terms of dealing with the Binning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xml:space="preserve">  UBC advances an interpretation of paragraph 4(g)(iii) of the Will that goes considerably beyond the actual words found in the Will. Specifically, UBC submits that the Executors were required to decide whether it was "feasible and practical </w:t>
      </w:r>
      <w:r>
        <w:rPr>
          <w:rFonts w:ascii="arial" w:eastAsia="arial" w:hAnsi="arial" w:cs="arial"/>
          <w:color w:val="000000"/>
          <w:sz w:val="20"/>
          <w:u w:val="single"/>
          <w:lang w:val="en-US" w:eastAsia="en-US" w:bidi="ar-SA"/>
        </w:rPr>
        <w:t>to fund and manage an entity</w:t>
      </w:r>
      <w:r>
        <w:rPr>
          <w:rFonts w:ascii="arial" w:eastAsia="arial" w:hAnsi="arial" w:cs="arial"/>
          <w:color w:val="000000"/>
          <w:sz w:val="20"/>
          <w:lang w:val="en-US" w:eastAsia="en-US" w:bidi="ar-SA"/>
        </w:rPr>
        <w:t xml:space="preserve"> to hold the Binning House" [emphasis </w:t>
      </w:r>
      <w:r>
        <w:rPr>
          <w:rFonts w:ascii="arial" w:eastAsia="arial" w:hAnsi="arial" w:cs="arial"/>
          <w:i/>
          <w:color w:val="000000"/>
          <w:sz w:val="20"/>
          <w:lang w:val="en-US" w:eastAsia="en-US" w:bidi="ar-SA"/>
        </w:rPr>
        <w:t>a</w:t>
      </w:r>
      <w:r>
        <w:rPr>
          <w:rFonts w:ascii="arial" w:eastAsia="arial" w:hAnsi="arial" w:cs="arial"/>
          <w:color w:val="000000"/>
          <w:sz w:val="20"/>
          <w:lang w:val="en-US" w:eastAsia="en-US" w:bidi="ar-SA"/>
        </w:rPr>
        <w:t xml:space="preserve"> dded], the inference being that the Executors must have retained control of the Entity for that purpose. I disagree. The Will itself only refers to a decision of the Executors as to the feasibility and practicality of establishing an Entity and transferring the Binning House to that Entity. Later still, however, the Will plainly refers to the holding, maintaining and use of the Binning House for those purposes </w:t>
      </w:r>
      <w:r>
        <w:rPr>
          <w:rFonts w:ascii="arial" w:eastAsia="arial" w:hAnsi="arial" w:cs="arial"/>
          <w:color w:val="000000"/>
          <w:sz w:val="20"/>
          <w:u w:val="single"/>
          <w:lang w:val="en-US" w:eastAsia="en-US" w:bidi="ar-SA"/>
        </w:rPr>
        <w:t>the Entity</w:t>
      </w:r>
      <w:r>
        <w:rPr>
          <w:rFonts w:ascii="arial" w:eastAsia="arial" w:hAnsi="arial" w:cs="arial"/>
          <w:color w:val="000000"/>
          <w:sz w:val="20"/>
          <w:lang w:val="en-US" w:eastAsia="en-US" w:bidi="ar-SA"/>
        </w:rPr>
        <w:t xml:space="preserve"> decides are desirable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xml:space="preserve">  In the alternative, if paragraph 4(g)(iii) is ambiguous, UBC argues that under the armchair rule, the court may look at previous versions of Jessie Binning's will both in draft form and signed, completed versions, to determine her intention. In </w:t>
      </w:r>
      <w:r>
        <w:rPr>
          <w:rFonts w:ascii="arial" w:eastAsia="arial" w:hAnsi="arial" w:cs="arial"/>
          <w:i/>
          <w:color w:val="000000"/>
          <w:sz w:val="20"/>
          <w:lang w:val="en-US" w:eastAsia="en-US" w:bidi="ar-SA"/>
        </w:rPr>
        <w:t>Estate of Cecil Charles Herbert Holmes</w:t>
      </w:r>
      <w:r>
        <w:rPr>
          <w:rFonts w:ascii="arial" w:eastAsia="arial" w:hAnsi="arial" w:cs="arial"/>
          <w:color w:val="000000"/>
          <w:sz w:val="20"/>
          <w:lang w:val="en-US" w:eastAsia="en-US" w:bidi="ar-SA"/>
        </w:rPr>
        <w:t xml:space="preserve">, </w:t>
      </w:r>
      <w:hyperlink r:id="rId338" w:history="1">
        <w:r>
          <w:rPr>
            <w:rFonts w:ascii="arial" w:eastAsia="arial" w:hAnsi="arial" w:cs="arial"/>
            <w:i/>
            <w:color w:val="0077CC"/>
            <w:sz w:val="20"/>
            <w:u w:val="single"/>
            <w:shd w:val="clear" w:color="auto" w:fill="FFFFFF"/>
            <w:lang w:val="en-US" w:eastAsia="en-US" w:bidi="ar-SA"/>
          </w:rPr>
          <w:t>2007 BCSC 51</w:t>
        </w:r>
      </w:hyperlink>
      <w:r>
        <w:rPr>
          <w:rFonts w:ascii="arial" w:eastAsia="arial" w:hAnsi="arial" w:cs="arial"/>
          <w:color w:val="000000"/>
          <w:sz w:val="20"/>
          <w:lang w:val="en-US" w:eastAsia="en-US" w:bidi="ar-SA"/>
        </w:rPr>
        <w:t xml:space="preserve"> at para. 15 and </w:t>
      </w:r>
      <w:r>
        <w:rPr>
          <w:rFonts w:ascii="arial" w:eastAsia="arial" w:hAnsi="arial" w:cs="arial"/>
          <w:i/>
          <w:color w:val="000000"/>
          <w:sz w:val="20"/>
          <w:lang w:val="en-US" w:eastAsia="en-US" w:bidi="ar-SA"/>
        </w:rPr>
        <w:t>Daradick v. McKeand Estate</w:t>
      </w:r>
      <w:r>
        <w:rPr>
          <w:rFonts w:ascii="arial" w:eastAsia="arial" w:hAnsi="arial" w:cs="arial"/>
          <w:color w:val="000000"/>
          <w:sz w:val="20"/>
          <w:lang w:val="en-US" w:eastAsia="en-US" w:bidi="ar-SA"/>
        </w:rPr>
        <w:t xml:space="preserve">, </w:t>
      </w:r>
      <w:hyperlink r:id="rId339" w:history="1">
        <w:r>
          <w:rPr>
            <w:rFonts w:ascii="arial" w:eastAsia="arial" w:hAnsi="arial" w:cs="arial"/>
            <w:i/>
            <w:color w:val="0077CC"/>
            <w:sz w:val="20"/>
            <w:u w:val="single"/>
            <w:shd w:val="clear" w:color="auto" w:fill="FFFFFF"/>
            <w:lang w:val="en-US" w:eastAsia="en-US" w:bidi="ar-SA"/>
          </w:rPr>
          <w:t>2012 ONSC 5622</w:t>
        </w:r>
      </w:hyperlink>
      <w:r>
        <w:rPr>
          <w:rFonts w:ascii="arial" w:eastAsia="arial" w:hAnsi="arial" w:cs="arial"/>
          <w:color w:val="000000"/>
          <w:sz w:val="20"/>
          <w:lang w:val="en-US" w:eastAsia="en-US" w:bidi="ar-SA"/>
        </w:rPr>
        <w:t xml:space="preserve"> at para. 40, the courts did consider that in those circumstances, prior signed wills may constitute evidence of intention.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UBC relies extensively on previous versions of Jessie Binning's Will which were executed on:</w:t>
      </w:r>
      <w:r>
        <w:rPr>
          <w:rFonts w:ascii="arial" w:eastAsia="arial" w:hAnsi="arial" w:cs="arial"/>
          <w:sz w:val="20"/>
          <w:lang w:val="en-US" w:eastAsia="en-US" w:bidi="ar-SA"/>
        </w:rPr>
        <w:cr/>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December 19, 2001: which gave broad discretion to the Executors to enter into arrangements with governments or private organizations to preserve the Binning House for historical purposes;</w:t>
      </w:r>
    </w:p>
    <w:p>
      <w:pPr>
        <w:numPr>
          <w:numId w:val="3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February 7, 2004: which directed the Executors to establish a foundation or other organization, society, association or corporation (the "Entity") and then transfer the Binning House to the Entity who will hold, maintain and use Binning House for whatever purposes it decides are beneficial and appropriate. The Entity was entitled to the residue or a lesser amount if the Executors decided appropriate;</w:t>
      </w:r>
    </w:p>
    <w:p>
      <w:pPr>
        <w:numPr>
          <w:numId w:val="33"/>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November 17, 2005: this will was in essentially the same terms as the final Will dated February 15,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In addition, UBC also relies, under the armchair rule, on certain drafts of Jessie Binning's wills from October 2005 and various emails and letters of both the solicitor preparing the wills and Mr. Walsh from February 2004 and the fall of 2005. Some handwritten notes have also been put into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xml:space="preserve">  I accept TLC's argument that the final version of the Will is the document that I must consider and not prior unsigned draft wills. The argument that draft wills are admissible as evidence of intention is akin to looking at instructions given to a solicitor, which this court expressly stated is impermissible to determine intention, per </w:t>
      </w:r>
      <w:r>
        <w:rPr>
          <w:rFonts w:ascii="arial" w:eastAsia="arial" w:hAnsi="arial" w:cs="arial"/>
          <w:i/>
          <w:color w:val="000000"/>
          <w:sz w:val="20"/>
          <w:lang w:val="en-US" w:eastAsia="en-US" w:bidi="ar-SA"/>
        </w:rPr>
        <w:t>Murray Estate</w:t>
      </w:r>
      <w:r>
        <w:rPr>
          <w:rFonts w:ascii="arial" w:eastAsia="arial" w:hAnsi="arial" w:cs="arial"/>
          <w:color w:val="000000"/>
          <w:sz w:val="20"/>
          <w:lang w:val="en-US" w:eastAsia="en-US" w:bidi="ar-SA"/>
        </w:rPr>
        <w:t xml:space="preserve"> at para. 7. Further, this is analogous to contracts, where the signed contract is the relevant version and previous unsigned versions do not assist to ascertain intention. Intention may change over time and what is relevant is the intention evident at the time of signing of the last will.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xml:space="preserve">  The other material relied on by UBC includes an email just before execution of the February 2004 will sent by Jessie Binning's lawyer who indicated concerns as to whether there would be enough money in the residue to "make the purpose feasible." In September 2005, Mr. Walsh, one of the Executors, commented that Mrs. Binning wanted her trustees to have significant discretion regarding the Binning House and that she was aware that it might not be practical to maintain the house and that it would probably have to be sold. To the extent that UBC relies on this further evidence as evidence of Jessie Binning's intention, it is inadmissible. It is not evidence of the "surrounding circumstances" relating to the execution of the Will: </w:t>
      </w:r>
      <w:r>
        <w:rPr>
          <w:rFonts w:ascii="arial" w:eastAsia="arial" w:hAnsi="arial" w:cs="arial"/>
          <w:i/>
          <w:color w:val="000000"/>
          <w:sz w:val="20"/>
          <w:lang w:val="en-US" w:eastAsia="en-US" w:bidi="ar-SA"/>
        </w:rPr>
        <w:t>Daradick</w:t>
      </w:r>
      <w:r>
        <w:rPr>
          <w:rFonts w:ascii="arial" w:eastAsia="arial" w:hAnsi="arial" w:cs="arial"/>
          <w:color w:val="000000"/>
          <w:sz w:val="20"/>
          <w:lang w:val="en-US" w:eastAsia="en-US" w:bidi="ar-SA"/>
        </w:rPr>
        <w:t>, para. 40. In addition, the comments are hearsay and are not even attributable to Jessie Binning. As such, none of this further evidence has any probative value or relevance in any event in determining Jessie Binning's intentions in February 2007, some years later. The same can be said with even greater force with respect to the various handwritten notes, where one is not even dated and the author is not identified in either of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Accordingly, the only relevant and admissible evidence advanced by UBC are the three prior signed wills.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UBC argues that the previous wills are evidence of Jessie Binning's intention that the Executors would preserve the Binning House under the "auspices of a society or foundation established" by them. UBC also submits that the previous wills establish Jessie Binning's understanding that her estate may not have sufficient funds to fund the Entity and that in that event, she intended that the Executors sell the Binning House and pay the proceeds to UBC. In particular, UBC argues that the change in her February 2004 will - that the Executors establish an "Entity" - is indicative that she wished to ensure that the entity was one established and controlled by the Executors and was funded by her estate in accordance with the residue clause.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Again, I am unable to accept UBC's restrictive interpretation of the Will. As I have stated above, Jessie Binning's Will granted considerable discretion to the Executors. I agree that the residue clause does indicate that she intended to fund, if possible, the Entity, if it was established. However, on a reasonable interpretation of the Will, the Executors' discretion to establish the Entity and deal with the Binning House was not fettered by a precondition that sufficient funds would be available from the estate to hold and manage the Binning House in a separate society controlled by the Executors in perpetuity.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Even if UBC is correct that the earlier wills (and some or all of the other extrinsic evidence) indicate that Jessie Binning had concerns about the ability of her estate to fund the Entity, it remains the case that from 2005, the discretion afforded to the Executors was restricted only the pre-condition that they decide whether it was "feasible and practical". She died only 3 months after execution of the Will. Knowing what she did about the value of her estate, had she wished to restrict the Executors as UBC suggests, it would have been open to her to say as much in the Will. Rather, I take the late expression of her intention in the Will to "preserve" the Binning House as confirmation of her intention to allow the Executors as much flexibility as possible in attempting to achieve that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In conclusion, based on an interpretation of the Will itself, I find that Jessie Binning's intention was to preserve the Binning House into the future. The Binning House was not just a house or residence to Jessie Binning. By the time of its construction, the Binnings had been married for some six years and after it was constructed, the Binnings used the house for the next 35 years, until B.C. Binning's death, as a salon and showcase for B.C. Binning's considerable artistic talents. Jessie Binning resided in this house for some 56 years in total. She knew that this house was a great achievement of her husband and that it was of great cultural significance.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In that regard, Jessie Binning gave the Executors significant discretion towards achieving the purpose of preserving the property in relation to establishing an Entity in accordance with paragraph 4(g)(iii) of the Will. That discretion was not fettered in the sense of requiring that the Executors determine, as a precondition to the exercise of their discretion, that the Estate would have sufficient resources to fund the Entity's operations in perpetuity and that the Executors were prepared to maintain control over the Entity for that purpose. Even if there is some ambiguity in the Will in that respect, I consider that the further evidence of the surrounding circumstances, being the prior wills, does not detract from that interpretation and in fact supports it.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(ii)</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Fraud on a Power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The thrust of UBC's argument on the interpretation of the Will is that the Executors acted outside the scope of their powers under the Will in benefiting TLC as a "non-object" and as such committed a fraud on the power. UBC argues that given the fraud on a power, the dispositions of the Binning House to BHPS and subsequently to TLC are void.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TLC argues that the Executors acted with proper authority when they established BHPS and then transferred the Binning House to BHPS. TLC submits that "[o]nce the Binning House was transferred to the BHPS, any claim UBC may have to the Binning House or proceeds of sale thereof is based on a 'hope' of Jessie Binning." This argument is said to flow directly from the language set out in paragraph 4(g)(iv) of Jessie Binning's Will.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UBC and TLC agree that the two basic elements of fraud on a power are set out in Geraint Thomas</w:t>
      </w:r>
      <w:r>
        <w:rPr>
          <w:rFonts w:ascii="arial" w:eastAsia="arial" w:hAnsi="arial" w:cs="arial"/>
          <w:i/>
          <w:color w:val="000000"/>
          <w:sz w:val="20"/>
          <w:lang w:val="en-US" w:eastAsia="en-US" w:bidi="ar-SA"/>
        </w:rPr>
        <w:t>, Thomas on Powers</w:t>
      </w:r>
      <w:r>
        <w:rPr>
          <w:rFonts w:ascii="arial" w:eastAsia="arial" w:hAnsi="arial" w:cs="arial"/>
          <w:color w:val="000000"/>
          <w:sz w:val="20"/>
          <w:lang w:val="en-US" w:eastAsia="en-US" w:bidi="ar-SA"/>
        </w:rPr>
        <w:t>, 2d ed. (Oxford: Oxford University Press, 2012) at para. 9.02:</w:t>
      </w:r>
      <w:r>
        <w:rPr>
          <w:rFonts w:ascii="arial" w:eastAsia="arial" w:hAnsi="arial" w:cs="arial"/>
          <w:sz w:val="20"/>
          <w:lang w:val="en-US" w:eastAsia="en-US" w:bidi="ar-SA"/>
        </w:rPr>
        <w:cr/>
      </w:r>
    </w:p>
    <w:p>
      <w:pPr>
        <w:numPr>
          <w:numId w:val="3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disposition that is beyond the scope of the power, with reference to the terms of the instrument; and</w:t>
      </w:r>
    </w:p>
    <w:p>
      <w:pPr>
        <w:numPr>
          <w:numId w:val="3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deliberate breach of the implied obligation not to exercise the power for an ulterior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While the doctrine of fraud on a power has an ancient history from English common law, there is scarce jurisprudence on the topic from other parts of the Commonwealth.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xml:space="preserve">  Both parties principally relied on case authorities from New Zealand, which I will discuss below. The only Canadian case referred to me was </w:t>
      </w:r>
      <w:r>
        <w:rPr>
          <w:rFonts w:ascii="arial" w:eastAsia="arial" w:hAnsi="arial" w:cs="arial"/>
          <w:i/>
          <w:color w:val="000000"/>
          <w:sz w:val="20"/>
          <w:lang w:val="en-US" w:eastAsia="en-US" w:bidi="ar-SA"/>
        </w:rPr>
        <w:t>Edell v. Sitzer</w:t>
      </w:r>
      <w:r>
        <w:rPr>
          <w:rFonts w:ascii="arial" w:eastAsia="arial" w:hAnsi="arial" w:cs="arial"/>
          <w:color w:val="000000"/>
          <w:sz w:val="20"/>
          <w:lang w:val="en-US" w:eastAsia="en-US" w:bidi="ar-SA"/>
        </w:rPr>
        <w:t xml:space="preserve">, </w:t>
      </w:r>
      <w:hyperlink r:id="rId340" w:history="1">
        <w:r>
          <w:rPr>
            <w:rFonts w:ascii="arial" w:eastAsia="arial" w:hAnsi="arial" w:cs="arial"/>
            <w:i/>
            <w:color w:val="0077CC"/>
            <w:sz w:val="20"/>
            <w:u w:val="single"/>
            <w:shd w:val="clear" w:color="auto" w:fill="FFFFFF"/>
            <w:lang w:val="en-US" w:eastAsia="en-US" w:bidi="ar-SA"/>
          </w:rPr>
          <w:t>[2001] O.J. No. 2909</w:t>
        </w:r>
      </w:hyperlink>
      <w:r>
        <w:rPr>
          <w:rFonts w:ascii="arial" w:eastAsia="arial" w:hAnsi="arial" w:cs="arial"/>
          <w:color w:val="000000"/>
          <w:sz w:val="20"/>
          <w:lang w:val="en-US" w:eastAsia="en-US" w:bidi="ar-SA"/>
        </w:rPr>
        <w:t xml:space="preserve"> (S.C.J.), aff'd </w:t>
      </w:r>
      <w:hyperlink r:id="rId341" w:history="1">
        <w:r>
          <w:rPr>
            <w:rFonts w:ascii="arial" w:eastAsia="arial" w:hAnsi="arial" w:cs="arial"/>
            <w:i/>
            <w:color w:val="0077CC"/>
            <w:sz w:val="20"/>
            <w:u w:val="single"/>
            <w:shd w:val="clear" w:color="auto" w:fill="FFFFFF"/>
            <w:lang w:val="en-US" w:eastAsia="en-US" w:bidi="ar-SA"/>
          </w:rPr>
          <w:t>[2004] O.J. No. 2314</w:t>
        </w:r>
      </w:hyperlink>
      <w:r>
        <w:rPr>
          <w:rFonts w:ascii="arial" w:eastAsia="arial" w:hAnsi="arial" w:cs="arial"/>
          <w:color w:val="000000"/>
          <w:sz w:val="20"/>
          <w:lang w:val="en-US" w:eastAsia="en-US" w:bidi="ar-SA"/>
        </w:rPr>
        <w:t xml:space="preserve"> (C.A.). In the lower court, Cullity J. sets out the doctrine per Snell's </w:t>
      </w:r>
      <w:r>
        <w:rPr>
          <w:rFonts w:ascii="arial" w:eastAsia="arial" w:hAnsi="arial" w:cs="arial"/>
          <w:i/>
          <w:color w:val="000000"/>
          <w:sz w:val="20"/>
          <w:lang w:val="en-US" w:eastAsia="en-US" w:bidi="ar-SA"/>
        </w:rPr>
        <w:t>Principles of Equity</w:t>
      </w:r>
      <w:r>
        <w:rPr>
          <w:rFonts w:ascii="arial" w:eastAsia="arial" w:hAnsi="arial" w:cs="arial"/>
          <w:color w:val="000000"/>
          <w:sz w:val="20"/>
          <w:lang w:val="en-US" w:eastAsia="en-US" w:bidi="ar-SA"/>
        </w:rPr>
        <w:t>, 29th ed. (London: Sweet &amp; Maxwell, 1990), pp. 562-63: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[164] ...The donee of a special power of appointment must exercise the power bona fide and for the end designed and not for any purpose which is foreign to the power. If the power is exercised not bona fide, but for a purpose beyond the scope of the instrument creating the power, or not justified by it, the appointment is said to be a fraud on the power, and equity holds it bad.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The question of whether there has been a fraud on a power (or to put it another way, the exercise of that power for an improper purpose) must have regard to the true intentions of the donor of the power as to its scope and purpose: Thomas, para. 9.03. As Thomas similarly notes, at para. 9.01, "the power can be exercised only in favour of the objects of that power and in furtherance of the purpose for which it was conferred".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Thomas at paras. 9.01-02 states that the concept is a "slippery" or "difficult" one and that is more than evident from a reading of the case authorities, particularly from New Zealand. Thomas notes that a "fraudulent exercise of a power", such as UBC alleges here, must be distinguished from simply an "excessive execution" of a power: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dividing line can sometimes be difficult to discern, but </w:t>
      </w:r>
      <w:r>
        <w:rPr>
          <w:rFonts w:ascii="arial" w:eastAsia="arial" w:hAnsi="arial" w:cs="arial"/>
          <w:color w:val="000000"/>
          <w:sz w:val="20"/>
          <w:u w:val="single"/>
          <w:lang w:val="en-US" w:eastAsia="en-US" w:bidi="ar-SA"/>
        </w:rPr>
        <w:t>what is of decisive importance is the intention or purpose of the donee in exercising the power</w:t>
      </w:r>
      <w:r>
        <w:rPr>
          <w:rFonts w:ascii="arial" w:eastAsia="arial" w:hAnsi="arial" w:cs="arial"/>
          <w:color w:val="000000"/>
          <w:sz w:val="20"/>
          <w:lang w:val="en-US" w:eastAsia="en-US" w:bidi="ar-SA"/>
        </w:rPr>
        <w:t xml:space="preserve">: if there is present some 'ulterior purpose' or 'collateral purpose', a 'deliberate defeating' of the donor's intention, there is a fraud on the power. An </w:t>
      </w:r>
      <w:r>
        <w:rPr>
          <w:rFonts w:ascii="arial" w:eastAsia="arial" w:hAnsi="arial" w:cs="arial"/>
          <w:i/>
          <w:color w:val="000000"/>
          <w:sz w:val="20"/>
          <w:lang w:val="en-US" w:eastAsia="en-US" w:bidi="ar-SA"/>
        </w:rPr>
        <w:t>excessive</w:t>
      </w:r>
      <w:r>
        <w:rPr>
          <w:rFonts w:ascii="arial" w:eastAsia="arial" w:hAnsi="arial" w:cs="arial"/>
          <w:color w:val="000000"/>
          <w:sz w:val="20"/>
          <w:lang w:val="en-US" w:eastAsia="en-US" w:bidi="ar-SA"/>
        </w:rPr>
        <w:t xml:space="preserve"> execution of a power generally turns on a question of construction. A </w:t>
      </w:r>
      <w:r>
        <w:rPr>
          <w:rFonts w:ascii="arial" w:eastAsia="arial" w:hAnsi="arial" w:cs="arial"/>
          <w:i/>
          <w:color w:val="000000"/>
          <w:sz w:val="20"/>
          <w:lang w:val="en-US" w:eastAsia="en-US" w:bidi="ar-SA"/>
        </w:rPr>
        <w:t>fraudulent</w:t>
      </w:r>
      <w:r>
        <w:rPr>
          <w:rFonts w:ascii="arial" w:eastAsia="arial" w:hAnsi="arial" w:cs="arial"/>
          <w:color w:val="000000"/>
          <w:sz w:val="20"/>
          <w:lang w:val="en-US" w:eastAsia="en-US" w:bidi="ar-SA"/>
        </w:rPr>
        <w:t xml:space="preserve"> execution turns upon the true intention or real motive of the donee of the power, which is usually much more difficult to ascertain (Thomas at para. 9.02).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xml:space="preserve">  If there is a fraud on a power and the trustees attempted to use a power they did not possess, then this court must not come to the rescue "by treating their action as if they had been engaged in exercising a quite different power that they did actually possess": </w:t>
      </w:r>
      <w:r>
        <w:rPr>
          <w:rFonts w:ascii="arial" w:eastAsia="arial" w:hAnsi="arial" w:cs="arial"/>
          <w:i/>
          <w:color w:val="000000"/>
          <w:sz w:val="20"/>
          <w:lang w:val="en-US" w:eastAsia="en-US" w:bidi="ar-SA"/>
        </w:rPr>
        <w:t>Kain v. Hutton</w:t>
      </w:r>
      <w:r>
        <w:rPr>
          <w:rFonts w:ascii="arial" w:eastAsia="arial" w:hAnsi="arial" w:cs="arial"/>
          <w:color w:val="000000"/>
          <w:sz w:val="20"/>
          <w:lang w:val="en-US" w:eastAsia="en-US" w:bidi="ar-SA"/>
        </w:rPr>
        <w:t xml:space="preserve">, [2008] NZSC 61 at para. 35. As Tipping J. stated in his concurring judgment, the donee "is acting pursuant to a mandate granted by the donor of the power and must stay within that mandate": </w:t>
      </w:r>
      <w:r>
        <w:rPr>
          <w:rFonts w:ascii="arial" w:eastAsia="arial" w:hAnsi="arial" w:cs="arial"/>
          <w:i/>
          <w:color w:val="000000"/>
          <w:sz w:val="20"/>
          <w:lang w:val="en-US" w:eastAsia="en-US" w:bidi="ar-SA"/>
        </w:rPr>
        <w:t>Kain</w:t>
      </w:r>
      <w:r>
        <w:rPr>
          <w:rFonts w:ascii="arial" w:eastAsia="arial" w:hAnsi="arial" w:cs="arial"/>
          <w:color w:val="000000"/>
          <w:sz w:val="20"/>
          <w:lang w:val="en-US" w:eastAsia="en-US" w:bidi="ar-SA"/>
        </w:rPr>
        <w:t xml:space="preserve"> at para. 46.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xml:space="preserve">  Similar to how the courts have characterized a "fraud" in the context of fraudulent conveyances, the use of the word "fraud" here also does not necessarily have any sinister meaning. In </w:t>
      </w:r>
      <w:r>
        <w:rPr>
          <w:rFonts w:ascii="arial" w:eastAsia="arial" w:hAnsi="arial" w:cs="arial"/>
          <w:i/>
          <w:color w:val="000000"/>
          <w:sz w:val="20"/>
          <w:lang w:val="en-US" w:eastAsia="en-US" w:bidi="ar-SA"/>
        </w:rPr>
        <w:t>Vatcher v. Paull</w:t>
      </w:r>
      <w:r>
        <w:rPr>
          <w:rFonts w:ascii="arial" w:eastAsia="arial" w:hAnsi="arial" w:cs="arial"/>
          <w:color w:val="000000"/>
          <w:sz w:val="20"/>
          <w:lang w:val="en-US" w:eastAsia="en-US" w:bidi="ar-SA"/>
        </w:rPr>
        <w:t>, [1915] AC 372 at 378, the Privy Council explained fraud on a power: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term fraud in connection with frauds on a power does not necessarily denote any conduct on the part of the appointor amounting to fraud in the common law meaning of the term or any conduct which could be properly termed dishonest or immoral. It merely means that the power has been exercised for a purpose, or with an intention, beyond the scope of or not justified by the instrument creating the power.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xml:space="preserve">  The onus of proving that there was a fraud on a power rests on the party asserting it: </w:t>
      </w:r>
      <w:r>
        <w:rPr>
          <w:rFonts w:ascii="arial" w:eastAsia="arial" w:hAnsi="arial" w:cs="arial"/>
          <w:i/>
          <w:color w:val="000000"/>
          <w:sz w:val="20"/>
          <w:lang w:val="en-US" w:eastAsia="en-US" w:bidi="ar-SA"/>
        </w:rPr>
        <w:t>Kain</w:t>
      </w:r>
      <w:r>
        <w:rPr>
          <w:rFonts w:ascii="arial" w:eastAsia="arial" w:hAnsi="arial" w:cs="arial"/>
          <w:color w:val="000000"/>
          <w:sz w:val="20"/>
          <w:lang w:val="en-US" w:eastAsia="en-US" w:bidi="ar-SA"/>
        </w:rPr>
        <w:t xml:space="preserve">, para. 19. It is agreed that if a fraud on the power is found, the execution of that power is void: Thomas, para. 9.90; </w:t>
      </w:r>
      <w:r>
        <w:rPr>
          <w:rFonts w:ascii="arial" w:eastAsia="arial" w:hAnsi="arial" w:cs="arial"/>
          <w:i/>
          <w:color w:val="000000"/>
          <w:sz w:val="20"/>
          <w:lang w:val="en-US" w:eastAsia="en-US" w:bidi="ar-SA"/>
        </w:rPr>
        <w:t>Re Marsden's Trust</w:t>
      </w:r>
      <w:r>
        <w:rPr>
          <w:rFonts w:ascii="arial" w:eastAsia="arial" w:hAnsi="arial" w:cs="arial"/>
          <w:color w:val="000000"/>
          <w:sz w:val="20"/>
          <w:lang w:val="en-US" w:eastAsia="en-US" w:bidi="ar-SA"/>
        </w:rPr>
        <w:t xml:space="preserve"> (1859), 4 Drew 594 at 601.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UBC submits that the Executors acted in fraud on a power as they were aware that "TLC was a non-object and they exercised their power intentionally to benefit that non-object." UBC says that the Executors improperly used BHPS as a "flow through entity" with the sole intention of benefiting TLC, who was not an object under the terms of the Will. This argument was largely predicated on UBC's interpretation argument above, which I have rejected. This led to UBC's submissions that since there was no money in the Estate to fund the Entity, a sale of the Binning House was the only option available to the Executors. I agree with TLC that UBC's unacceptable argument 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predicated on the assumption that, for the power to be validly exercised, the "Entity", as such term is defined in the Will, was required to "hold, maintain and use" the Binning House in such a way that precluded later alienation, and the Trustees were required to intend that the Entity so "hold, maintain and use" without possibility of alienation.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Nevertheless, assuming my interpretation of the Will is correct, I will further consider UBC's argument in the context of whether the Executors' intentions were such that they deliberately exercised their discretion for an improper purpose given the arrangements with BHPS.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As noted above, the matter must first be considered with reference to the testator's true intentions, in accordance with the language in the Will, as to the scope and purpose of the powers given to the Executors. George Farwell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Any attempt to exceed the limitations of the power through the medium of any appointment to one of the objects of it in exclusion of the others, is equally invalid, whether the purpose of the donee be selfish, or, as he supposes, a more beneficial mode of effecting that which he takes the donor of the power to have desired. The Court will not allow him to interpret the donor's intention in any other sense than the Court itself holds to be the true construction of the instrument creating the power; and a literal execution of the power, with a purpose which it does not sanction, is regarded as a fraud on the power (George Farwell, </w:t>
      </w:r>
      <w:r>
        <w:rPr>
          <w:rFonts w:ascii="arial" w:eastAsia="arial" w:hAnsi="arial" w:cs="arial"/>
          <w:i/>
          <w:color w:val="000000"/>
          <w:sz w:val="20"/>
          <w:lang w:val="en-US" w:eastAsia="en-US" w:bidi="ar-SA"/>
        </w:rPr>
        <w:t>A Concise Treatise on Powers</w:t>
      </w:r>
      <w:r>
        <w:rPr>
          <w:rFonts w:ascii="arial" w:eastAsia="arial" w:hAnsi="arial" w:cs="arial"/>
          <w:color w:val="000000"/>
          <w:sz w:val="20"/>
          <w:lang w:val="en-US" w:eastAsia="en-US" w:bidi="ar-SA"/>
        </w:rPr>
        <w:t>, 2d ed. (London, UK: Stevens and Sons Ltd.,1893) at 404 (HeinOnline)).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xml:space="preserve">  Professor Waters also demonstrates the importance of the testator's intention: "[w]hat the testator intended is clearly a question of construction of his language, and no case on construction is a binding precedent for a later case, but this does not deprive precedent of significance, and it is impossible to read these cases without realising that other judges could have reached different results" (Donovan W.M. Waters, Q.C., ed., </w:t>
      </w:r>
      <w:r>
        <w:rPr>
          <w:rFonts w:ascii="arial" w:eastAsia="arial" w:hAnsi="arial" w:cs="arial"/>
          <w:i/>
          <w:color w:val="000000"/>
          <w:sz w:val="20"/>
          <w:lang w:val="en-US" w:eastAsia="en-US" w:bidi="ar-SA"/>
        </w:rPr>
        <w:t>Waters' Law of Trusts in Canada</w:t>
      </w:r>
      <w:r>
        <w:rPr>
          <w:rFonts w:ascii="arial" w:eastAsia="arial" w:hAnsi="arial" w:cs="arial"/>
          <w:color w:val="000000"/>
          <w:sz w:val="20"/>
          <w:lang w:val="en-US" w:eastAsia="en-US" w:bidi="ar-SA"/>
        </w:rPr>
        <w:t>, 3d ed. (Toronto: Thomson Carswell, 2005) at 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Farwell and Waters' commentary reiterates that Jessie Binning's intention must be ascertained through the wording of her Will. From her intention, this court can determine whether the Executors exceeded any limitations in the exercise of their discretion that she intended.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xml:space="preserve">  I have already discussed above that considerable discretion was given to the Executors in terms of the </w:t>
      </w:r>
      <w:r>
        <w:rPr>
          <w:rFonts w:ascii="arial" w:eastAsia="arial" w:hAnsi="arial" w:cs="arial"/>
          <w:i/>
          <w:color w:val="000000"/>
          <w:sz w:val="20"/>
          <w:lang w:val="en-US" w:eastAsia="en-US" w:bidi="ar-SA"/>
        </w:rPr>
        <w:t>scope</w:t>
      </w:r>
      <w:r>
        <w:rPr>
          <w:rFonts w:ascii="arial" w:eastAsia="arial" w:hAnsi="arial" w:cs="arial"/>
          <w:color w:val="000000"/>
          <w:sz w:val="20"/>
          <w:lang w:val="en-US" w:eastAsia="en-US" w:bidi="ar-SA"/>
        </w:rPr>
        <w:t xml:space="preserve"> of the powers granted. It is also abundantly clear that the </w:t>
      </w:r>
      <w:r>
        <w:rPr>
          <w:rFonts w:ascii="arial" w:eastAsia="arial" w:hAnsi="arial" w:cs="arial"/>
          <w:i/>
          <w:color w:val="000000"/>
          <w:sz w:val="20"/>
          <w:lang w:val="en-US" w:eastAsia="en-US" w:bidi="ar-SA"/>
        </w:rPr>
        <w:t>purpose</w:t>
      </w:r>
      <w:r>
        <w:rPr>
          <w:rFonts w:ascii="arial" w:eastAsia="arial" w:hAnsi="arial" w:cs="arial"/>
          <w:color w:val="000000"/>
          <w:sz w:val="20"/>
          <w:lang w:val="en-US" w:eastAsia="en-US" w:bidi="ar-SA"/>
        </w:rPr>
        <w:t xml:space="preserve"> of the exercise of the powers granted to the Executors was as stated in paragraph 4(g)(ii) of the Will; namely, to preserve the Binning House for historical purposes.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xml:space="preserve">  Therefore, in this context, the next question that must be decided is whether the Executors were able to exercise their discretion as they did </w:t>
      </w:r>
      <w:r>
        <w:rPr>
          <w:rFonts w:ascii="arial" w:eastAsia="arial" w:hAnsi="arial" w:cs="arial"/>
          <w:i/>
          <w:color w:val="000000"/>
          <w:sz w:val="20"/>
          <w:lang w:val="en-US" w:eastAsia="en-US" w:bidi="ar-SA"/>
        </w:rPr>
        <w:t>and</w:t>
      </w:r>
      <w:r>
        <w:rPr>
          <w:rFonts w:ascii="arial" w:eastAsia="arial" w:hAnsi="arial" w:cs="arial"/>
          <w:color w:val="000000"/>
          <w:sz w:val="20"/>
          <w:lang w:val="en-US" w:eastAsia="en-US" w:bidi="ar-SA"/>
        </w:rPr>
        <w:t xml:space="preserve"> did they have an improper intention to benefit TLC, a non-object under the Will?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Thomas identifies various grounds or categories upon which the exercise of a power may be fraudulent. Two are relevant here and are of assistance in framing the issues: (1) if made pursuant to an antecedent agreement or bargain between the donee (the Executors) and an object of the power whereby a non-object is to benefit or (2) for a purpose "foreign" to the power: para. 9.13. In the context of UBC's arguments, the first category is really a subset of the second.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xml:space="preserve">  Under the first category, the issue is whether there was an agreement or bargain between the Executors and BHPS/TLC regarding the Binning House. In </w:t>
      </w:r>
      <w:r>
        <w:rPr>
          <w:rFonts w:ascii="arial" w:eastAsia="arial" w:hAnsi="arial" w:cs="arial"/>
          <w:i/>
          <w:color w:val="000000"/>
          <w:sz w:val="20"/>
          <w:lang w:val="en-US" w:eastAsia="en-US" w:bidi="ar-SA"/>
        </w:rPr>
        <w:t>Vatcher</w:t>
      </w:r>
      <w:r>
        <w:rPr>
          <w:rFonts w:ascii="arial" w:eastAsia="arial" w:hAnsi="arial" w:cs="arial"/>
          <w:color w:val="000000"/>
          <w:sz w:val="20"/>
          <w:lang w:val="en-US" w:eastAsia="en-US" w:bidi="ar-SA"/>
        </w:rPr>
        <w:t>, at 378 this was said to be perhaps the most common instance of a fraud on a power.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xml:space="preserve">  The courts have said that a fraud may occur where there has been some bargain between the donor and the donee, where the donor himself is to derive a benefit, or as the Privy Council stated "[i]t is enough that the appointor's purpose and intention is to secure a benefit for himself, or some other person not an object of the power": </w:t>
      </w:r>
      <w:r>
        <w:rPr>
          <w:rFonts w:ascii="arial" w:eastAsia="arial" w:hAnsi="arial" w:cs="arial"/>
          <w:i/>
          <w:color w:val="000000"/>
          <w:sz w:val="20"/>
          <w:lang w:val="en-US" w:eastAsia="en-US" w:bidi="ar-SA"/>
        </w:rPr>
        <w:t>Vatcher</w:t>
      </w:r>
      <w:r>
        <w:rPr>
          <w:rFonts w:ascii="arial" w:eastAsia="arial" w:hAnsi="arial" w:cs="arial"/>
          <w:color w:val="000000"/>
          <w:sz w:val="20"/>
          <w:lang w:val="en-US" w:eastAsia="en-US" w:bidi="ar-SA"/>
        </w:rPr>
        <w:t xml:space="preserve"> at 378; see also</w:t>
      </w:r>
      <w:r>
        <w:rPr>
          <w:rFonts w:ascii="arial" w:eastAsia="arial" w:hAnsi="arial" w:cs="arial"/>
          <w:i/>
          <w:color w:val="000000"/>
          <w:sz w:val="20"/>
          <w:lang w:val="en-US" w:eastAsia="en-US" w:bidi="ar-SA"/>
        </w:rPr>
        <w:t xml:space="preserve"> Kain</w:t>
      </w:r>
      <w:r>
        <w:rPr>
          <w:rFonts w:ascii="arial" w:eastAsia="arial" w:hAnsi="arial" w:cs="arial"/>
          <w:color w:val="000000"/>
          <w:sz w:val="20"/>
          <w:lang w:val="en-US" w:eastAsia="en-US" w:bidi="ar-SA"/>
        </w:rPr>
        <w:t xml:space="preserve"> at para. 18; and </w:t>
      </w:r>
      <w:r>
        <w:rPr>
          <w:rFonts w:ascii="arial" w:eastAsia="arial" w:hAnsi="arial" w:cs="arial"/>
          <w:i/>
          <w:color w:val="000000"/>
          <w:sz w:val="20"/>
          <w:lang w:val="en-US" w:eastAsia="en-US" w:bidi="ar-SA"/>
        </w:rPr>
        <w:t>Wong v. Burt</w:t>
      </w:r>
      <w:r>
        <w:rPr>
          <w:rFonts w:ascii="arial" w:eastAsia="arial" w:hAnsi="arial" w:cs="arial"/>
          <w:color w:val="000000"/>
          <w:sz w:val="20"/>
          <w:lang w:val="en-US" w:eastAsia="en-US" w:bidi="ar-SA"/>
        </w:rPr>
        <w:t>, [2004] NZCA 174 at para. 29.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xml:space="preserve">  However, in </w:t>
      </w:r>
      <w:r>
        <w:rPr>
          <w:rFonts w:ascii="arial" w:eastAsia="arial" w:hAnsi="arial" w:cs="arial"/>
          <w:i/>
          <w:color w:val="000000"/>
          <w:sz w:val="20"/>
          <w:lang w:val="en-US" w:eastAsia="en-US" w:bidi="ar-SA"/>
        </w:rPr>
        <w:t>Kain</w:t>
      </w:r>
      <w:r>
        <w:rPr>
          <w:rFonts w:ascii="arial" w:eastAsia="arial" w:hAnsi="arial" w:cs="arial"/>
          <w:color w:val="000000"/>
          <w:sz w:val="20"/>
          <w:lang w:val="en-US" w:eastAsia="en-US" w:bidi="ar-SA"/>
        </w:rPr>
        <w:t xml:space="preserve">, Tipping J. explained that this "classic" statement cannot be applied "in those literal terms and in isolation of the rationale of the doctrine. ... The focus should rather be on whether the purpose of the appointment was truly to benefit an object. If that is so, it does not matter that a non-object also obtains a benefit": </w:t>
      </w:r>
      <w:r>
        <w:rPr>
          <w:rFonts w:ascii="arial" w:eastAsia="arial" w:hAnsi="arial" w:cs="arial"/>
          <w:i/>
          <w:color w:val="000000"/>
          <w:sz w:val="20"/>
          <w:lang w:val="en-US" w:eastAsia="en-US" w:bidi="ar-SA"/>
        </w:rPr>
        <w:t>Kain</w:t>
      </w:r>
      <w:r>
        <w:rPr>
          <w:rFonts w:ascii="arial" w:eastAsia="arial" w:hAnsi="arial" w:cs="arial"/>
          <w:color w:val="000000"/>
          <w:sz w:val="20"/>
          <w:lang w:val="en-US" w:eastAsia="en-US" w:bidi="ar-SA"/>
        </w:rPr>
        <w:t xml:space="preserve"> at paras. 48-49; Farwell at 409-10. Indeed, the court in </w:t>
      </w:r>
      <w:r>
        <w:rPr>
          <w:rFonts w:ascii="arial" w:eastAsia="arial" w:hAnsi="arial" w:cs="arial"/>
          <w:i/>
          <w:color w:val="000000"/>
          <w:sz w:val="20"/>
          <w:lang w:val="en-US" w:eastAsia="en-US" w:bidi="ar-SA"/>
        </w:rPr>
        <w:t>Vatcher</w:t>
      </w:r>
      <w:r>
        <w:rPr>
          <w:rFonts w:ascii="arial" w:eastAsia="arial" w:hAnsi="arial" w:cs="arial"/>
          <w:color w:val="000000"/>
          <w:sz w:val="20"/>
          <w:lang w:val="en-US" w:eastAsia="en-US" w:bidi="ar-SA"/>
        </w:rPr>
        <w:t xml:space="preserve"> at 379 states "[i]t is not enough that the appointor or some person not an object of the power may conceivably derive some benefit".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Thomas makes two key points on this sub issue:</w:t>
      </w:r>
      <w:r>
        <w:rPr>
          <w:rFonts w:ascii="arial" w:eastAsia="arial" w:hAnsi="arial" w:cs="arial"/>
          <w:sz w:val="20"/>
          <w:lang w:val="en-US" w:eastAsia="en-US" w:bidi="ar-SA"/>
        </w:rPr>
        <w:cr/>
      </w:r>
    </w:p>
    <w:p>
      <w:pPr>
        <w:numPr>
          <w:numId w:val="3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mere existence of an agreement or bargain between the appointor and the appointee is not enough to void the appointment; rather, it must be shown that, but for the agreement or bargain, the appointment would not have been made (para. 9.16); and</w:t>
      </w:r>
    </w:p>
    <w:p>
      <w:pPr>
        <w:numPr>
          <w:numId w:val="3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does not follow that an appointment to an object of the power, coupled with a contemporaneous settlement by that object of the appointed fund to a non-object, is automatically void (para. 9.15).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Goldsmid v. Goldsmid</w:t>
      </w:r>
      <w:r>
        <w:rPr>
          <w:rFonts w:ascii="arial" w:eastAsia="arial" w:hAnsi="arial" w:cs="arial"/>
          <w:color w:val="000000"/>
          <w:sz w:val="20"/>
          <w:lang w:val="en-US" w:eastAsia="en-US" w:bidi="ar-SA"/>
        </w:rPr>
        <w:t xml:space="preserve">, (1842) 2 Hare 187, the mother had received a gift under a power and passed some of it on to her son, which was held to be valid. In </w:t>
      </w:r>
      <w:r>
        <w:rPr>
          <w:rFonts w:ascii="arial" w:eastAsia="arial" w:hAnsi="arial" w:cs="arial"/>
          <w:i/>
          <w:color w:val="000000"/>
          <w:sz w:val="20"/>
          <w:lang w:val="en-US" w:eastAsia="en-US" w:bidi="ar-SA"/>
        </w:rPr>
        <w:t>Goldsmid</w:t>
      </w:r>
      <w:r>
        <w:rPr>
          <w:rFonts w:ascii="arial" w:eastAsia="arial" w:hAnsi="arial" w:cs="arial"/>
          <w:color w:val="000000"/>
          <w:sz w:val="20"/>
          <w:lang w:val="en-US" w:eastAsia="en-US" w:bidi="ar-SA"/>
        </w:rPr>
        <w:t>, the Vice-Chancellor found at 198: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simple case where there has been nothing more than the concurrence of the donee of the power and one of the objects of the power, to whom an exclusive appointment might be made, or to whom an appointment might be made co-extensive with the amount of the property disposed of, the Court has treated the appointment as valid and effectual.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The Vice-Chancellor went on to say at 198: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where the appointee, an object of the power, joins in the deed of appointment, and the deed shows that that which is done has been so done by agreement with that party, the Court considers that party as making a settlement of the property. If </w:t>
      </w:r>
      <w:r>
        <w:rPr>
          <w:rFonts w:ascii="arial" w:eastAsia="arial" w:hAnsi="arial" w:cs="arial"/>
          <w:i/>
          <w:color w:val="000000"/>
          <w:sz w:val="20"/>
          <w:lang w:val="en-US" w:eastAsia="en-US" w:bidi="ar-SA"/>
        </w:rPr>
        <w:t>Ann</w:t>
      </w:r>
      <w:r>
        <w:rPr>
          <w:rFonts w:ascii="arial" w:eastAsia="arial" w:hAnsi="arial" w:cs="arial"/>
          <w:color w:val="000000"/>
          <w:sz w:val="20"/>
          <w:lang w:val="en-US" w:eastAsia="en-US" w:bidi="ar-SA"/>
        </w:rPr>
        <w:t xml:space="preserve">, therefore, to whom unquestionably an exclusive appointment might have been made, agrees that the property shall be make (sic) whether the property is given to </w:t>
      </w:r>
      <w:r>
        <w:rPr>
          <w:rFonts w:ascii="arial" w:eastAsia="arial" w:hAnsi="arial" w:cs="arial"/>
          <w:i/>
          <w:color w:val="000000"/>
          <w:sz w:val="20"/>
          <w:lang w:val="en-US" w:eastAsia="en-US" w:bidi="ar-SA"/>
        </w:rPr>
        <w:t>Ann</w:t>
      </w:r>
      <w:r>
        <w:rPr>
          <w:rFonts w:ascii="arial" w:eastAsia="arial" w:hAnsi="arial" w:cs="arial"/>
          <w:color w:val="000000"/>
          <w:sz w:val="20"/>
          <w:lang w:val="en-US" w:eastAsia="en-US" w:bidi="ar-SA"/>
        </w:rPr>
        <w:t xml:space="preserve"> in the form of an interest, or whether a control over the property is given to </w:t>
      </w:r>
      <w:r>
        <w:rPr>
          <w:rFonts w:ascii="arial" w:eastAsia="arial" w:hAnsi="arial" w:cs="arial"/>
          <w:i/>
          <w:color w:val="000000"/>
          <w:sz w:val="20"/>
          <w:lang w:val="en-US" w:eastAsia="en-US" w:bidi="ar-SA"/>
        </w:rPr>
        <w:t>Ann</w:t>
      </w:r>
      <w:r>
        <w:rPr>
          <w:rFonts w:ascii="arial" w:eastAsia="arial" w:hAnsi="arial" w:cs="arial"/>
          <w:color w:val="000000"/>
          <w:sz w:val="20"/>
          <w:lang w:val="en-US" w:eastAsia="en-US" w:bidi="ar-SA"/>
        </w:rPr>
        <w:t xml:space="preserve"> in the form of a power. The act complained of is not, according to the construction of the cases, the act of the donee of the power, but it is the separate act of </w:t>
      </w:r>
      <w:r>
        <w:rPr>
          <w:rFonts w:ascii="arial" w:eastAsia="arial" w:hAnsi="arial" w:cs="arial"/>
          <w:i/>
          <w:color w:val="000000"/>
          <w:sz w:val="20"/>
          <w:lang w:val="en-US" w:eastAsia="en-US" w:bidi="ar-SA"/>
        </w:rPr>
        <w:t>Ann</w:t>
      </w:r>
      <w:r>
        <w:rPr>
          <w:rFonts w:ascii="arial" w:eastAsia="arial" w:hAnsi="arial" w:cs="arial"/>
          <w:color w:val="000000"/>
          <w:sz w:val="20"/>
          <w:lang w:val="en-US" w:eastAsia="en-US" w:bidi="ar-SA"/>
        </w:rPr>
        <w:t>, which she acquired the power of exercising by means of the appointment first made by the donees of the power.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xml:space="preserve">  Referring to </w:t>
      </w:r>
      <w:r>
        <w:rPr>
          <w:rFonts w:ascii="arial" w:eastAsia="arial" w:hAnsi="arial" w:cs="arial"/>
          <w:i/>
          <w:color w:val="000000"/>
          <w:sz w:val="20"/>
          <w:lang w:val="en-US" w:eastAsia="en-US" w:bidi="ar-SA"/>
        </w:rPr>
        <w:t>Goldsmid</w:t>
      </w:r>
      <w:r>
        <w:rPr>
          <w:rFonts w:ascii="arial" w:eastAsia="arial" w:hAnsi="arial" w:cs="arial"/>
          <w:color w:val="000000"/>
          <w:sz w:val="20"/>
          <w:lang w:val="en-US" w:eastAsia="en-US" w:bidi="ar-SA"/>
        </w:rPr>
        <w:t>, Farwell states that "[t]he mere existence of a contract between appointor and appointee for a settlement is not enough to avoid the appointment. In order to do this, it must be shown that the contract induced the appointment, and that, but for the contract, the appointment would not have been made" (Farwell at 419). Farwell further says: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the donee of a limited power of appointment may well execute it in favour of an object of the power, though he believes and knows that the appointee will at once dispose of the property in favour of persons who are not objects of the power. But if, besides this belief and knowledge, there is a bargain between the appointor and appointee that the appointee shall make a disposition in favour of persons not objects of the power, and the just result of the evidence is that the appointment would not have been made but for the bargain, then the appointment is void (at 418).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xml:space="preserve">  Both of Thomas' points were raised and addressed in </w:t>
      </w:r>
      <w:r>
        <w:rPr>
          <w:rFonts w:ascii="arial" w:eastAsia="arial" w:hAnsi="arial" w:cs="arial"/>
          <w:i/>
          <w:color w:val="000000"/>
          <w:sz w:val="20"/>
          <w:lang w:val="en-US" w:eastAsia="en-US" w:bidi="ar-SA"/>
        </w:rPr>
        <w:t>Kain</w:t>
      </w:r>
      <w:r>
        <w:rPr>
          <w:rFonts w:ascii="arial" w:eastAsia="arial" w:hAnsi="arial" w:cs="arial"/>
          <w:color w:val="000000"/>
          <w:sz w:val="20"/>
          <w:lang w:val="en-US" w:eastAsia="en-US" w:bidi="ar-SA"/>
        </w:rPr>
        <w:t>. In that case, the trustees had discretion to encroach on capital to pay Mrs. Couper (the widow) or certain children of the testator's sister's children. Certain shares were transferred to Mrs. Couper who then immediately settled those shares in a trust whose beneficiaries included her children, who were admittedly not objects under the original trust. Similar to this case, the other beneficiaries argued that Mrs. Couper was simply a "conduit" used for the purpose of benefiting non-objects. The court upheld the transactions, noting that the purpose of the appointment was to benefit Mrs. Couper and that the immediate settling of the trust by her did not detract from that purpose (paras. 19-22). Further, Tipping J. stated in his concurring judgment: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[49] The problem with Lord Parker's formulation, unless it is understood and applied in the light of the substantial body of case law which preceded it, is that it has the focus in the wrong place. </w:t>
      </w:r>
      <w:r>
        <w:rPr>
          <w:rFonts w:ascii="arial" w:eastAsia="arial" w:hAnsi="arial" w:cs="arial"/>
          <w:color w:val="000000"/>
          <w:sz w:val="20"/>
          <w:u w:val="single"/>
          <w:lang w:val="en-US" w:eastAsia="en-US" w:bidi="ar-SA"/>
        </w:rPr>
        <w:t>An appointment which secures a benefit for a non-object is not for that reason alone a fraud on the power. The focus should rather be on whether the purpose of the appointment was truly to benefit an object. If that is so, it does not matter that a non-object also obtains a benefit</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[50] In </w:t>
      </w:r>
      <w:r>
        <w:rPr>
          <w:rFonts w:ascii="arial" w:eastAsia="arial" w:hAnsi="arial" w:cs="arial"/>
          <w:i/>
          <w:color w:val="000000"/>
          <w:sz w:val="20"/>
          <w:lang w:val="en-US" w:eastAsia="en-US" w:bidi="ar-SA"/>
        </w:rPr>
        <w:t>Pilkington</w:t>
      </w:r>
      <w:r>
        <w:rPr>
          <w:rFonts w:ascii="arial" w:eastAsia="arial" w:hAnsi="arial" w:cs="arial"/>
          <w:color w:val="000000"/>
          <w:sz w:val="20"/>
          <w:lang w:val="en-US" w:eastAsia="en-US" w:bidi="ar-SA"/>
        </w:rPr>
        <w:t xml:space="preserve">'s, [1964] A.C. 612, case Viscount Radcliffe suggested that the primary benefit must be to the object, with the benefit to the non-object being "incidental". </w:t>
      </w:r>
      <w:r>
        <w:rPr>
          <w:rFonts w:ascii="arial" w:eastAsia="arial" w:hAnsi="arial" w:cs="arial"/>
          <w:color w:val="000000"/>
          <w:sz w:val="20"/>
          <w:u w:val="single"/>
          <w:lang w:val="en-US" w:eastAsia="en-US" w:bidi="ar-SA"/>
        </w:rPr>
        <w:t>I agree with what Thomas says in his work on powers that it seems clear from the cases that the benefit derived by the non-object need not be merely incidental. That said, whatever the nature and comparative level of the benefit conferred on the non-object, the key point is that the purpose of the appointment must truly be to benefit the object</w:t>
      </w:r>
      <w:r>
        <w:rPr>
          <w:rFonts w:ascii="arial" w:eastAsia="arial" w:hAnsi="arial" w:cs="arial"/>
          <w:color w:val="000000"/>
          <w:sz w:val="20"/>
          <w:lang w:val="en-US" w:eastAsia="en-US" w:bidi="ar-SA"/>
        </w:rPr>
        <w:t>. Whether that is so should be determined in a broad way bearing in mind the commercial, conveyancing, family or other realities of what is occurring.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[51] The normal rationale for the use of a special power of appointment is to give to the donee/appointor the ability to choose, on the donor's behalf, among a range of potential beneficiaries nominated by the donor. The power is given because the donor is unlikely to be able to anticipate all the relevant circumstances, including fiscal considerations, which will apply at the time the appointment falls to be made. Hence the donor gives the power to a person or persons whom he trusts to make the selection when the time comes and when the relevant circumstances are known.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[52] The appointor may decide that object A should be the subject of an appointment. Object A is aware of the proposed appointment. She wants to pass the benefit of the appointment on to a family trust. She does not want to be left with the conveyancing and potential gift duty implications of receiving the property herself and then transferring it to the trust. Provided she is fully informed of her rights and is not subject to any improper pressure, I consider it would be too narrow a view to insist on the appointment being made to object A herself, despite her wish to direct the appointment elsewhere. In these circumstances the appointment is of benefit to A as well as to the non-objects who take possession.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[53] </w:t>
      </w:r>
      <w:r>
        <w:rPr>
          <w:rFonts w:ascii="arial" w:eastAsia="arial" w:hAnsi="arial" w:cs="arial"/>
          <w:color w:val="000000"/>
          <w:sz w:val="20"/>
          <w:u w:val="single"/>
          <w:lang w:val="en-US" w:eastAsia="en-US" w:bidi="ar-SA"/>
        </w:rPr>
        <w:t>In such circumstances, the appointor, if acceding to A's request, clearly has the purpose and intention of benefiting non-objects if the beneficiaries of the family trust are not objects of the power which the appointor is exercising. But cases of this kind have never been regarded as caught by the doctrine of fraud on a power. This is because the direction of A is regarded as justifying the direct appointment to the family trust, albeit its beneficiaries are non-objects. The rationale for this view is that such a transaction is not fairly capable of being regarded as an abuse of the donor's mandate as it is truly of benefit to A, albeit it is also of benefit to the beneficiaries of the family trust</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[54] Clearly, in the present case, as Blanchard J's reasons demonstrate, there was no abuse of the appointor's mandate in the appointment of the Ponui shares directly to the Annette Couper Ponui Trust. The terms of that trust and the circumstances in which Mrs Annette Couper acquiesced in the appointment being made to the trust rather than to herself, demonstrate that the appointment was of real benefit to Mrs Couper, she being an object of the power. It is not a case where the donor of the power can reasonably complain that the power has been misused. Hence I would reject the contention that the appointment of the Ponui shares represented a fraud on the relevant power.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 Footnotes removed]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xml:space="preserve">  UBC relies in particular on </w:t>
      </w:r>
      <w:r>
        <w:rPr>
          <w:rFonts w:ascii="arial" w:eastAsia="arial" w:hAnsi="arial" w:cs="arial"/>
          <w:i/>
          <w:color w:val="000000"/>
          <w:sz w:val="20"/>
          <w:lang w:val="en-US" w:eastAsia="en-US" w:bidi="ar-SA"/>
        </w:rPr>
        <w:t>Wong</w:t>
      </w:r>
      <w:r>
        <w:rPr>
          <w:rFonts w:ascii="arial" w:eastAsia="arial" w:hAnsi="arial" w:cs="arial"/>
          <w:color w:val="000000"/>
          <w:sz w:val="20"/>
          <w:lang w:val="en-US" w:eastAsia="en-US" w:bidi="ar-SA"/>
        </w:rPr>
        <w:t>. In that case, the husband died leaving the residuary estate in trust to pay an annual income to his wife. A power of encroachment was given in favour of the wife. The will directed that upon the wife's death, the annual income be paid to their two daughters and upon the death of the last surviving daughter, the residue be paid to the children or grandchildren of only one daughter and not the other due to a falling out in the family. After the husband's death, the one daughter also passed away and the wife became concerned for the grandchildren who were cut out of her husband's will. As a result, the trustees, in consultation with the wife and with legal advice, encroached on the capital and put the money that was removed in a separate trust for the grandchildren who were cut out of the will. The New Zealand Court of Appeal found that this was a fraud on a power (paras. 41-42) but also specifically said at para. 42 that if the wife: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had simply been advanced the money out of the estate and had then exercised genuine freedom of action to benefit the children (as for instance by setting up a trust for them), that would not have been unlawful. But what was knowingly erected was a deliberate scheme to subvert the terms of the will. What was overlooked was that the property was vested in those entitled in default of the exercise of the power, subject to its being divested by a proper exercise of the power in clause 6, and the steps in fact taken gave rise to a fraud on those entitled in default.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Wong</w:t>
      </w:r>
      <w:r>
        <w:rPr>
          <w:rFonts w:ascii="arial" w:eastAsia="arial" w:hAnsi="arial" w:cs="arial"/>
          <w:color w:val="000000"/>
          <w:sz w:val="20"/>
          <w:lang w:val="en-US" w:eastAsia="en-US" w:bidi="ar-SA"/>
        </w:rPr>
        <w:t xml:space="preserve">, the objects of the power were specific family members. The discretion that the trustees had was very limited and allowed them to deal only with those specific objects. While the New Zealand case of </w:t>
      </w:r>
      <w:r>
        <w:rPr>
          <w:rFonts w:ascii="arial" w:eastAsia="arial" w:hAnsi="arial" w:cs="arial"/>
          <w:i/>
          <w:color w:val="000000"/>
          <w:sz w:val="20"/>
          <w:lang w:val="en-US" w:eastAsia="en-US" w:bidi="ar-SA"/>
        </w:rPr>
        <w:t>Wong</w:t>
      </w:r>
      <w:r>
        <w:rPr>
          <w:rFonts w:ascii="arial" w:eastAsia="arial" w:hAnsi="arial" w:cs="arial"/>
          <w:color w:val="000000"/>
          <w:sz w:val="20"/>
          <w:lang w:val="en-US" w:eastAsia="en-US" w:bidi="ar-SA"/>
        </w:rPr>
        <w:t xml:space="preserve"> is instructive regarding the law, the facts in that case can be distinguished from the facts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In contrast, here the Executors had considerable discretion. They had the ability to decide whether it was "feasible and practical" to establish an Entity. They acted in accordance with Jessie Binning's wishes to preserve the Binning House for historical purposes and they, as they were empowered to do, set up an Entity to which they transferred the Binning House. At the time of the transfer, the Executors had no interest in BHPS, and they were not required to have obtained such a continuing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Immediately upon receiving the transfer of the Binning House, the directors of BHPS transferred it to TLC, which was also in accordance with Jessie Binning's wishes and her intention evidenced in her Will, paragraph 4(g)(iii). The "purposes [BHPS] decide[d were] desirable" were to pass the Binning House on to TLC, again in keeping with Jessie Binning's overall intention of preserving the house for historical purposes.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UBC argues that the transfer by the Executors was a "deliberate pre-conceived plan to subvert the terms of the Will". This argument appears to arise from the evidence of Mr. Massey, one of the Executors, that he and the other Executors set up an "intermediary society" so as to allow an immediate transfer of the Binning House to TLC. In its argument, UBC suggests that the Executors' "plan" or "purpose" was to "get the Binning House into the hands of TLC". With respect, as I alluded to earlier in these reasons, this conflates the distinct concepts of scope and purpose of the power discussed by Thomas at para. 9.06.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There is little doubt that the Executors established BHPS with the idea that they would cede control of BHPS to TLC almost immediately. In addition, despite the initial plan to leave the Binning House in BHPS for ongoing management by TLC, the Executors and TLC clearly anticipated as early as September 2008 that TLC would receive the Binning House fairly immediately after the initial transfer. No doubt TLC considered that there were benefits, such as administrative ones, in arranging the latter transfer.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However, the transfer from BHPS to TLC was done by those two societies, not by the Executors under Jessie Binning's Will. Once the property passed from the Executors to BHPS, the Executors no longer had any control over the property. While there had been discussions before BHPS received the property that it would later transfer the Binning House to TLC, BHPS could have decided not to take the step of transferring the Binning House to TLC and the Executors would have had no say in the matter. Once BHPS was the registered owner of the Binning House, it was free to deal with it as it pleased, subject to its Constitution.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When questioned in oral argument on how long BHPS would have had to retain the Binning House prior to transferring it to TLC in order to be valid, counsel for UBC replied that it would have to be more than 1/1,000 of a second which is what it was in this case. However, this does not demonstrate that BHPS would be required to hold the Binning House in perpetuity. There is nothing in the Will requiring that the Entity must hold the Binning House for a certain length of time. It can be inferred from the Will that it was not Jessie Binning's intention that the Entity must hold the Binning House in perpetuity as the Will in paragraph 4(g)(iv) specifically contemplated that the Entity may subsequently dispose of the Binning House in which case she "hoped" that the proceeds would be paid to UBC.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I am persuaded by TLC's argument that BHPS did in fact "hold, maintain and use" the Binning House by transferring it to TLC. In effect, BHPS held and maintained the Binning House for what is admittedly a very short period of time; however, it used the Binning House to transfer it to TLC which in turn has preserved the house for historical purposes in accordance with Jessie Binning's wish.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xml:space="preserve">  In these circumstances, I do not consider that the use of BHPS to accomplish the </w:t>
      </w:r>
      <w:r>
        <w:rPr>
          <w:rFonts w:ascii="arial" w:eastAsia="arial" w:hAnsi="arial" w:cs="arial"/>
          <w:i/>
          <w:color w:val="000000"/>
          <w:sz w:val="20"/>
          <w:lang w:val="en-US" w:eastAsia="en-US" w:bidi="ar-SA"/>
        </w:rPr>
        <w:t>purpose</w:t>
      </w:r>
      <w:r>
        <w:rPr>
          <w:rFonts w:ascii="arial" w:eastAsia="arial" w:hAnsi="arial" w:cs="arial"/>
          <w:color w:val="000000"/>
          <w:sz w:val="20"/>
          <w:lang w:val="en-US" w:eastAsia="en-US" w:bidi="ar-SA"/>
        </w:rPr>
        <w:t xml:space="preserve"> under the Will (i.e. to preserve the Binning House) falls outside of the </w:t>
      </w:r>
      <w:r>
        <w:rPr>
          <w:rFonts w:ascii="arial" w:eastAsia="arial" w:hAnsi="arial" w:cs="arial"/>
          <w:i/>
          <w:color w:val="000000"/>
          <w:sz w:val="20"/>
          <w:lang w:val="en-US" w:eastAsia="en-US" w:bidi="ar-SA"/>
        </w:rPr>
        <w:t>scope</w:t>
      </w:r>
      <w:r>
        <w:rPr>
          <w:rFonts w:ascii="arial" w:eastAsia="arial" w:hAnsi="arial" w:cs="arial"/>
          <w:color w:val="000000"/>
          <w:sz w:val="20"/>
          <w:lang w:val="en-US" w:eastAsia="en-US" w:bidi="ar-SA"/>
        </w:rPr>
        <w:t xml:space="preserve"> of the powers granted to the Executors. At the time of the initial transfer to BHPS, BHPS had discretion and acted upon its discretion to transfer the Binning House to TLC. Once the property passed from the Executors to BHPS, the Executors no longer had any control over the Binning House. This is distinguishable from </w:t>
      </w:r>
      <w:r>
        <w:rPr>
          <w:rFonts w:ascii="arial" w:eastAsia="arial" w:hAnsi="arial" w:cs="arial"/>
          <w:i/>
          <w:color w:val="000000"/>
          <w:sz w:val="20"/>
          <w:lang w:val="en-US" w:eastAsia="en-US" w:bidi="ar-SA"/>
        </w:rPr>
        <w:t>Wong</w:t>
      </w:r>
      <w:r>
        <w:rPr>
          <w:rFonts w:ascii="arial" w:eastAsia="arial" w:hAnsi="arial" w:cs="arial"/>
          <w:color w:val="000000"/>
          <w:sz w:val="20"/>
          <w:lang w:val="en-US" w:eastAsia="en-US" w:bidi="ar-SA"/>
        </w:rPr>
        <w:t xml:space="preserve"> where an appointee specifically entered into a scheme to subvert a provision in the trust document. The contemporaneous nature of the transfers is, as I point out above, not inconsistent with the proper exercise of the power in the first instance: Thomas, </w:t>
      </w:r>
      <w:r>
        <w:rPr>
          <w:rFonts w:ascii="arial" w:eastAsia="arial" w:hAnsi="arial" w:cs="arial"/>
          <w:i/>
          <w:color w:val="000000"/>
          <w:sz w:val="20"/>
          <w:lang w:val="en-US" w:eastAsia="en-US" w:bidi="ar-SA"/>
        </w:rPr>
        <w:t>Goldsmid</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Kain</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Here, by analogy, it would be the act of BHPS that is really the subject of UBC's complaint. BHPS was given the Binning House under the terms of the Will to "hold, maintain and use ... for those purposes it decides are desirable" (paragraph 4(g)(iii)); BHPS decided that the purposes which it felt were desirable were to pass the Binning House on to TLC.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It is clear from the wording of the Will that Jessie Binning's intention was that the Binning House be preserved for historical purposes. The Will states in paragraph 4(g)(iii) "if my Trustees decide it is feasible and practical to do so, to establish a foundation or other organization, society, association or corporation". In this case, the Executors did establish BHPS but no longer had any role or interest in BHPS when it received the Binning House or when BHPS subsequently transferred the property to TLC which then maintained it in accordance with Jessie Binning's wishes by preserving the property for historical purposes. I accept TLC's submission that "[t]here is no indication that the [Executors] had any purpose or intent to transfer the Binning House other than to protect and preserve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There is no evidence of any agreement between the Executors, BHPS and TLC to subvert the terms of the Will. Rather, the evidence demonstrates that the Executors were concerned about ensuring that they acted properly and that effect was given to Jessie Binning's intentions. Specifically, there is no evidence of any agreement between the Executors and BHPS, let alone an agreement that was a pre-condition to the transfer of the Binning House to BHPS, by which the ability of BHPS to deal with the property was fettered in any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xml:space="preserve">  Mr. Massey's evidence that the Binning House was transferred to BHPS on the "understanding" that it then be transferred to TLC is not evidence that there was an agreement or bargain in place between the Executors and BHPS/TLC. </w:t>
      </w:r>
      <w:r>
        <w:rPr>
          <w:rFonts w:ascii="arial" w:eastAsia="arial" w:hAnsi="arial" w:cs="arial"/>
          <w:i/>
          <w:color w:val="000000"/>
          <w:sz w:val="20"/>
          <w:lang w:val="en-US" w:eastAsia="en-US" w:bidi="ar-SA"/>
        </w:rPr>
        <w:t>Black's Law Dictionary</w:t>
      </w:r>
      <w:r>
        <w:rPr>
          <w:rFonts w:ascii="arial" w:eastAsia="arial" w:hAnsi="arial" w:cs="arial"/>
          <w:color w:val="000000"/>
          <w:sz w:val="20"/>
          <w:lang w:val="en-US" w:eastAsia="en-US" w:bidi="ar-SA"/>
        </w:rPr>
        <w:t>, 9th ed. provides a definition of "understanding":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process of comprehending; the act of a person who understands something. </w:t>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One's personal interpretation of an event or occurrence. </w:t>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An agreement, esp. of an implied or tacit 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There is no evidence that would support that Mr. Massey's use of the word "understanding" establishes an agreement of the sort that is required. Rather, the use of the word in this context could equally refer to Mr. Massey's personal interpretation of what would happen with the Binning House. Based on the evidence as a whole, the latter interpretation is more plausible and I find that Mr. Massey's interpretation or general understanding was that the Binning House would be later transferred from BHPS to TLC. This is consistent with the legal advice that the Executors received and their intentions.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Thomas' second category is the more general one as to whether the Executors' purpose and intention was "foreign" in the sense that it was exercised to benefit TLC as a non-object of the power.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xml:space="preserve">  I turn to whether TLC was an "object" under Jessie Binning's will. Her overriding intention is clear in paragraph 4(g)(ii) of her Will, namely that the Binning House be preserved for historical purposes. It occurs to me that UBC may be looking at the "objects" in this case through a mistaken lens. Here, similar to the law of trusts, as will be discussed in the next section of these reasons, the "object" that Jessie Binning had in mind was arguably a </w:t>
      </w:r>
      <w:r>
        <w:rPr>
          <w:rFonts w:ascii="arial" w:eastAsia="arial" w:hAnsi="arial" w:cs="arial"/>
          <w:i/>
          <w:color w:val="000000"/>
          <w:sz w:val="20"/>
          <w:lang w:val="en-US" w:eastAsia="en-US" w:bidi="ar-SA"/>
        </w:rPr>
        <w:t>charitable purpose</w:t>
      </w:r>
      <w:r>
        <w:rPr>
          <w:rFonts w:ascii="arial" w:eastAsia="arial" w:hAnsi="arial" w:cs="arial"/>
          <w:color w:val="000000"/>
          <w:sz w:val="20"/>
          <w:lang w:val="en-US" w:eastAsia="en-US" w:bidi="ar-SA"/>
        </w:rPr>
        <w:t>, not a specific individual or entity as an "object". The object in this case was preservation of the Binning House. TLC had a mandate which fit with Jessie Binning's wish. As such, the Executors rightfully found that TLC's management of the Binning House was fully in keeping with that wish. The wrinkle for the Executors was found in paragraph 4(g)(iii) of the Will which states that the Executors must "establish" an Entity if they wished to transfer the Binning House. The Executors were aware of this provision and as a consequence, BHPS was created, through which TLC obtained title to the Binning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xml:space="preserve">  In the alternative, if TLC was not an object of the Will, the language found in the Will does not restrict, as UBC suggests, the </w:t>
      </w:r>
      <w:r>
        <w:rPr>
          <w:rFonts w:ascii="arial" w:eastAsia="arial" w:hAnsi="arial" w:cs="arial"/>
          <w:i/>
          <w:color w:val="000000"/>
          <w:sz w:val="20"/>
          <w:lang w:val="en-US" w:eastAsia="en-US" w:bidi="ar-SA"/>
        </w:rPr>
        <w:t>manner</w:t>
      </w:r>
      <w:r>
        <w:rPr>
          <w:rFonts w:ascii="arial" w:eastAsia="arial" w:hAnsi="arial" w:cs="arial"/>
          <w:color w:val="000000"/>
          <w:sz w:val="20"/>
          <w:lang w:val="en-US" w:eastAsia="en-US" w:bidi="ar-SA"/>
        </w:rPr>
        <w:t xml:space="preserve"> in which the Executors may, or must, act. However, it is instructive of the testator's intention. As I have explained above, in my view the provisions of the Will do not demonstrate than the "Entity" that receives the Binning House must keep it in perpetuity or for any defined period of time. Rather, in accordance with the Will, the Entity was intended by Jessie Binning as having the ability to hold, maintain and use the Binning House for those purposes as it decided were desirable. BHPS decided to transfer the Binning House to TLC immediately upon receipt of the property. The result is that TLC now holds the Binning House in accordance with Jessie Binning's intention that it be held for historical purposes.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I have already outlined the factual circumstances above. Part of the overall circumstances here include that the Executors specifically asked their solicitors "for an opinion regarding how they could act in accordance with the Will and Jessie Binning's wishes and whether a proposal advanced by TLC would be in accordance with same." The Executors did not seek legal advice from BHT so as to benefit TLC. From the time of the initial opinion to the time of the transfers, the Executors worked with their legal advisors to, in part, ensure ongoing compliance with the terms of the Will. At no time did BHT express any concern to the Executors about the proposed plan of action in terms of dealing with the Binning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Part of the legal advice obtained by the Executors included a consideration of the interests of other beneficiaries under the Will, such as UBC. Specifically, the Executors were advised that a transfer to BHPS, rather than a sale, of the Binning House would result in UBC obtaining no benefit from the property since the clause in its favour would become "inoperative". This recognition and acknowledgement of UBC's potential interest under the Will does nothing, in this case, to advance UBC's argument that the Executors acted for an improper purpose. It simply means that the Executors fully recognized the consequences to UBC arising from the exercise of their discretion.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xml:space="preserve">  I do not mean to suggest that obtaining a legal opinion will, of necessity, establish the </w:t>
      </w:r>
      <w:r>
        <w:rPr>
          <w:rFonts w:ascii="arial" w:eastAsia="arial" w:hAnsi="arial" w:cs="arial"/>
          <w:i/>
          <w:color w:val="000000"/>
          <w:sz w:val="20"/>
          <w:lang w:val="en-US" w:eastAsia="en-US" w:bidi="ar-SA"/>
        </w:rPr>
        <w:t>bona fides</w:t>
      </w:r>
      <w:r>
        <w:rPr>
          <w:rFonts w:ascii="arial" w:eastAsia="arial" w:hAnsi="arial" w:cs="arial"/>
          <w:color w:val="000000"/>
          <w:sz w:val="20"/>
          <w:lang w:val="en-US" w:eastAsia="en-US" w:bidi="ar-SA"/>
        </w:rPr>
        <w:t xml:space="preserve"> of the Executors, nor will it necessarily demonstrate that they acted in accordance with the powers granted under the Will. This circumstance does, however, form part of the factual backdrop of this case in evidencing that the Executors took some care in confirming their view of Jessie Binning's intentions under the Will, determining the powers granted to them in fulfilling them and formulating the actual steps to be taken to fulfill her intentions.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xml:space="preserve">  BHT, the Executors' solicitors, did in their opinion suggest that the Executors could work with TLC to set up a new society since due to the wording of Jessie Binning's Will, the only way that TLC could receive the Binning House was if a separate society was created. In that regard, the Executors acted in accordance with the significant discretion afforded them under the Will and in accordance with the fundamental purpose of preserving the Binning House: </w:t>
      </w:r>
      <w:r>
        <w:rPr>
          <w:rFonts w:ascii="arial" w:eastAsia="arial" w:hAnsi="arial" w:cs="arial"/>
          <w:i/>
          <w:color w:val="000000"/>
          <w:sz w:val="20"/>
          <w:lang w:val="en-US" w:eastAsia="en-US" w:bidi="ar-SA"/>
        </w:rPr>
        <w:t>Re Marsden's Trus</w:t>
      </w:r>
      <w:r>
        <w:rPr>
          <w:rFonts w:ascii="arial" w:eastAsia="arial" w:hAnsi="arial" w:cs="arial"/>
          <w:color w:val="000000"/>
          <w:sz w:val="20"/>
          <w:lang w:val="en-US" w:eastAsia="en-US" w:bidi="ar-SA"/>
        </w:rPr>
        <w:t xml:space="preserve"> t, at 599.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xml:space="preserve">  I find that the Executors' intentions or purpose in transferring the Binning House to BHPS were to benefit BHPS which was a validly created Entity, in accordance with the terms of the Will and in accordance with Jessie Binning's intention to preserve the Binning House. As mentioned above, the fact that TLC also benefited by an immediate further transfer does not make the disposition invalid: </w:t>
      </w:r>
      <w:r>
        <w:rPr>
          <w:rFonts w:ascii="arial" w:eastAsia="arial" w:hAnsi="arial" w:cs="arial"/>
          <w:i/>
          <w:color w:val="000000"/>
          <w:sz w:val="20"/>
          <w:lang w:val="en-US" w:eastAsia="en-US" w:bidi="ar-SA"/>
        </w:rPr>
        <w:t>Kain</w:t>
      </w:r>
      <w:r>
        <w:rPr>
          <w:rFonts w:ascii="arial" w:eastAsia="arial" w:hAnsi="arial" w:cs="arial"/>
          <w:color w:val="000000"/>
          <w:sz w:val="20"/>
          <w:lang w:val="en-US" w:eastAsia="en-US" w:bidi="ar-SA"/>
        </w:rPr>
        <w:t xml:space="preserve"> at para. 49. In this case, a valid disposition by the Executors was made and the donee (BHPS) also validly decided to deal with the property in a manner to benefit another.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I conclude and make findings, as follows:</w:t>
      </w:r>
      <w:r>
        <w:rPr>
          <w:rFonts w:ascii="arial" w:eastAsia="arial" w:hAnsi="arial" w:cs="arial"/>
          <w:sz w:val="20"/>
          <w:lang w:val="en-US" w:eastAsia="en-US" w:bidi="ar-SA"/>
        </w:rPr>
        <w:cr/>
      </w:r>
    </w:p>
    <w:p>
      <w:pPr>
        <w:numPr>
          <w:numId w:val="38"/>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at all times, the Executors acted in good faith, having in particular sought legal advice as to the scope of their powers under the Will;</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interpretation of the Will is such that Jessie Binning's wish was to preserve the Binning House and the Executors were granted significant discretion or power to take steps to fulfill that purpose;</w:t>
      </w:r>
    </w:p>
    <w:p>
      <w:pPr>
        <w:numPr>
          <w:numId w:val="40"/>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accordance with that discretion and power, the Executors properly established BHPS and then transferred the Binning House to BHPS, all as expressly authorized under the Will;</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transfer to BHPS was not done in accordance with any agreement or bargain between the Executors, BHPS and/or TLC as to any further dealings with the Binning House by BHPS by which BHPS' actions were fettered in any way;</w:t>
      </w:r>
    </w:p>
    <w:p>
      <w:pPr>
        <w:numPr>
          <w:numId w:val="4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both before and after the transfer by the Executors to BHPS, TLC fully controlled BHPS and after the transfer, BHPS had full discretion as to any further dispositions of the Binning House, including transferring the Binning House to TLC;</w:t>
      </w:r>
    </w:p>
    <w:p>
      <w:pPr>
        <w:numPr>
          <w:numId w:val="43"/>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Executors did not exercise their powers for an ulterior motive or purpose, whether deliberately or otherwise; and</w:t>
      </w:r>
    </w:p>
    <w:p>
      <w:pPr>
        <w:numPr>
          <w:numId w:val="4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at all times, the Executors acted with the express intent and purpose of complying with Jessie Binning's intentions and wishes under the Will and in accordance with the discretionary powers granted to them under the Will - all to the end of preserving the Binning House into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The fact that the Executors and TLC worked together to find a solution that fit within the terms of the Will does not mean that there has been a fraud on the power.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Therefore, I conclude that there has been no fraud on the Executors' powers as contained in Jessie Binning's Will. Rather than resulting in a "deliberate defeating" of Jessie Binning's intentions, these arrangements were completely in accordance with her intentions.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UBC's application for a declaration that the transfer of the Binning House by the Executors is void and that the Binning House be returned to the estate is dismissed, with costs payable by UBC in favour of TLC.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Trust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858"/>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 xml:space="preserve">Does the </w:t>
            </w:r>
            <w:r>
              <w:rPr>
                <w:rFonts w:ascii="arial" w:eastAsia="arial" w:hAnsi="arial" w:cs="arial"/>
                <w:b/>
                <w:i/>
                <w:color w:val="000000"/>
                <w:sz w:val="18"/>
                <w:lang w:val="en-US" w:eastAsia="en-US" w:bidi="ar-SA"/>
              </w:rPr>
              <w:t>CPPA</w:t>
            </w:r>
            <w:r>
              <w:rPr>
                <w:rFonts w:ascii="arial" w:eastAsia="arial" w:hAnsi="arial" w:cs="arial"/>
                <w:b/>
                <w:color w:val="000000"/>
                <w:sz w:val="18"/>
                <w:lang w:val="en-US" w:eastAsia="en-US" w:bidi="ar-SA"/>
              </w:rPr>
              <w:t xml:space="preserve"> or general trust law apply so as to prevent the sale of the Binning House by TLC on the proposed terms?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5"/>
        <w:gridCol w:w="2398"/>
        <w:gridCol w:w="240"/>
        <w:gridCol w:w="5421"/>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35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18"/>
                <w:lang w:val="en-US" w:eastAsia="en-US" w:bidi="ar-SA"/>
              </w:rPr>
              <w:t>Submissions of the AG and the District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xml:space="preserve">  The AG has made substantial submissions on this issue based on its role as </w:t>
      </w:r>
      <w:r>
        <w:rPr>
          <w:rFonts w:ascii="arial" w:eastAsia="arial" w:hAnsi="arial" w:cs="arial"/>
          <w:i/>
          <w:color w:val="000000"/>
          <w:sz w:val="20"/>
          <w:lang w:val="en-US" w:eastAsia="en-US" w:bidi="ar-SA"/>
        </w:rPr>
        <w:t>parens patriae</w:t>
      </w:r>
      <w:r>
        <w:rPr>
          <w:rFonts w:ascii="arial" w:eastAsia="arial" w:hAnsi="arial" w:cs="arial"/>
          <w:color w:val="000000"/>
          <w:sz w:val="20"/>
          <w:lang w:val="en-US" w:eastAsia="en-US" w:bidi="ar-SA"/>
        </w:rPr>
        <w:t xml:space="preserve"> in the protection of the interest of charities: Waters at 788-89; Spencer G. Maurice &amp; David B. Parker, </w:t>
      </w:r>
      <w:r>
        <w:rPr>
          <w:rFonts w:ascii="arial" w:eastAsia="arial" w:hAnsi="arial" w:cs="arial"/>
          <w:i/>
          <w:color w:val="000000"/>
          <w:sz w:val="20"/>
          <w:lang w:val="en-US" w:eastAsia="en-US" w:bidi="ar-SA"/>
        </w:rPr>
        <w:t>Tudor on Charities</w:t>
      </w:r>
      <w:r>
        <w:rPr>
          <w:rFonts w:ascii="arial" w:eastAsia="arial" w:hAnsi="arial" w:cs="arial"/>
          <w:color w:val="000000"/>
          <w:sz w:val="20"/>
          <w:lang w:val="en-US" w:eastAsia="en-US" w:bidi="ar-SA"/>
        </w:rPr>
        <w:t>, 7th ed. (London, UK: Sweet &amp; Maxwell, 1984) at 294, 328.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xml:space="preserve">  The AG submits that based on the </w:t>
      </w:r>
      <w:r>
        <w:rPr>
          <w:rFonts w:ascii="arial" w:eastAsia="arial" w:hAnsi="arial" w:cs="arial"/>
          <w:i/>
          <w:color w:val="000000"/>
          <w:sz w:val="20"/>
          <w:lang w:val="en-US" w:eastAsia="en-US" w:bidi="ar-SA"/>
        </w:rPr>
        <w:t>CPPA</w:t>
      </w:r>
      <w:r>
        <w:rPr>
          <w:rFonts w:ascii="arial" w:eastAsia="arial" w:hAnsi="arial" w:cs="arial"/>
          <w:color w:val="000000"/>
          <w:sz w:val="20"/>
          <w:lang w:val="en-US" w:eastAsia="en-US" w:bidi="ar-SA"/>
        </w:rPr>
        <w:t xml:space="preserve"> and trust law, TLC has no beneficial interest in the Binning House for two reasons: firstly, TLC received title to Binning House as "discrete purpose charitable property" per the </w:t>
      </w:r>
      <w:r>
        <w:rPr>
          <w:rFonts w:ascii="arial" w:eastAsia="arial" w:hAnsi="arial" w:cs="arial"/>
          <w:i/>
          <w:color w:val="000000"/>
          <w:sz w:val="20"/>
          <w:lang w:val="en-US" w:eastAsia="en-US" w:bidi="ar-SA"/>
        </w:rPr>
        <w:t>CPPA</w:t>
      </w:r>
      <w:r>
        <w:rPr>
          <w:rFonts w:ascii="arial" w:eastAsia="arial" w:hAnsi="arial" w:cs="arial"/>
          <w:color w:val="000000"/>
          <w:sz w:val="20"/>
          <w:lang w:val="en-US" w:eastAsia="en-US" w:bidi="ar-SA"/>
        </w:rPr>
        <w:t xml:space="preserve"> or alternatively, the Binning House is held by TLC subject to a common law trust for specific charitable purposes. Therefore, the AG submits that based on the principle of </w:t>
      </w:r>
      <w:r>
        <w:rPr>
          <w:rFonts w:ascii="arial" w:eastAsia="arial" w:hAnsi="arial" w:cs="arial"/>
          <w:i/>
          <w:color w:val="000000"/>
          <w:sz w:val="20"/>
          <w:lang w:val="en-US" w:eastAsia="en-US" w:bidi="ar-SA"/>
        </w:rPr>
        <w:t>nemo dat quod non habet</w:t>
      </w:r>
      <w:r>
        <w:rPr>
          <w:rFonts w:ascii="arial" w:eastAsia="arial" w:hAnsi="arial" w:cs="arial"/>
          <w:color w:val="000000"/>
          <w:sz w:val="20"/>
          <w:lang w:val="en-US" w:eastAsia="en-US" w:bidi="ar-SA"/>
        </w:rPr>
        <w:t xml:space="preserve"> (you cannot sell what you do not own), this court may not approve and order a transfer of any such beneficial interest to BJW.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xml:space="preserve">  The AG further says that a transfer from TLC should only take place to a purchaser as "discrete purpose charitable property" and subject to a common law trust for specific charitable purposes. Finally, the AG suggests that any sale proceeds of Binning House are "returns" under the </w:t>
      </w:r>
      <w:r>
        <w:rPr>
          <w:rFonts w:ascii="arial" w:eastAsia="arial" w:hAnsi="arial" w:cs="arial"/>
          <w:i/>
          <w:color w:val="000000"/>
          <w:sz w:val="20"/>
          <w:lang w:val="en-US" w:eastAsia="en-US" w:bidi="ar-SA"/>
        </w:rPr>
        <w:t>CPPA</w:t>
      </w: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 xml:space="preserve"> s.</w:t>
      </w:r>
      <w:r>
        <w:rPr>
          <w:rFonts w:ascii="arial" w:eastAsia="arial" w:hAnsi="arial" w:cs="arial"/>
          <w:color w:val="000000"/>
          <w:sz w:val="20"/>
          <w:lang w:val="en-US" w:eastAsia="en-US" w:bidi="ar-SA"/>
        </w:rPr>
        <w:t xml:space="preserve"> 1 and are subject to a trust and TLC has no beneficial interest in such proceeds.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The District was granted intervenor status on the trust issues on December 12, 2013; however, such status was limited to clarifying certain factual issues and also addressing any trust issues not already identified by the AG. This was largely driven by the fact that the District has no direct legal interest in the proceedings as no one proposes that the Bylaws be removed from title for the purpose of the sale to BJW. I do, however, acknowledge that the District has played a key role in the administration of the Binning House while held by TLC since 2008 and as noted above, it has provided financial assistance to TLC in the form of property tax relief for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xml:space="preserve">  In any event, the District agrees that the Binning House is "discrete purpose charitable property" in accordance with the </w:t>
      </w:r>
      <w:r>
        <w:rPr>
          <w:rFonts w:ascii="arial" w:eastAsia="arial" w:hAnsi="arial" w:cs="arial"/>
          <w:i/>
          <w:color w:val="000000"/>
          <w:sz w:val="20"/>
          <w:lang w:val="en-US" w:eastAsia="en-US" w:bidi="ar-SA"/>
        </w:rPr>
        <w:t>CPPA</w:t>
      </w:r>
      <w:r>
        <w:rPr>
          <w:rFonts w:ascii="arial" w:eastAsia="arial" w:hAnsi="arial" w:cs="arial"/>
          <w:color w:val="000000"/>
          <w:sz w:val="20"/>
          <w:lang w:val="en-US" w:eastAsia="en-US" w:bidi="ar-SA"/>
        </w:rPr>
        <w:t xml:space="preserve"> and the Deed of Trust. It says that a specified "charitable purpose" includes the advancement of education and the benefit of the community at large. It also says that the Binning House is a discrete asset held by TLC for this specific purpose and not to advance any of TLC's other general purposes, as set out in its Constitution.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The District says that the court should order a disposition of the Binning House to a new charity as opposed to a "for profit" corporation or for private benefit. Notwithstanding, it is abundantly clear that it has been unable to find any such charity to take on the Binning House and no such offer has been made by the District itself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2614"/>
        <w:gridCol w:w="543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18"/>
                <w:lang w:val="en-US" w:eastAsia="en-US" w:bidi="ar-SA"/>
              </w:rPr>
              <w:t>(B)</w:t>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18"/>
                <w:lang w:val="en-US" w:eastAsia="en-US" w:bidi="ar-SA"/>
              </w:rPr>
              <w:t>General Principles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xml:space="preserve">  It is undisputed on this application that while the court has the jurisdiction under the </w:t>
      </w:r>
      <w:r>
        <w:rPr>
          <w:rFonts w:ascii="arial" w:eastAsia="arial" w:hAnsi="arial" w:cs="arial"/>
          <w:i/>
          <w:color w:val="000000"/>
          <w:sz w:val="20"/>
          <w:lang w:val="en-US" w:eastAsia="en-US" w:bidi="ar-SA"/>
        </w:rPr>
        <w:t>CCAA</w:t>
      </w:r>
      <w:r>
        <w:rPr>
          <w:rFonts w:ascii="arial" w:eastAsia="arial" w:hAnsi="arial" w:cs="arial"/>
          <w:color w:val="000000"/>
          <w:sz w:val="20"/>
          <w:lang w:val="en-US" w:eastAsia="en-US" w:bidi="ar-SA"/>
        </w:rPr>
        <w:t xml:space="preserve"> to advance the objectives under that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in the context of bankruptcy and insolvency, provincial laws relating to property and civil rights, such as the law of trusts, continue to apply: </w:t>
      </w:r>
      <w:r>
        <w:rPr>
          <w:rFonts w:ascii="arial" w:eastAsia="arial" w:hAnsi="arial" w:cs="arial"/>
          <w:i/>
          <w:color w:val="000000"/>
          <w:sz w:val="20"/>
          <w:lang w:val="en-US" w:eastAsia="en-US" w:bidi="ar-SA"/>
        </w:rPr>
        <w:t>Re Giffen</w:t>
      </w:r>
      <w:r>
        <w:rPr>
          <w:rFonts w:ascii="arial" w:eastAsia="arial" w:hAnsi="arial" w:cs="arial"/>
          <w:color w:val="000000"/>
          <w:sz w:val="20"/>
          <w:lang w:val="en-US" w:eastAsia="en-US" w:bidi="ar-SA"/>
        </w:rPr>
        <w:t xml:space="preserve">, </w:t>
      </w:r>
      <w:hyperlink r:id="rId342" w:history="1">
        <w:r>
          <w:rPr>
            <w:rFonts w:ascii="arial" w:eastAsia="arial" w:hAnsi="arial" w:cs="arial"/>
            <w:i/>
            <w:color w:val="0077CC"/>
            <w:sz w:val="20"/>
            <w:u w:val="single"/>
            <w:shd w:val="clear" w:color="auto" w:fill="FFFFFF"/>
            <w:lang w:val="en-US" w:eastAsia="en-US" w:bidi="ar-SA"/>
          </w:rPr>
          <w:t>[1998] 1 S.C.R. 91</w:t>
        </w:r>
      </w:hyperlink>
      <w:r>
        <w:rPr>
          <w:rFonts w:ascii="arial" w:eastAsia="arial" w:hAnsi="arial" w:cs="arial"/>
          <w:color w:val="000000"/>
          <w:sz w:val="20"/>
          <w:lang w:val="en-US" w:eastAsia="en-US" w:bidi="ar-SA"/>
        </w:rPr>
        <w:t xml:space="preserve">, at para. 64; </w:t>
      </w:r>
      <w:r>
        <w:rPr>
          <w:rFonts w:ascii="arial" w:eastAsia="arial" w:hAnsi="arial" w:cs="arial"/>
          <w:i/>
          <w:color w:val="000000"/>
          <w:sz w:val="20"/>
          <w:lang w:val="en-US" w:eastAsia="en-US" w:bidi="ar-SA"/>
        </w:rPr>
        <w:t>Rowland v The Christian Brothers of Ireland in Canada</w:t>
      </w:r>
      <w:r>
        <w:rPr>
          <w:rFonts w:ascii="arial" w:eastAsia="arial" w:hAnsi="arial" w:cs="arial"/>
          <w:color w:val="000000"/>
          <w:sz w:val="20"/>
          <w:lang w:val="en-US" w:eastAsia="en-US" w:bidi="ar-SA"/>
        </w:rPr>
        <w:t xml:space="preserve">, </w:t>
      </w:r>
      <w:hyperlink r:id="rId343" w:history="1">
        <w:r>
          <w:rPr>
            <w:rFonts w:ascii="arial" w:eastAsia="arial" w:hAnsi="arial" w:cs="arial"/>
            <w:i/>
            <w:color w:val="0077CC"/>
            <w:sz w:val="20"/>
            <w:u w:val="single"/>
            <w:shd w:val="clear" w:color="auto" w:fill="FFFFFF"/>
            <w:lang w:val="en-US" w:eastAsia="en-US" w:bidi="ar-SA"/>
          </w:rPr>
          <w:t>2001 BCCA 527</w:t>
        </w:r>
      </w:hyperlink>
      <w:r>
        <w:rPr>
          <w:rFonts w:ascii="arial" w:eastAsia="arial" w:hAnsi="arial" w:cs="arial"/>
          <w:color w:val="000000"/>
          <w:sz w:val="20"/>
          <w:lang w:val="en-US" w:eastAsia="en-US" w:bidi="ar-SA"/>
        </w:rPr>
        <w:t xml:space="preserve">, leave to appeal to SCC refused, </w:t>
      </w:r>
      <w:hyperlink r:id="rId344" w:history="1">
        <w:r>
          <w:rPr>
            <w:rFonts w:ascii="arial" w:eastAsia="arial" w:hAnsi="arial" w:cs="arial"/>
            <w:i/>
            <w:color w:val="0077CC"/>
            <w:sz w:val="20"/>
            <w:u w:val="single"/>
            <w:shd w:val="clear" w:color="auto" w:fill="FFFFFF"/>
            <w:lang w:val="en-US" w:eastAsia="en-US" w:bidi="ar-SA"/>
          </w:rPr>
          <w:t>[2001] S.C.C.A. No. 652</w:t>
        </w:r>
      </w:hyperlink>
      <w:r>
        <w:rPr>
          <w:rFonts w:ascii="arial" w:eastAsia="arial" w:hAnsi="arial" w:cs="arial"/>
          <w:color w:val="000000"/>
          <w:sz w:val="20"/>
          <w:lang w:val="en-US" w:eastAsia="en-US" w:bidi="ar-SA"/>
        </w:rPr>
        <w:t xml:space="preserve"> at paras. 160, 163-6.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xml:space="preserve">  Trust claims to property, if proven, have long been acknowledged within the bankruptcy and insolvency context and result in the debtor having no beneficial interest in such property. It has been a fundamental principle of insolvency law that only property owned by the insolvent person can be subject to payment of that person's debts. In the bankruptcy arena, the </w:t>
      </w:r>
      <w:r>
        <w:rPr>
          <w:rFonts w:ascii="arial" w:eastAsia="arial" w:hAnsi="arial" w:cs="arial"/>
          <w:i/>
          <w:color w:val="000000"/>
          <w:sz w:val="20"/>
          <w:lang w:val="en-US" w:eastAsia="en-US" w:bidi="ar-SA"/>
        </w:rPr>
        <w:t>Bankruptcy and Insolvency Act</w:t>
      </w:r>
      <w:r>
        <w:rPr>
          <w:rFonts w:ascii="arial" w:eastAsia="arial" w:hAnsi="arial" w:cs="arial"/>
          <w:color w:val="000000"/>
          <w:sz w:val="20"/>
          <w:lang w:val="en-US" w:eastAsia="en-US" w:bidi="ar-SA"/>
        </w:rPr>
        <w:t xml:space="preserve">, </w:t>
      </w:r>
      <w:hyperlink r:id="rId216" w:history="1">
        <w:r>
          <w:rPr>
            <w:rFonts w:ascii="arial" w:eastAsia="arial" w:hAnsi="arial" w:cs="arial"/>
            <w:i/>
            <w:color w:val="0077CC"/>
            <w:sz w:val="20"/>
            <w:u w:val="single"/>
            <w:shd w:val="clear" w:color="auto" w:fill="FFFFFF"/>
            <w:lang w:val="en-US" w:eastAsia="en-US" w:bidi="ar-SA"/>
          </w:rPr>
          <w:t>R.S.C. 1985, c. B-3</w:t>
        </w:r>
      </w:hyperlink>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BIA</w:t>
      </w:r>
      <w:r>
        <w:rPr>
          <w:rFonts w:ascii="arial" w:eastAsia="arial" w:hAnsi="arial" w:cs="arial"/>
          <w:color w:val="000000"/>
          <w:sz w:val="20"/>
          <w:lang w:val="en-US" w:eastAsia="en-US" w:bidi="ar-SA"/>
        </w:rPr>
        <w:t>") expressly provides that:</w:t>
      </w:r>
      <w:r>
        <w:rPr>
          <w:rFonts w:ascii="arial" w:eastAsia="arial" w:hAnsi="arial" w:cs="arial"/>
          <w:sz w:val="20"/>
          <w:lang w:val="en-US" w:eastAsia="en-US" w:bidi="ar-SA"/>
        </w:rPr>
        <w:cr/>
      </w:r>
    </w:p>
    <w:p>
      <w:pPr>
        <w:numPr>
          <w:numId w:val="45"/>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(1) The property of a bankrupt divisible among his creditors shall not comprise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a</w:t>
      </w:r>
      <w:r>
        <w:rPr>
          <w:rFonts w:ascii="arial" w:eastAsia="arial" w:hAnsi="arial" w:cs="arial"/>
          <w:color w:val="000000"/>
          <w:sz w:val="20"/>
          <w:lang w:val="en-US" w:eastAsia="en-US" w:bidi="ar-SA"/>
        </w:rPr>
        <w:t>) property held by the bankrupt in trust for any other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In addition, the </w:t>
      </w:r>
      <w:r>
        <w:rPr>
          <w:rFonts w:ascii="arial" w:eastAsia="arial" w:hAnsi="arial" w:cs="arial"/>
          <w:i/>
          <w:color w:val="000000"/>
          <w:sz w:val="20"/>
          <w:lang w:val="en-US" w:eastAsia="en-US" w:bidi="ar-SA"/>
        </w:rPr>
        <w:t>BIA</w:t>
      </w:r>
      <w:r>
        <w:rPr>
          <w:rFonts w:ascii="arial" w:eastAsia="arial" w:hAnsi="arial" w:cs="arial"/>
          <w:color w:val="000000"/>
          <w:sz w:val="20"/>
          <w:lang w:val="en-US" w:eastAsia="en-US" w:bidi="ar-SA"/>
        </w:rPr>
        <w:t xml:space="preserve">, s. 81 provides a procedure by which a person might claim from the trustee in bankruptcy any property, or interest therein, in the possession of a bankrupt, such as might be held in trust, at the time of the bankruptcy. See also </w:t>
      </w:r>
      <w:r>
        <w:rPr>
          <w:rFonts w:ascii="arial" w:eastAsia="arial" w:hAnsi="arial" w:cs="arial"/>
          <w:i/>
          <w:color w:val="000000"/>
          <w:sz w:val="20"/>
          <w:lang w:val="en-US" w:eastAsia="en-US" w:bidi="ar-SA"/>
        </w:rPr>
        <w:t>British Columbia v. Henfrey Samson Belair Ltd.</w:t>
      </w:r>
      <w:r>
        <w:rPr>
          <w:rFonts w:ascii="arial" w:eastAsia="arial" w:hAnsi="arial" w:cs="arial"/>
          <w:color w:val="000000"/>
          <w:sz w:val="20"/>
          <w:lang w:val="en-US" w:eastAsia="en-US" w:bidi="ar-SA"/>
        </w:rPr>
        <w:t xml:space="preserve">, </w:t>
      </w:r>
      <w:hyperlink r:id="rId345" w:history="1">
        <w:r>
          <w:rPr>
            <w:rFonts w:ascii="arial" w:eastAsia="arial" w:hAnsi="arial" w:cs="arial"/>
            <w:i/>
            <w:color w:val="0077CC"/>
            <w:sz w:val="20"/>
            <w:u w:val="single"/>
            <w:shd w:val="clear" w:color="auto" w:fill="FFFFFF"/>
            <w:lang w:val="en-US" w:eastAsia="en-US" w:bidi="ar-SA"/>
          </w:rPr>
          <w:t>[1989] 2 S.C.R. 24</w:t>
        </w:r>
      </w:hyperlink>
      <w:r>
        <w:rPr>
          <w:rFonts w:ascii="arial" w:eastAsia="arial" w:hAnsi="arial" w:cs="arial"/>
          <w:color w:val="000000"/>
          <w:sz w:val="20"/>
          <w:lang w:val="en-US" w:eastAsia="en-US" w:bidi="ar-SA"/>
        </w:rPr>
        <w:t xml:space="preserve">, </w:t>
      </w:r>
      <w:hyperlink r:id="rId346" w:history="1">
        <w:r>
          <w:rPr>
            <w:rFonts w:ascii="arial" w:eastAsia="arial" w:hAnsi="arial" w:cs="arial"/>
            <w:i/>
            <w:color w:val="0077CC"/>
            <w:sz w:val="20"/>
            <w:u w:val="single"/>
            <w:shd w:val="clear" w:color="auto" w:fill="FFFFFF"/>
            <w:lang w:val="en-US" w:eastAsia="en-US" w:bidi="ar-SA"/>
          </w:rPr>
          <w:t>[1989] S.C.J. No. 78</w:t>
        </w:r>
      </w:hyperlink>
      <w:r>
        <w:rPr>
          <w:rFonts w:ascii="arial" w:eastAsia="arial" w:hAnsi="arial" w:cs="arial"/>
          <w:color w:val="000000"/>
          <w:sz w:val="20"/>
          <w:lang w:val="en-US" w:eastAsia="en-US" w:bidi="ar-SA"/>
        </w:rPr>
        <w:t xml:space="preserve"> at paras. 11, 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There may, of course, be issues of federal paramountcy in a particular situation, although none arise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The AG made substantial submissions regarding the litigation involving Christian Brothers of Ireland in Canada's winding up proceedings in Ontario (</w:t>
      </w:r>
      <w:r>
        <w:rPr>
          <w:rFonts w:ascii="arial" w:eastAsia="arial" w:hAnsi="arial" w:cs="arial"/>
          <w:i/>
          <w:color w:val="000000"/>
          <w:sz w:val="20"/>
          <w:lang w:val="en-US" w:eastAsia="en-US" w:bidi="ar-SA"/>
        </w:rPr>
        <w:t>Christian Brothers of Ireland in Canada (Re)</w:t>
      </w:r>
      <w:r>
        <w:rPr>
          <w:rFonts w:ascii="arial" w:eastAsia="arial" w:hAnsi="arial" w:cs="arial"/>
          <w:color w:val="000000"/>
          <w:sz w:val="20"/>
          <w:lang w:val="en-US" w:eastAsia="en-US" w:bidi="ar-SA"/>
        </w:rPr>
        <w:t xml:space="preserve"> </w:t>
      </w:r>
      <w:hyperlink r:id="rId347" w:history="1">
        <w:r>
          <w:rPr>
            <w:rFonts w:ascii="arial" w:eastAsia="arial" w:hAnsi="arial" w:cs="arial"/>
            <w:i/>
            <w:color w:val="0077CC"/>
            <w:sz w:val="20"/>
            <w:u w:val="single"/>
            <w:shd w:val="clear" w:color="auto" w:fill="FFFFFF"/>
            <w:lang w:val="en-US" w:eastAsia="en-US" w:bidi="ar-SA"/>
          </w:rPr>
          <w:t>(1998), 37 O.R. (3d) 367</w:t>
        </w:r>
      </w:hyperlink>
      <w:r>
        <w:rPr>
          <w:rFonts w:ascii="arial" w:eastAsia="arial" w:hAnsi="arial" w:cs="arial"/>
          <w:color w:val="000000"/>
          <w:sz w:val="20"/>
          <w:lang w:val="en-US" w:eastAsia="en-US" w:bidi="ar-SA"/>
        </w:rPr>
        <w:t xml:space="preserve">, 1998 CarswellOnt 815 (Gen. Div. per Blair J. as he then was); rev'd </w:t>
      </w:r>
      <w:hyperlink r:id="rId348" w:history="1">
        <w:r>
          <w:rPr>
            <w:rFonts w:ascii="arial" w:eastAsia="arial" w:hAnsi="arial" w:cs="arial"/>
            <w:i/>
            <w:color w:val="0077CC"/>
            <w:sz w:val="20"/>
            <w:u w:val="single"/>
            <w:shd w:val="clear" w:color="auto" w:fill="FFFFFF"/>
            <w:lang w:val="en-US" w:eastAsia="en-US" w:bidi="ar-SA"/>
          </w:rPr>
          <w:t>2000 47 O.R. (3d) 674</w:t>
        </w:r>
      </w:hyperlink>
      <w:r>
        <w:rPr>
          <w:rFonts w:ascii="arial" w:eastAsia="arial" w:hAnsi="arial" w:cs="arial"/>
          <w:color w:val="000000"/>
          <w:sz w:val="20"/>
          <w:lang w:val="en-US" w:eastAsia="en-US" w:bidi="ar-SA"/>
        </w:rPr>
        <w:t xml:space="preserve">, 2000 CarswellOnt 1143 (C.A.), leave to appeal to SCC refused, </w:t>
      </w:r>
      <w:hyperlink r:id="rId349" w:history="1">
        <w:r>
          <w:rPr>
            <w:rFonts w:ascii="arial" w:eastAsia="arial" w:hAnsi="arial" w:cs="arial"/>
            <w:i/>
            <w:color w:val="0077CC"/>
            <w:sz w:val="20"/>
            <w:u w:val="single"/>
            <w:shd w:val="clear" w:color="auto" w:fill="FFFFFF"/>
            <w:lang w:val="en-US" w:eastAsia="en-US" w:bidi="ar-SA"/>
          </w:rPr>
          <w:t>[2000] S.C.C.A. No. 277</w:t>
        </w:r>
      </w:hyperlink>
      <w:r>
        <w:rPr>
          <w:rFonts w:ascii="arial" w:eastAsia="arial" w:hAnsi="arial" w:cs="arial"/>
          <w:color w:val="000000"/>
          <w:sz w:val="20"/>
          <w:lang w:val="en-US" w:eastAsia="en-US" w:bidi="ar-SA"/>
        </w:rPr>
        <w:t>) and the later proceedings in British Columbia to determine ownership of the schools in question (</w:t>
      </w:r>
      <w:r>
        <w:rPr>
          <w:rFonts w:ascii="arial" w:eastAsia="arial" w:hAnsi="arial" w:cs="arial"/>
          <w:i/>
          <w:color w:val="000000"/>
          <w:sz w:val="20"/>
          <w:lang w:val="en-US" w:eastAsia="en-US" w:bidi="ar-SA"/>
        </w:rPr>
        <w:t>Rowland v. Christian Brothers</w:t>
      </w:r>
      <w:r>
        <w:rPr>
          <w:rFonts w:ascii="arial" w:eastAsia="arial" w:hAnsi="arial" w:cs="arial"/>
          <w:color w:val="000000"/>
          <w:sz w:val="20"/>
          <w:lang w:val="en-US" w:eastAsia="en-US" w:bidi="ar-SA"/>
        </w:rPr>
        <w:t xml:space="preserve">, </w:t>
      </w:r>
      <w:hyperlink r:id="rId350" w:history="1">
        <w:r>
          <w:rPr>
            <w:rFonts w:ascii="arial" w:eastAsia="arial" w:hAnsi="arial" w:cs="arial"/>
            <w:i/>
            <w:color w:val="0077CC"/>
            <w:sz w:val="20"/>
            <w:u w:val="single"/>
            <w:shd w:val="clear" w:color="auto" w:fill="FFFFFF"/>
            <w:lang w:val="en-US" w:eastAsia="en-US" w:bidi="ar-SA"/>
          </w:rPr>
          <w:t>2000 BCSC 1221</w:t>
        </w:r>
      </w:hyperlink>
      <w:r>
        <w:rPr>
          <w:rFonts w:ascii="arial" w:eastAsia="arial" w:hAnsi="arial" w:cs="arial"/>
          <w:color w:val="000000"/>
          <w:sz w:val="20"/>
          <w:lang w:val="en-US" w:eastAsia="en-US" w:bidi="ar-SA"/>
        </w:rPr>
        <w:t xml:space="preserve">, aff'd </w:t>
      </w:r>
      <w:hyperlink r:id="rId343" w:history="1">
        <w:r>
          <w:rPr>
            <w:rFonts w:ascii="arial" w:eastAsia="arial" w:hAnsi="arial" w:cs="arial"/>
            <w:i/>
            <w:color w:val="0077CC"/>
            <w:sz w:val="20"/>
            <w:u w:val="single"/>
            <w:shd w:val="clear" w:color="auto" w:fill="FFFFFF"/>
            <w:lang w:val="en-US" w:eastAsia="en-US" w:bidi="ar-SA"/>
          </w:rPr>
          <w:t>2001 BCCA 527</w:t>
        </w:r>
      </w:hyperlink>
      <w:r>
        <w:rPr>
          <w:rFonts w:ascii="arial" w:eastAsia="arial" w:hAnsi="arial" w:cs="arial"/>
          <w:color w:val="000000"/>
          <w:sz w:val="20"/>
          <w:lang w:val="en-US" w:eastAsia="en-US" w:bidi="ar-SA"/>
        </w:rPr>
        <w:t xml:space="preserve">, leave to appeal to SCC refused, </w:t>
      </w:r>
      <w:hyperlink r:id="rId344" w:history="1">
        <w:r>
          <w:rPr>
            <w:rFonts w:ascii="arial" w:eastAsia="arial" w:hAnsi="arial" w:cs="arial"/>
            <w:i/>
            <w:color w:val="0077CC"/>
            <w:sz w:val="20"/>
            <w:u w:val="single"/>
            <w:shd w:val="clear" w:color="auto" w:fill="FFFFFF"/>
            <w:lang w:val="en-US" w:eastAsia="en-US" w:bidi="ar-SA"/>
          </w:rPr>
          <w:t>[2001] S.C.C.A. No. 652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Blair J.'s decision includes a helpful analysis of the intersection between trust and insolvency law and the eligibility of claims against property in the hands of a trustee to meet liabilities of a trustee in carrying out the trust. In the first instance, Blair J. makes clear that property generally received by a charity is held by it beneficially and is available to satisfy claims against the charity: see paras. 79, 87 92. Blair J. also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105 It has long been settled law that property held in trust is not available to the creditors of a bankrupt or insolvent trustee; nor is it exigible to satisfy a personal judgment against the trustee: </w:t>
      </w:r>
      <w:r>
        <w:rPr>
          <w:rFonts w:ascii="arial" w:eastAsia="arial" w:hAnsi="arial" w:cs="arial"/>
          <w:i/>
          <w:color w:val="000000"/>
          <w:sz w:val="20"/>
          <w:lang w:val="en-US" w:eastAsia="en-US" w:bidi="ar-SA"/>
        </w:rPr>
        <w:t>Wilkie v. Jellett</w:t>
      </w:r>
      <w:r>
        <w:rPr>
          <w:rFonts w:ascii="arial" w:eastAsia="arial" w:hAnsi="arial" w:cs="arial"/>
          <w:color w:val="000000"/>
          <w:sz w:val="20"/>
          <w:lang w:val="en-US" w:eastAsia="en-US" w:bidi="ar-SA"/>
        </w:rPr>
        <w:t xml:space="preserve"> </w:t>
      </w:r>
      <w:hyperlink r:id="rId351" w:history="1">
        <w:r>
          <w:rPr>
            <w:rFonts w:ascii="arial" w:eastAsia="arial" w:hAnsi="arial" w:cs="arial"/>
            <w:i/>
            <w:color w:val="0077CC"/>
            <w:sz w:val="20"/>
            <w:u w:val="single"/>
            <w:shd w:val="clear" w:color="auto" w:fill="FFFFFF"/>
            <w:lang w:val="en-US" w:eastAsia="en-US" w:bidi="ar-SA"/>
          </w:rPr>
          <w:t>(1896), 26 S.C.R. 282</w:t>
        </w:r>
      </w:hyperlink>
      <w:r>
        <w:rPr>
          <w:rFonts w:ascii="arial" w:eastAsia="arial" w:hAnsi="arial" w:cs="arial"/>
          <w:color w:val="000000"/>
          <w:sz w:val="20"/>
          <w:lang w:val="en-US" w:eastAsia="en-US" w:bidi="ar-SA"/>
        </w:rPr>
        <w:t xml:space="preserve"> (S.C.C.); </w:t>
      </w:r>
      <w:r>
        <w:rPr>
          <w:rFonts w:ascii="arial" w:eastAsia="arial" w:hAnsi="arial" w:cs="arial"/>
          <w:i/>
          <w:color w:val="000000"/>
          <w:sz w:val="20"/>
          <w:lang w:val="en-US" w:eastAsia="en-US" w:bidi="ar-SA"/>
        </w:rPr>
        <w:t>Kimniak v. Anderson</w:t>
      </w:r>
      <w:r>
        <w:rPr>
          <w:rFonts w:ascii="arial" w:eastAsia="arial" w:hAnsi="arial" w:cs="arial"/>
          <w:color w:val="000000"/>
          <w:sz w:val="20"/>
          <w:lang w:val="en-US" w:eastAsia="en-US" w:bidi="ar-SA"/>
        </w:rPr>
        <w:t xml:space="preserve"> </w:t>
      </w:r>
      <w:hyperlink r:id="rId352" w:history="1">
        <w:r>
          <w:rPr>
            <w:rFonts w:ascii="arial" w:eastAsia="arial" w:hAnsi="arial" w:cs="arial"/>
            <w:i/>
            <w:color w:val="0077CC"/>
            <w:sz w:val="20"/>
            <w:u w:val="single"/>
            <w:shd w:val="clear" w:color="auto" w:fill="FFFFFF"/>
            <w:lang w:val="en-US" w:eastAsia="en-US" w:bidi="ar-SA"/>
          </w:rPr>
          <w:t>(1929), 63 O.L.R. 428</w:t>
        </w:r>
      </w:hyperlink>
      <w:r>
        <w:rPr>
          <w:rFonts w:ascii="arial" w:eastAsia="arial" w:hAnsi="arial" w:cs="arial"/>
          <w:color w:val="000000"/>
          <w:sz w:val="20"/>
          <w:lang w:val="en-US" w:eastAsia="en-US" w:bidi="ar-SA"/>
        </w:rPr>
        <w:t xml:space="preserve"> (Ont. C.A.); </w:t>
      </w:r>
      <w:r>
        <w:rPr>
          <w:rFonts w:ascii="arial" w:eastAsia="arial" w:hAnsi="arial" w:cs="arial"/>
          <w:i/>
          <w:color w:val="000000"/>
          <w:sz w:val="20"/>
          <w:lang w:val="en-US" w:eastAsia="en-US" w:bidi="ar-SA"/>
        </w:rPr>
        <w:t>Bankruptcy and Insolvency Act</w:t>
      </w:r>
      <w:r>
        <w:rPr>
          <w:rFonts w:ascii="arial" w:eastAsia="arial" w:hAnsi="arial" w:cs="arial"/>
          <w:color w:val="000000"/>
          <w:sz w:val="20"/>
          <w:lang w:val="en-US" w:eastAsia="en-US" w:bidi="ar-SA"/>
        </w:rPr>
        <w:t xml:space="preserve">, </w:t>
      </w:r>
      <w:hyperlink r:id="rId326" w:history="1">
        <w:r>
          <w:rPr>
            <w:rFonts w:ascii="arial" w:eastAsia="arial" w:hAnsi="arial" w:cs="arial"/>
            <w:i/>
            <w:color w:val="0077CC"/>
            <w:sz w:val="20"/>
            <w:u w:val="single"/>
            <w:shd w:val="clear" w:color="auto" w:fill="FFFFFF"/>
            <w:lang w:val="en-US" w:eastAsia="en-US" w:bidi="ar-SA"/>
          </w:rPr>
          <w:t>R.S.C. 1985, c. B-3, s. 67</w:t>
        </w:r>
      </w:hyperlink>
      <w:r>
        <w:rPr>
          <w:rFonts w:ascii="arial" w:eastAsia="arial" w:hAnsi="arial" w:cs="arial"/>
          <w:color w:val="000000"/>
          <w:sz w:val="20"/>
          <w:lang w:val="en-US" w:eastAsia="en-US" w:bidi="ar-SA"/>
        </w:rPr>
        <w:t xml:space="preserve">. The theory behind this state of the law rests in the distinction between the trustee's </w:t>
      </w:r>
      <w:r>
        <w:rPr>
          <w:rFonts w:ascii="arial" w:eastAsia="arial" w:hAnsi="arial" w:cs="arial"/>
          <w:i/>
          <w:color w:val="000000"/>
          <w:sz w:val="20"/>
          <w:lang w:val="en-US" w:eastAsia="en-US" w:bidi="ar-SA"/>
        </w:rPr>
        <w:t>legal title</w:t>
      </w:r>
      <w:r>
        <w:rPr>
          <w:rFonts w:ascii="arial" w:eastAsia="arial" w:hAnsi="arial" w:cs="arial"/>
          <w:color w:val="000000"/>
          <w:sz w:val="20"/>
          <w:lang w:val="en-US" w:eastAsia="en-US" w:bidi="ar-SA"/>
        </w:rPr>
        <w:t xml:space="preserve"> to the trust property and the </w:t>
      </w:r>
      <w:r>
        <w:rPr>
          <w:rFonts w:ascii="arial" w:eastAsia="arial" w:hAnsi="arial" w:cs="arial"/>
          <w:i/>
          <w:color w:val="000000"/>
          <w:sz w:val="20"/>
          <w:lang w:val="en-US" w:eastAsia="en-US" w:bidi="ar-SA"/>
        </w:rPr>
        <w:t>beneficial ownership</w:t>
      </w:r>
      <w:r>
        <w:rPr>
          <w:rFonts w:ascii="arial" w:eastAsia="arial" w:hAnsi="arial" w:cs="arial"/>
          <w:color w:val="000000"/>
          <w:sz w:val="20"/>
          <w:lang w:val="en-US" w:eastAsia="en-US" w:bidi="ar-SA"/>
        </w:rPr>
        <w:t xml:space="preserve"> of it, which lies in the beneficiaries, and in the distinction between the trustee's fiduciary role in relation to the trust property and trust objects and the trustee's personal or other affairs. The trustee must not allow its personal or other affairs to interfere with those of the trust, and the beneficiaries are entitled to their interest in the property ahead of the trustee: Waters,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at p. 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Blair J.'s conclusion in the context of a specific charitable purpose trust was that the property was not necessarily protected from claims arising from that purpose: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111 Thus, property held by The Christian Brothers of Ireland in Canada on trust for a specific charitable purpose is not necessarily protected from attachment at the hands of tort claimants asserting claims against the Corporation, simply because of the "trust" nature of such an arrangement. Exigibility of such property depends upon whether the wrong has been perpetrated within the framework of the particular charitable purpose in question, as I have earlier delineated it. </w:t>
      </w:r>
      <w:r>
        <w:rPr>
          <w:rFonts w:ascii="arial" w:eastAsia="arial" w:hAnsi="arial" w:cs="arial"/>
          <w:color w:val="000000"/>
          <w:sz w:val="20"/>
          <w:u w:val="single"/>
          <w:lang w:val="en-US" w:eastAsia="en-US" w:bidi="ar-SA"/>
        </w:rPr>
        <w:t>I do not think that tort claims legitimately asserted against one specific charitable purpose property can be asserted against other specific charitable purpose property that may be held by the same charitable corporation</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xml:space="preserve">  The above highlighted sentence in para. 111 of Blair J.'s judgment was overturned on appeal when the Ontario Court of Appeal found that property held on a charitable purpose trusts is exigible to meet all claims against the trustee. However, despite some language that might suggest the contrary (paras. 89-93), it is arguable that the Ontario Court of Appeal's decision does not support the proposition that a charity may use </w:t>
      </w:r>
      <w:r>
        <w:rPr>
          <w:rFonts w:ascii="arial" w:eastAsia="arial" w:hAnsi="arial" w:cs="arial"/>
          <w:i/>
          <w:color w:val="000000"/>
          <w:sz w:val="20"/>
          <w:lang w:val="en-US" w:eastAsia="en-US" w:bidi="ar-SA"/>
        </w:rPr>
        <w:t>specific</w:t>
      </w:r>
      <w:r>
        <w:rPr>
          <w:rFonts w:ascii="arial" w:eastAsia="arial" w:hAnsi="arial" w:cs="arial"/>
          <w:color w:val="000000"/>
          <w:sz w:val="20"/>
          <w:lang w:val="en-US" w:eastAsia="en-US" w:bidi="ar-SA"/>
        </w:rPr>
        <w:t xml:space="preserve"> charitable purpose property to satisfy its general creditors.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xml:space="preserve">  In any event, in </w:t>
      </w:r>
      <w:r>
        <w:rPr>
          <w:rFonts w:ascii="arial" w:eastAsia="arial" w:hAnsi="arial" w:cs="arial"/>
          <w:i/>
          <w:color w:val="000000"/>
          <w:sz w:val="20"/>
          <w:lang w:val="en-US" w:eastAsia="en-US" w:bidi="ar-SA"/>
        </w:rPr>
        <w:t>Rowland</w:t>
      </w:r>
      <w:r>
        <w:rPr>
          <w:rFonts w:ascii="arial" w:eastAsia="arial" w:hAnsi="arial" w:cs="arial"/>
          <w:color w:val="000000"/>
          <w:sz w:val="20"/>
          <w:lang w:val="en-US" w:eastAsia="en-US" w:bidi="ar-SA"/>
        </w:rPr>
        <w:t xml:space="preserve"> (BCCA), the majority of the court expressly confined itself to the issue of ownership of the shares in the schools, and did not purport to express an opinion on the exigibility issue addressed by the Ontario courts. Braidwood J.A. (dissenting on another point) found that the decision of the Ontario Court of Appeal does not represent the law of British Columbia: para. 171. He adopted the statement of the law as stated by Blair J.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Braidwood J.A. also stated that there would not be any liability in relation to specific "corpuses" where the intention was to establish an asset specifically as opposed to furthering the general charitable objects of the charity: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[172] Property held by a debtor as trustee generally is not exigible to satisfy a judgment against that debtor personally. In the case of </w:t>
      </w:r>
      <w:r>
        <w:rPr>
          <w:rFonts w:ascii="arial" w:eastAsia="arial" w:hAnsi="arial" w:cs="arial"/>
          <w:i/>
          <w:color w:val="000000"/>
          <w:sz w:val="20"/>
          <w:lang w:val="en-US" w:eastAsia="en-US" w:bidi="ar-SA"/>
        </w:rPr>
        <w:t>Jellet v. Wilkie</w:t>
      </w:r>
      <w:r>
        <w:rPr>
          <w:rFonts w:ascii="arial" w:eastAsia="arial" w:hAnsi="arial" w:cs="arial"/>
          <w:color w:val="000000"/>
          <w:sz w:val="20"/>
          <w:lang w:val="en-US" w:eastAsia="en-US" w:bidi="ar-SA"/>
        </w:rPr>
        <w:t xml:space="preserve"> </w:t>
      </w:r>
      <w:hyperlink r:id="rId351" w:history="1">
        <w:r>
          <w:rPr>
            <w:rFonts w:ascii="arial" w:eastAsia="arial" w:hAnsi="arial" w:cs="arial"/>
            <w:i/>
            <w:color w:val="0077CC"/>
            <w:sz w:val="20"/>
            <w:u w:val="single"/>
            <w:shd w:val="clear" w:color="auto" w:fill="FFFFFF"/>
            <w:lang w:val="en-US" w:eastAsia="en-US" w:bidi="ar-SA"/>
          </w:rPr>
          <w:t>(1896), 26 S.C.R. 282</w:t>
        </w:r>
      </w:hyperlink>
      <w:r>
        <w:rPr>
          <w:rFonts w:ascii="arial" w:eastAsia="arial" w:hAnsi="arial" w:cs="arial"/>
          <w:color w:val="000000"/>
          <w:sz w:val="20"/>
          <w:lang w:val="en-US" w:eastAsia="en-US" w:bidi="ar-SA"/>
        </w:rPr>
        <w:t>, 288, Strong C.J. said: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No proposition of law can be more amply supported by authority than that which the respondents invoke as the basis of the judgment under appeal, namely, that an execution creditor can only sell the property of his debtor subject to all such charges, liens, and equities as the same were subject to in the hands of his debtor.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(See also the </w:t>
      </w:r>
      <w:r>
        <w:rPr>
          <w:rFonts w:ascii="arial" w:eastAsia="arial" w:hAnsi="arial" w:cs="arial"/>
          <w:i/>
          <w:color w:val="000000"/>
          <w:sz w:val="20"/>
          <w:lang w:val="en-US" w:eastAsia="en-US" w:bidi="ar-SA"/>
        </w:rPr>
        <w:t>Bankruptcy and Insolvency Act</w:t>
      </w:r>
      <w:r>
        <w:rPr>
          <w:rFonts w:ascii="arial" w:eastAsia="arial" w:hAnsi="arial" w:cs="arial"/>
          <w:color w:val="000000"/>
          <w:sz w:val="20"/>
          <w:lang w:val="en-US" w:eastAsia="en-US" w:bidi="ar-SA"/>
        </w:rPr>
        <w:t xml:space="preserve">, </w:t>
      </w:r>
      <w:hyperlink r:id="rId326" w:history="1">
        <w:r>
          <w:rPr>
            <w:rFonts w:ascii="arial" w:eastAsia="arial" w:hAnsi="arial" w:cs="arial"/>
            <w:i/>
            <w:color w:val="0077CC"/>
            <w:sz w:val="20"/>
            <w:u w:val="single"/>
            <w:shd w:val="clear" w:color="auto" w:fill="FFFFFF"/>
            <w:lang w:val="en-US" w:eastAsia="en-US" w:bidi="ar-SA"/>
          </w:rPr>
          <w:t>R.S.C. 1985, c. B-3, s. 67</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[173] This principle applies equally to charitable corporations as noted in </w:t>
      </w:r>
      <w:r>
        <w:rPr>
          <w:rFonts w:ascii="arial" w:eastAsia="arial" w:hAnsi="arial" w:cs="arial"/>
          <w:i/>
          <w:color w:val="000000"/>
          <w:sz w:val="20"/>
          <w:lang w:val="en-US" w:eastAsia="en-US" w:bidi="ar-SA"/>
        </w:rPr>
        <w:t>Liverpool and District Hospital for Diseases of the Heart</w:t>
      </w:r>
      <w:r>
        <w:rPr>
          <w:rFonts w:ascii="arial" w:eastAsia="arial" w:hAnsi="arial" w:cs="arial"/>
          <w:color w:val="000000"/>
          <w:sz w:val="20"/>
          <w:lang w:val="en-US" w:eastAsia="en-US" w:bidi="ar-SA"/>
        </w:rPr>
        <w:t xml:space="preserve"> v</w:t>
      </w:r>
      <w:r>
        <w:rPr>
          <w:rFonts w:ascii="arial" w:eastAsia="arial" w:hAnsi="arial" w:cs="arial"/>
          <w:i/>
          <w:color w:val="000000"/>
          <w:sz w:val="20"/>
          <w:lang w:val="en-US" w:eastAsia="en-US" w:bidi="ar-SA"/>
        </w:rPr>
        <w:t>. Attorney General</w:t>
      </w:r>
      <w:r>
        <w:rPr>
          <w:rFonts w:ascii="arial" w:eastAsia="arial" w:hAnsi="arial" w:cs="arial"/>
          <w:color w:val="000000"/>
          <w:sz w:val="20"/>
          <w:lang w:val="en-US" w:eastAsia="en-US" w:bidi="ar-SA"/>
        </w:rPr>
        <w:t>, [1981] 1 All E.R. 994 at 1003:</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Though section 265 does not define the "surplus" there referred to and section 302 does not define "the property of a company" there referred to, the two phrases in their context can, in my judgment, include only those items of property which under the general law are available for the discharge of a company's liabilities. Thus they will include assets of which the company is beneficial owner, even though the legal title may be vested in other trustees. They will not, however, comprise assets of which the company at the date of its liquidation was merely a trustee (in the strict sense) for third parties or for charitable purposes, even though the legal title may have vested in it. This much, I think, is clear.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[174] In my opinion, the Ontario Court of Appeal erred by not acknowledging the traditional approach. By rejecting the traditional analysis, the Ontario Court of Appeal arrived at the conclusion that all of a charitable corporation's assets are exigible whether owned by the corporation beneficially or held on one or more trusts, and whether the two or more trusts are at all connected with one another.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[175] With the greatest of deference, I agree in general terms with the analysis of Madam Justice Feldman concerning the proposition that there is no immunity to prevent a creditor from being reimbursed from the assets of a trust.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[176] However, I disagree with extending this logic such that the following part of the decision of the Honourable Mr. Justice Blair [at para. 111] is not an accurate reflection of the law of British Columbia: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[177] It is my opinion that the assets of a charitable purpose trust would be exigible where the wrong had been perpetrated within the framework of the particular charitable purpose in question. </w:t>
      </w:r>
      <w:r>
        <w:rPr>
          <w:rFonts w:ascii="arial" w:eastAsia="arial" w:hAnsi="arial" w:cs="arial"/>
          <w:color w:val="000000"/>
          <w:sz w:val="20"/>
          <w:u w:val="single"/>
          <w:lang w:val="en-US" w:eastAsia="en-US" w:bidi="ar-SA"/>
        </w:rPr>
        <w:t>Assets would not be subject to attachment, however, where there are two separate corpuses which chance to be held by the same trustee corporation</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[178] In the case at bar, there are </w:t>
      </w:r>
      <w:r>
        <w:rPr>
          <w:rFonts w:ascii="arial" w:eastAsia="arial" w:hAnsi="arial" w:cs="arial"/>
          <w:color w:val="000000"/>
          <w:sz w:val="20"/>
          <w:u w:val="single"/>
          <w:lang w:val="en-US" w:eastAsia="en-US" w:bidi="ar-SA"/>
        </w:rPr>
        <w:t>two distinct corpuses</w:t>
      </w:r>
      <w:r>
        <w:rPr>
          <w:rFonts w:ascii="arial" w:eastAsia="arial" w:hAnsi="arial" w:cs="arial"/>
          <w:color w:val="000000"/>
          <w:sz w:val="20"/>
          <w:lang w:val="en-US" w:eastAsia="en-US" w:bidi="ar-SA"/>
        </w:rPr>
        <w:t xml:space="preserve"> as that concept has been laid out by Madam Justice Feldman. That two distinct corpuses exist is confirmed by the findings of fact made at trial.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[179] I am of the opinion, with the greatest of respect, that the Court of Appeal judgment erroneously applied the concept that there is no charitable immunity. The Court of Appeal overlooked that there were two separate corpuses in the case at bar.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[180] I put forth the following circumstances in order to highlight the issue. Let us assume that John Smith, a successful dealer in real estate, is asked by his relative, Mary Jones, if he would act as trustee and hold an apartment block that she owns in trust for the charitable purpose of assisting a certain Protestant school in perpetuity with John Smith being given power to appoint a successor of trustees with the power to pass on the trust. Let us also assume that somewhat later Michael Jones, seeing the success of the administration by John Smith, likewise conveys a building to him in trust but this time to aid a Jewish orphanage.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[181] Clearly, the building conveyed by Mary would be available to any claims associated directly with that charitable trust. However, that does not for a moment mean that the building conveyed by Michael would also be available to satisfy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administration of the trust originally conveyed by Mary. I can see no valid distinction if Michael Jones had incorporated a corporation for these purposes.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[182] Again, I am of the opinion that the law of British Columbia is that as set forth by Blair J. in the Ontario case. Blair J. acknowledged that as a general rule trust assets are not exigible for claims against the trustees but nevertheless recognised an exception where the wrong is embedded in the further instance of the charitable purpose. </w:t>
      </w:r>
      <w:r>
        <w:rPr>
          <w:rFonts w:ascii="arial" w:eastAsia="arial" w:hAnsi="arial" w:cs="arial"/>
          <w:color w:val="000000"/>
          <w:sz w:val="20"/>
          <w:u w:val="single"/>
          <w:lang w:val="en-US" w:eastAsia="en-US" w:bidi="ar-SA"/>
        </w:rPr>
        <w:t>Blair J.'s judgment simultaneously rejects the concept of absolute charitable immunity and leaves space for scenarios such as the one with which we are currently occupied, where there are two distinct corpuses</w:t>
      </w:r>
      <w:r>
        <w:rPr>
          <w:rFonts w:ascii="arial" w:eastAsia="arial" w:hAnsi="arial" w:cs="arial"/>
          <w:color w:val="000000"/>
          <w:sz w:val="20"/>
          <w:lang w:val="en-US" w:eastAsia="en-US" w:bidi="ar-SA"/>
        </w:rPr>
        <w:t>. In this, Blair J. struck an appropriate policy balance between the need to respect the terms of the trust and the appropriateness of compensating victims whose injuries have arisen out of the further instance of the objects of the trust.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It is agreed that TLC is a charity and that it administers various properties for its general purposes. In the absence of the creation of a specific purpose charitable trust, it owns those properties beneficially and may use those properties for those general purposes. TLC acknowledges that if a specific purpose charitable trust is established, then it would not hold beneficial title. TLC argues, however, that no specific purpose charitable trust was imposed by BHPS in relation to the Binning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Accordingly, following the above authorities, I will proceed on the basis that it is necessary to determine whether TLC has a beneficial interest in the Binning House or if the Binning House is held as specific charitable purpose trust property. If the latter, the Binning House would not be exigible to satisfy TLC's debts, save and except if TLC had committed a tort in its use of Binning House in which case the property would be exigible to meet those claims. By the same token, TLC would be prevented from liquidating the Binning House for any other purposes, including using the proceeds in support of its restructuring efforts.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xml:space="preserve">  In any event, the </w:t>
      </w:r>
      <w:r>
        <w:rPr>
          <w:rFonts w:ascii="arial" w:eastAsia="arial" w:hAnsi="arial" w:cs="arial"/>
          <w:i/>
          <w:color w:val="000000"/>
          <w:sz w:val="20"/>
          <w:lang w:val="en-US" w:eastAsia="en-US" w:bidi="ar-SA"/>
        </w:rPr>
        <w:t>CPPA</w:t>
      </w:r>
      <w:r>
        <w:rPr>
          <w:rFonts w:ascii="arial" w:eastAsia="arial" w:hAnsi="arial" w:cs="arial"/>
          <w:color w:val="000000"/>
          <w:sz w:val="20"/>
          <w:lang w:val="en-US" w:eastAsia="en-US" w:bidi="ar-SA"/>
        </w:rPr>
        <w:t xml:space="preserve">, and in particular, s. 2(3) and (4), as the legislative response to the </w:t>
      </w:r>
      <w:r>
        <w:rPr>
          <w:rFonts w:ascii="arial" w:eastAsia="arial" w:hAnsi="arial" w:cs="arial"/>
          <w:i/>
          <w:color w:val="000000"/>
          <w:sz w:val="20"/>
          <w:lang w:val="en-US" w:eastAsia="en-US" w:bidi="ar-SA"/>
        </w:rPr>
        <w:t>Christian Brothers/Rowland</w:t>
      </w:r>
      <w:r>
        <w:rPr>
          <w:rFonts w:ascii="arial" w:eastAsia="arial" w:hAnsi="arial" w:cs="arial"/>
          <w:color w:val="000000"/>
          <w:sz w:val="20"/>
          <w:lang w:val="en-US" w:eastAsia="en-US" w:bidi="ar-SA"/>
        </w:rPr>
        <w:t xml:space="preserve"> litigation, makes clear that a charity holding "discrete purpose charitable property" has no beneficial interest in that property and that the property is not exigible to satisfy claims of a charity's general creditors: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 (3) A charity holding discrete purpose charitable property has no beneficial interest in that property.</w:t>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Without limiting subsection (3), discrete purpose charitable property held by a charity may not be seized or attached under any process at law or in equity with the object of satisfying a debt or liability of the charity, including, without limitation, a judgment against the charity, except to the extent that the debt or liability is incurred by the charity in advancing, or in attempting or purporting to advance, the discrete purpose for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Before dealing with the specific trust issues, the stakeholders have largely agreed on the applicable common law regarding trusts, charitable trusts and specific charitable trusts, as follows:</w:t>
      </w:r>
      <w:r>
        <w:rPr>
          <w:rFonts w:ascii="arial" w:eastAsia="arial" w:hAnsi="arial" w:cs="arial"/>
          <w:sz w:val="20"/>
          <w:lang w:val="en-US" w:eastAsia="en-US" w:bidi="ar-SA"/>
        </w:rPr>
        <w:cr/>
      </w:r>
    </w:p>
    <w:p>
      <w:pPr>
        <w:numPr>
          <w:numId w:val="4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trust has two essential features: (a) it reflects a fiduciary relationship between trustee and beneficiary in relation to property and (b) it involves dual ownership of property by the trustee and beneficiary, with the trustee having no beneficial ownership. As a result of the latter, the trust property is not available to the creditors of the trustee: </w:t>
      </w:r>
      <w:r>
        <w:rPr>
          <w:rFonts w:ascii="arial" w:eastAsia="arial" w:hAnsi="arial" w:cs="arial"/>
          <w:i/>
          <w:color w:val="000000"/>
          <w:sz w:val="20"/>
          <w:lang w:val="en-US" w:eastAsia="en-US" w:bidi="ar-SA"/>
        </w:rPr>
        <w:t>Waters</w:t>
      </w:r>
      <w:r>
        <w:rPr>
          <w:rFonts w:ascii="arial" w:eastAsia="arial" w:hAnsi="arial" w:cs="arial"/>
          <w:color w:val="000000"/>
          <w:sz w:val="20"/>
          <w:lang w:val="en-US" w:eastAsia="en-US" w:bidi="ar-SA"/>
        </w:rPr>
        <w:t xml:space="preserve"> at 13;</w:t>
      </w:r>
    </w:p>
    <w:p>
      <w:pPr>
        <w:numPr>
          <w:numId w:val="4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trust must provide evidence of three essential characteristics otherwise known as the "three certainties": certainty of intention; certainty of subject matter or trust property; and certainty of objects: </w:t>
      </w:r>
      <w:r>
        <w:rPr>
          <w:rFonts w:ascii="arial" w:eastAsia="arial" w:hAnsi="arial" w:cs="arial"/>
          <w:i/>
          <w:color w:val="000000"/>
          <w:sz w:val="20"/>
          <w:lang w:val="en-US" w:eastAsia="en-US" w:bidi="ar-SA"/>
        </w:rPr>
        <w:t>Waters</w:t>
      </w:r>
      <w:r>
        <w:rPr>
          <w:rFonts w:ascii="arial" w:eastAsia="arial" w:hAnsi="arial" w:cs="arial"/>
          <w:color w:val="000000"/>
          <w:sz w:val="20"/>
          <w:lang w:val="en-US" w:eastAsia="en-US" w:bidi="ar-SA"/>
        </w:rPr>
        <w:t xml:space="preserve"> at 132;</w:t>
      </w:r>
    </w:p>
    <w:p>
      <w:pPr>
        <w:numPr>
          <w:numId w:val="49"/>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Certainty of subject matter is not in dispute in this case given the characteristics and discrete nature of the Binning House; in particular this is sufficient to satisfy the </w:t>
      </w:r>
      <w:r>
        <w:rPr>
          <w:rFonts w:ascii="arial" w:eastAsia="arial" w:hAnsi="arial" w:cs="arial"/>
          <w:i/>
          <w:color w:val="000000"/>
          <w:sz w:val="20"/>
          <w:lang w:val="en-US" w:eastAsia="en-US" w:bidi="ar-SA"/>
        </w:rPr>
        <w:t>CPPA</w:t>
      </w:r>
      <w:r>
        <w:rPr>
          <w:rFonts w:ascii="arial" w:eastAsia="arial" w:hAnsi="arial" w:cs="arial"/>
          <w:color w:val="000000"/>
          <w:sz w:val="20"/>
          <w:lang w:val="en-US" w:eastAsia="en-US" w:bidi="ar-SA"/>
        </w:rPr>
        <w:t>, s. 2(1)(b) towards determining it to be a "discrete purpose charitable property". However, certainty of intention and certainty of objects are in issue;</w:t>
      </w:r>
    </w:p>
    <w:p>
      <w:pPr>
        <w:numPr>
          <w:numId w:val="50"/>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With respect to certainty of intention, the language of the alleged settlor must be imperative, rather than precatory (indicating a wish or imposing a moral obligation, for example). There is no need for specific words to establish the intention. While one will usually see the words "in trust" or "as trustee for", they are not absolutely required. However, the words used must show that the transferee is to take on trust; if the intention is simply to make a gift by way of a handing over the property, no trust can be established: </w:t>
      </w:r>
      <w:r>
        <w:rPr>
          <w:rFonts w:ascii="arial" w:eastAsia="arial" w:hAnsi="arial" w:cs="arial"/>
          <w:i/>
          <w:color w:val="000000"/>
          <w:sz w:val="20"/>
          <w:lang w:val="en-US" w:eastAsia="en-US" w:bidi="ar-SA"/>
        </w:rPr>
        <w:t>Waters</w:t>
      </w:r>
      <w:r>
        <w:rPr>
          <w:rFonts w:ascii="arial" w:eastAsia="arial" w:hAnsi="arial" w:cs="arial"/>
          <w:color w:val="000000"/>
          <w:sz w:val="20"/>
          <w:lang w:val="en-US" w:eastAsia="en-US" w:bidi="ar-SA"/>
        </w:rPr>
        <w:t xml:space="preserve"> at 132-35; </w:t>
      </w:r>
      <w:r>
        <w:rPr>
          <w:rFonts w:ascii="arial" w:eastAsia="arial" w:hAnsi="arial" w:cs="arial"/>
          <w:i/>
          <w:color w:val="000000"/>
          <w:sz w:val="20"/>
          <w:lang w:val="en-US" w:eastAsia="en-US" w:bidi="ar-SA"/>
        </w:rPr>
        <w:t>Canada Trust Co. v. Roman Catholic Archiepiscopal Corp. of Winnipeg</w:t>
      </w:r>
      <w:r>
        <w:rPr>
          <w:rFonts w:ascii="arial" w:eastAsia="arial" w:hAnsi="arial" w:cs="arial"/>
          <w:color w:val="000000"/>
          <w:sz w:val="20"/>
          <w:lang w:val="en-US" w:eastAsia="en-US" w:bidi="ar-SA"/>
        </w:rPr>
        <w:t xml:space="preserve"> (1957), 26 W.W.R. 69 (B.C.C.A.);</w:t>
      </w:r>
    </w:p>
    <w:p>
      <w:pPr>
        <w:numPr>
          <w:numId w:val="51"/>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Certainty of objects is satisfied in the context of charitable bequests or gifts if the trust is for a "charitable purpose", such that a "charitable purpose trust" comes into existence: </w:t>
      </w:r>
      <w:r>
        <w:rPr>
          <w:rFonts w:ascii="arial" w:eastAsia="arial" w:hAnsi="arial" w:cs="arial"/>
          <w:i/>
          <w:color w:val="000000"/>
          <w:sz w:val="20"/>
          <w:lang w:val="en-US" w:eastAsia="en-US" w:bidi="ar-SA"/>
        </w:rPr>
        <w:t>Rowland</w:t>
      </w:r>
      <w:r>
        <w:rPr>
          <w:rFonts w:ascii="arial" w:eastAsia="arial" w:hAnsi="arial" w:cs="arial"/>
          <w:color w:val="000000"/>
          <w:sz w:val="20"/>
          <w:lang w:val="en-US" w:eastAsia="en-US" w:bidi="ar-SA"/>
        </w:rPr>
        <w:t xml:space="preserve"> (BCSC) at paras. 68-73; </w:t>
      </w:r>
      <w:r>
        <w:rPr>
          <w:rFonts w:ascii="arial" w:eastAsia="arial" w:hAnsi="arial" w:cs="arial"/>
          <w:i/>
          <w:color w:val="000000"/>
          <w:sz w:val="20"/>
          <w:lang w:val="en-US" w:eastAsia="en-US" w:bidi="ar-SA"/>
        </w:rPr>
        <w:t>Rowland</w:t>
      </w:r>
      <w:r>
        <w:rPr>
          <w:rFonts w:ascii="arial" w:eastAsia="arial" w:hAnsi="arial" w:cs="arial"/>
          <w:color w:val="000000"/>
          <w:sz w:val="20"/>
          <w:lang w:val="en-US" w:eastAsia="en-US" w:bidi="ar-SA"/>
        </w:rPr>
        <w:t xml:space="preserve"> (BCCA) at paras. 54-55. In that event, the property is held for use only for the charitable purposes: </w:t>
      </w:r>
      <w:r>
        <w:rPr>
          <w:rFonts w:ascii="arial" w:eastAsia="arial" w:hAnsi="arial" w:cs="arial"/>
          <w:i/>
          <w:color w:val="000000"/>
          <w:sz w:val="20"/>
          <w:lang w:val="en-US" w:eastAsia="en-US" w:bidi="ar-SA"/>
        </w:rPr>
        <w:t>Rowland</w:t>
      </w:r>
      <w:r>
        <w:rPr>
          <w:rFonts w:ascii="arial" w:eastAsia="arial" w:hAnsi="arial" w:cs="arial"/>
          <w:color w:val="000000"/>
          <w:sz w:val="20"/>
          <w:lang w:val="en-US" w:eastAsia="en-US" w:bidi="ar-SA"/>
        </w:rPr>
        <w:t xml:space="preserve"> (BCSC) at paras. 118-19. A trust for purposes is void unless the purpose is charitable: </w:t>
      </w:r>
      <w:r>
        <w:rPr>
          <w:rFonts w:ascii="arial" w:eastAsia="arial" w:hAnsi="arial" w:cs="arial"/>
          <w:i/>
          <w:color w:val="000000"/>
          <w:sz w:val="20"/>
          <w:lang w:val="en-US" w:eastAsia="en-US" w:bidi="ar-SA"/>
        </w:rPr>
        <w:t>Waters</w:t>
      </w:r>
      <w:r>
        <w:rPr>
          <w:rFonts w:ascii="arial" w:eastAsia="arial" w:hAnsi="arial" w:cs="arial"/>
          <w:color w:val="000000"/>
          <w:sz w:val="20"/>
          <w:lang w:val="en-US" w:eastAsia="en-US" w:bidi="ar-SA"/>
        </w:rPr>
        <w:t xml:space="preserve"> at 163, 625;</w:t>
      </w:r>
    </w:p>
    <w:p>
      <w:pPr>
        <w:numPr>
          <w:numId w:val="5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a matter of construction whether a bequest or gift in trust for a charitable purpose is for the general purposes of the charity or for a specific or restricted purpose, so as to be a "specific charitable purpose trust": </w:t>
      </w:r>
      <w:r>
        <w:rPr>
          <w:rFonts w:ascii="arial" w:eastAsia="arial" w:hAnsi="arial" w:cs="arial"/>
          <w:i/>
          <w:color w:val="000000"/>
          <w:sz w:val="20"/>
          <w:lang w:val="en-US" w:eastAsia="en-US" w:bidi="ar-SA"/>
        </w:rPr>
        <w:t>Rowland</w:t>
      </w:r>
      <w:r>
        <w:rPr>
          <w:rFonts w:ascii="arial" w:eastAsia="arial" w:hAnsi="arial" w:cs="arial"/>
          <w:color w:val="000000"/>
          <w:sz w:val="20"/>
          <w:lang w:val="en-US" w:eastAsia="en-US" w:bidi="ar-SA"/>
        </w:rPr>
        <w:t xml:space="preserve"> (BCSC) at para. 74;</w:t>
      </w:r>
    </w:p>
    <w:p>
      <w:pPr>
        <w:numPr>
          <w:numId w:val="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although the court will generally lean in favour of a charitable trust, no such approach in favour of finding a specific charitable purpose trust for the Binning House is justified here since TLC's general purposes are also charitable: </w:t>
      </w:r>
      <w:r>
        <w:rPr>
          <w:rFonts w:ascii="arial" w:eastAsia="arial" w:hAnsi="arial" w:cs="arial"/>
          <w:i/>
          <w:color w:val="000000"/>
          <w:sz w:val="20"/>
          <w:lang w:val="en-US" w:eastAsia="en-US" w:bidi="ar-SA"/>
        </w:rPr>
        <w:t>Tudor</w:t>
      </w:r>
      <w:r>
        <w:rPr>
          <w:rFonts w:ascii="arial" w:eastAsia="arial" w:hAnsi="arial" w:cs="arial"/>
          <w:color w:val="000000"/>
          <w:sz w:val="20"/>
          <w:lang w:val="en-US" w:eastAsia="en-US" w:bidi="ar-SA"/>
        </w:rPr>
        <w:t xml:space="preserve"> at 188; and</w:t>
      </w:r>
    </w:p>
    <w:p>
      <w:pPr>
        <w:numPr>
          <w:numId w:val="5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onus of proof as to the existence of a valid trust lies on the person asserting it: </w:t>
      </w:r>
      <w:r>
        <w:rPr>
          <w:rFonts w:ascii="arial" w:eastAsia="arial" w:hAnsi="arial" w:cs="arial"/>
          <w:i/>
          <w:color w:val="000000"/>
          <w:sz w:val="20"/>
          <w:lang w:val="en-US" w:eastAsia="en-US" w:bidi="ar-SA"/>
        </w:rPr>
        <w:t>Carevest Capital Inc. v. 1262459 Alberta Ltd.</w:t>
      </w:r>
      <w:r>
        <w:rPr>
          <w:rFonts w:ascii="arial" w:eastAsia="arial" w:hAnsi="arial" w:cs="arial"/>
          <w:color w:val="000000"/>
          <w:sz w:val="20"/>
          <w:lang w:val="en-US" w:eastAsia="en-US" w:bidi="ar-SA"/>
        </w:rPr>
        <w:t xml:space="preserve">, </w:t>
      </w:r>
      <w:hyperlink r:id="rId353" w:history="1">
        <w:r>
          <w:rPr>
            <w:rFonts w:ascii="arial" w:eastAsia="arial" w:hAnsi="arial" w:cs="arial"/>
            <w:i/>
            <w:color w:val="0077CC"/>
            <w:sz w:val="20"/>
            <w:u w:val="single"/>
            <w:shd w:val="clear" w:color="auto" w:fill="FFFFFF"/>
            <w:lang w:val="en-US" w:eastAsia="en-US" w:bidi="ar-SA"/>
          </w:rPr>
          <w:t>2011 ABQB 148</w:t>
        </w:r>
      </w:hyperlink>
      <w:r>
        <w:rPr>
          <w:rFonts w:ascii="arial" w:eastAsia="arial" w:hAnsi="arial" w:cs="arial"/>
          <w:color w:val="000000"/>
          <w:sz w:val="20"/>
          <w:lang w:val="en-US" w:eastAsia="en-US" w:bidi="ar-SA"/>
        </w:rPr>
        <w:t xml:space="preserve"> at para. 21, rev'd on other grounds </w:t>
      </w:r>
      <w:hyperlink r:id="rId354" w:history="1">
        <w:r>
          <w:rPr>
            <w:rFonts w:ascii="arial" w:eastAsia="arial" w:hAnsi="arial" w:cs="arial"/>
            <w:i/>
            <w:color w:val="0077CC"/>
            <w:sz w:val="20"/>
            <w:u w:val="single"/>
            <w:shd w:val="clear" w:color="auto" w:fill="FFFFFF"/>
            <w:lang w:val="en-US" w:eastAsia="en-US" w:bidi="ar-SA"/>
          </w:rPr>
          <w:t>2012 ABCA 161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xml:space="preserve">  I will now turn to the specific issues and in that regard will address the specific statutory provisions in the </w:t>
      </w:r>
      <w:r>
        <w:rPr>
          <w:rFonts w:ascii="arial" w:eastAsia="arial" w:hAnsi="arial" w:cs="arial"/>
          <w:i/>
          <w:color w:val="000000"/>
          <w:sz w:val="20"/>
          <w:lang w:val="en-US" w:eastAsia="en-US" w:bidi="ar-SA"/>
        </w:rPr>
        <w:t>CPPA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2477"/>
        <w:gridCol w:w="238"/>
        <w:gridCol w:w="6090"/>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18"/>
                <w:lang w:val="en-US" w:eastAsia="en-US" w:bidi="ar-SA"/>
              </w:rPr>
              <w:t>(C)</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18"/>
                <w:lang w:val="en-US" w:eastAsia="en-US" w:bidi="ar-SA"/>
              </w:rPr>
              <w:t>Was There Certainty Of Intention?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It is common ground that in common law, the donor's intention must be that the property is kept and administered separately from any other property, and that it is to be used exclusively to advance the specified charitable purpose rather than assist or support the charity generally in advancing its goals, purposes or objects.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xml:space="preserve">  This is also consistent with the </w:t>
      </w:r>
      <w:r>
        <w:rPr>
          <w:rFonts w:ascii="arial" w:eastAsia="arial" w:hAnsi="arial" w:cs="arial"/>
          <w:i/>
          <w:color w:val="000000"/>
          <w:sz w:val="20"/>
          <w:lang w:val="en-US" w:eastAsia="en-US" w:bidi="ar-SA"/>
        </w:rPr>
        <w:t>CPPA</w:t>
      </w:r>
      <w:r>
        <w:rPr>
          <w:rFonts w:ascii="arial" w:eastAsia="arial" w:hAnsi="arial" w:cs="arial"/>
          <w:color w:val="000000"/>
          <w:sz w:val="20"/>
          <w:lang w:val="en-US" w:eastAsia="en-US" w:bidi="ar-SA"/>
        </w:rPr>
        <w:t>, s. 2(1)(c) in meeting the requirements of "discrete purpose charitable property":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Discrete purpose charitable property</w:t>
      </w:r>
    </w:p>
    <w:p>
      <w:pPr>
        <w:numPr>
          <w:numId w:val="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w:t>
      </w:r>
    </w:p>
    <w:p>
      <w:pPr>
        <w:numPr>
          <w:numId w:val="5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donor gives property to a charity for a specified charitable purpose, whether or not the property is stated to be given in trust,</w:t>
      </w:r>
    </w:p>
    <w:p>
      <w:pPr>
        <w:numPr>
          <w:numId w:val="5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donor has, either expressly or through some formula or method, identified with certainty what property is being given to the charity for that purpose, and</w:t>
      </w:r>
    </w:p>
    <w:p>
      <w:pPr>
        <w:numPr>
          <w:numId w:val="5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donor's intention in giving the property to the charity is expressly stated to be, or is, by necessary implication, that</w:t>
      </w:r>
    </w:p>
    <w:p>
      <w:pPr>
        <w:numPr>
          <w:numId w:val="5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property is to be kept and administered by the charity separately from any other property, and</w:t>
      </w:r>
    </w:p>
    <w:p>
      <w:pPr>
        <w:numPr>
          <w:numId w:val="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property is to be used exclusively to advance the specified charitable purpose rather than to assist or support the charity generally or to assist or support the charity in advancing any of its goals, purposes or objects,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property is </w:t>
      </w:r>
      <w:r>
        <w:rPr>
          <w:rFonts w:ascii="arial" w:eastAsia="arial" w:hAnsi="arial" w:cs="arial"/>
          <w:color w:val="000000"/>
          <w:sz w:val="20"/>
          <w:u w:val="single"/>
          <w:lang w:val="en-US" w:eastAsia="en-US" w:bidi="ar-SA"/>
        </w:rPr>
        <w:t>discrete purpose charitable property</w:t>
      </w:r>
      <w:r>
        <w:rPr>
          <w:rFonts w:ascii="arial" w:eastAsia="arial" w:hAnsi="arial" w:cs="arial"/>
          <w:color w:val="000000"/>
          <w:sz w:val="20"/>
          <w:lang w:val="en-US" w:eastAsia="en-US" w:bidi="ar-SA"/>
        </w:rPr>
        <w:t xml:space="preserve"> if and for so long as that property is kept, administered and used in accordance with the intention referred to in paragraph (c).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Save Our Waterfront Parks Society v. Vancouver (City)</w:t>
      </w:r>
      <w:r>
        <w:rPr>
          <w:rFonts w:ascii="arial" w:eastAsia="arial" w:hAnsi="arial" w:cs="arial"/>
          <w:color w:val="000000"/>
          <w:sz w:val="20"/>
          <w:lang w:val="en-US" w:eastAsia="en-US" w:bidi="ar-SA"/>
        </w:rPr>
        <w:t xml:space="preserve">, </w:t>
      </w:r>
      <w:hyperlink r:id="rId355" w:history="1">
        <w:r>
          <w:rPr>
            <w:rFonts w:ascii="arial" w:eastAsia="arial" w:hAnsi="arial" w:cs="arial"/>
            <w:i/>
            <w:color w:val="0077CC"/>
            <w:sz w:val="20"/>
            <w:u w:val="single"/>
            <w:shd w:val="clear" w:color="auto" w:fill="FFFFFF"/>
            <w:lang w:val="en-US" w:eastAsia="en-US" w:bidi="ar-SA"/>
          </w:rPr>
          <w:t>2004 BCSC 430</w:t>
        </w:r>
      </w:hyperlink>
      <w:r>
        <w:rPr>
          <w:rFonts w:ascii="arial" w:eastAsia="arial" w:hAnsi="arial" w:cs="arial"/>
          <w:color w:val="000000"/>
          <w:sz w:val="20"/>
          <w:lang w:val="en-US" w:eastAsia="en-US" w:bidi="ar-SA"/>
        </w:rPr>
        <w:t xml:space="preserve">, at para 26, following </w:t>
      </w:r>
      <w:r>
        <w:rPr>
          <w:rFonts w:ascii="arial" w:eastAsia="arial" w:hAnsi="arial" w:cs="arial"/>
          <w:i/>
          <w:color w:val="000000"/>
          <w:sz w:val="20"/>
          <w:lang w:val="en-US" w:eastAsia="en-US" w:bidi="ar-SA"/>
        </w:rPr>
        <w:t>O'Neill Community Ratepayers Assn. v. Oshawa (City)</w:t>
      </w:r>
      <w:r>
        <w:rPr>
          <w:rFonts w:ascii="arial" w:eastAsia="arial" w:hAnsi="arial" w:cs="arial"/>
          <w:color w:val="000000"/>
          <w:sz w:val="20"/>
          <w:lang w:val="en-US" w:eastAsia="en-US" w:bidi="ar-SA"/>
        </w:rPr>
        <w:t xml:space="preserve"> </w:t>
      </w:r>
      <w:hyperlink r:id="rId356" w:history="1">
        <w:r>
          <w:rPr>
            <w:rFonts w:ascii="arial" w:eastAsia="arial" w:hAnsi="arial" w:cs="arial"/>
            <w:i/>
            <w:color w:val="0077CC"/>
            <w:sz w:val="20"/>
            <w:u w:val="single"/>
            <w:shd w:val="clear" w:color="auto" w:fill="FFFFFF"/>
            <w:lang w:val="en-US" w:eastAsia="en-US" w:bidi="ar-SA"/>
          </w:rPr>
          <w:t>(1995), 22 O.R. (3d) 648</w:t>
        </w:r>
      </w:hyperlink>
      <w:r>
        <w:rPr>
          <w:rFonts w:ascii="arial" w:eastAsia="arial" w:hAnsi="arial" w:cs="arial"/>
          <w:color w:val="000000"/>
          <w:sz w:val="20"/>
          <w:lang w:val="en-US" w:eastAsia="en-US" w:bidi="ar-SA"/>
        </w:rPr>
        <w:t xml:space="preserve"> (Gen. Div.), </w:t>
      </w:r>
      <w:hyperlink r:id="rId357" w:history="1">
        <w:r>
          <w:rPr>
            <w:rFonts w:ascii="arial" w:eastAsia="arial" w:hAnsi="arial" w:cs="arial"/>
            <w:i/>
            <w:color w:val="0077CC"/>
            <w:sz w:val="20"/>
            <w:u w:val="single"/>
            <w:shd w:val="clear" w:color="auto" w:fill="FFFFFF"/>
            <w:lang w:val="en-US" w:eastAsia="en-US" w:bidi="ar-SA"/>
          </w:rPr>
          <w:t>[1995] O.J. No. 1191</w:t>
        </w:r>
      </w:hyperlink>
      <w:r>
        <w:rPr>
          <w:rFonts w:ascii="arial" w:eastAsia="arial" w:hAnsi="arial" w:cs="arial"/>
          <w:color w:val="000000"/>
          <w:sz w:val="20"/>
          <w:lang w:val="en-US" w:eastAsia="en-US" w:bidi="ar-SA"/>
        </w:rPr>
        <w:t>, the court formulated a two stage approach to this question: determine the intention solely by the deed and second, consider the intention of the parties having regard to all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The AG and the District rely on the Deed of Gift as the evidentiary basis for a finding that BHPS intended that the Binning House would be held for a specified charitable purpose or as discrete purpose charitable property. Again, the Deed of Gift provided that BHPS: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gifts, absolutely and irrevocable, to TLC, the [Binning House] for the purpose of restoring, developing and preserving the Binning House ... for historical purposes with a view to educating the public and commemorating the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xml:space="preserve">  TLC relies on a number of cases. In </w:t>
      </w:r>
      <w:r>
        <w:rPr>
          <w:rFonts w:ascii="arial" w:eastAsia="arial" w:hAnsi="arial" w:cs="arial"/>
          <w:i/>
          <w:color w:val="000000"/>
          <w:sz w:val="20"/>
          <w:lang w:val="en-US" w:eastAsia="en-US" w:bidi="ar-SA"/>
        </w:rPr>
        <w:t>O'Neill Community Ratepayers Assn.</w:t>
      </w:r>
      <w:r>
        <w:rPr>
          <w:rFonts w:ascii="arial" w:eastAsia="arial" w:hAnsi="arial" w:cs="arial"/>
          <w:color w:val="000000"/>
          <w:sz w:val="20"/>
          <w:lang w:val="en-US" w:eastAsia="en-US" w:bidi="ar-SA"/>
        </w:rPr>
        <w:t xml:space="preserve">, the court found that words in the transfer that the lands were "for the purposes of a Park" were not sufficient to establish a trust based in part on the conclusion that the document was uncertain in that regard: para. 14-15. In </w:t>
      </w:r>
      <w:r>
        <w:rPr>
          <w:rFonts w:ascii="arial" w:eastAsia="arial" w:hAnsi="arial" w:cs="arial"/>
          <w:i/>
          <w:color w:val="000000"/>
          <w:sz w:val="20"/>
          <w:lang w:val="en-US" w:eastAsia="en-US" w:bidi="ar-SA"/>
        </w:rPr>
        <w:t>Save Our Waterfront Parks Society</w:t>
      </w:r>
      <w:r>
        <w:rPr>
          <w:rFonts w:ascii="arial" w:eastAsia="arial" w:hAnsi="arial" w:cs="arial"/>
          <w:color w:val="000000"/>
          <w:sz w:val="20"/>
          <w:lang w:val="en-US" w:eastAsia="en-US" w:bidi="ar-SA"/>
        </w:rPr>
        <w:t xml:space="preserve">, the opposite result was found were the transfer documents were more specific in requiring use of the lands only for a public park: para. 31. Even more limiting language in the transfer of certain lands (only to be used for municipal purposes and not for industrial or commercial purposes) was considered to support the conclusion that it was transferred on a trust: </w:t>
      </w:r>
      <w:r>
        <w:rPr>
          <w:rFonts w:ascii="arial" w:eastAsia="arial" w:hAnsi="arial" w:cs="arial"/>
          <w:i/>
          <w:color w:val="000000"/>
          <w:sz w:val="20"/>
          <w:lang w:val="en-US" w:eastAsia="en-US" w:bidi="ar-SA"/>
        </w:rPr>
        <w:t>Save the Heritage Simpson Covenant Society v. Kelowna (City)</w:t>
      </w:r>
      <w:r>
        <w:rPr>
          <w:rFonts w:ascii="arial" w:eastAsia="arial" w:hAnsi="arial" w:cs="arial"/>
          <w:color w:val="000000"/>
          <w:sz w:val="20"/>
          <w:lang w:val="en-US" w:eastAsia="en-US" w:bidi="ar-SA"/>
        </w:rPr>
        <w:t xml:space="preserve">, </w:t>
      </w:r>
      <w:hyperlink r:id="rId358" w:history="1">
        <w:r>
          <w:rPr>
            <w:rFonts w:ascii="arial" w:eastAsia="arial" w:hAnsi="arial" w:cs="arial"/>
            <w:i/>
            <w:color w:val="0077CC"/>
            <w:sz w:val="20"/>
            <w:u w:val="single"/>
            <w:shd w:val="clear" w:color="auto" w:fill="FFFFFF"/>
            <w:lang w:val="en-US" w:eastAsia="en-US" w:bidi="ar-SA"/>
          </w:rPr>
          <w:t>2008 BCSC 1084</w:t>
        </w:r>
      </w:hyperlink>
      <w:r>
        <w:rPr>
          <w:rFonts w:ascii="arial" w:eastAsia="arial" w:hAnsi="arial" w:cs="arial"/>
          <w:color w:val="000000"/>
          <w:sz w:val="20"/>
          <w:lang w:val="en-US" w:eastAsia="en-US" w:bidi="ar-SA"/>
        </w:rPr>
        <w:t xml:space="preserve"> at paras. 118, 122-25, 145-6.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xml:space="preserve">  The Deed of Gift does not use the word "trust" or "trustee" although, as noted above, that is not determinative. However, the precise language in the Deed of Gift strongly suggests as a matter of construction that it is being transferred to TLC for specific purposes, i.e. "preserving", which in turn implies that it will be held by TLC in perpetuity: </w:t>
      </w:r>
      <w:r>
        <w:rPr>
          <w:rFonts w:ascii="arial" w:eastAsia="arial" w:hAnsi="arial" w:cs="arial"/>
          <w:i/>
          <w:color w:val="000000"/>
          <w:sz w:val="20"/>
          <w:lang w:val="en-US" w:eastAsia="en-US" w:bidi="ar-SA"/>
        </w:rPr>
        <w:t>Rowland</w:t>
      </w:r>
      <w:r>
        <w:rPr>
          <w:rFonts w:ascii="arial" w:eastAsia="arial" w:hAnsi="arial" w:cs="arial"/>
          <w:color w:val="000000"/>
          <w:sz w:val="20"/>
          <w:lang w:val="en-US" w:eastAsia="en-US" w:bidi="ar-SA"/>
        </w:rPr>
        <w:t xml:space="preserve"> (BCCA), paras. 53-54. I agree with the submissions of the AG that if a simple transfer by BHPS was all that was required for the purpose of transferring the Binning House to TLC for its own general purposes, the Deed of Gift must have been intended to accomplish more and therefore has added meaning.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Further support in this analysis arises by a review of the surrounding circumstances. In my view, the evidence is clear that the Binning House was intended by BHPS to be transferred to TLC on trust for the purpose of its preservation into the future for the public. Critical in that regard are the following facts:</w:t>
      </w:r>
      <w:r>
        <w:rPr>
          <w:rFonts w:ascii="arial" w:eastAsia="arial" w:hAnsi="arial" w:cs="arial"/>
          <w:sz w:val="20"/>
          <w:lang w:val="en-US" w:eastAsia="en-US" w:bidi="ar-SA"/>
        </w:rPr>
        <w:cr/>
      </w:r>
    </w:p>
    <w:p>
      <w:pPr>
        <w:numPr>
          <w:numId w:val="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was Jessie Binning's wish, conveyed to the Executors in the Will, that the Binning House be preserved for historical purposes, if possible;</w:t>
      </w:r>
    </w:p>
    <w:p>
      <w:pPr>
        <w:numPr>
          <w:numId w:val="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Executors intended to fulfill Ms. Binning's wish by donating the Binning House to a society for the specific purpose of preserving the Binning House; and</w:t>
      </w:r>
    </w:p>
    <w:p>
      <w:pPr>
        <w:numPr>
          <w:numId w:val="6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accordance with BHPS' Constitution, its first stated purpose is to "restore, develop and preserve [the Binning House] for historical purposes ... with a view to educate and to commemorate the site". That same language was tracked word for word into the Deed of Gift and therefore is indicative of BHPS's intention in its transfer of the Binning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xml:space="preserve">  TLC argues that there is no language of exclusivity or exclusion regarding the uses of or purposes of holding the Binning House. It says that the lack of exclusive or exclusionary language in the Deed of Gift thus militates against a finding of an intention to create a specific purpose trust in common law and under the </w:t>
      </w:r>
      <w:r>
        <w:rPr>
          <w:rFonts w:ascii="arial" w:eastAsia="arial" w:hAnsi="arial" w:cs="arial"/>
          <w:i/>
          <w:color w:val="000000"/>
          <w:sz w:val="20"/>
          <w:lang w:val="en-US" w:eastAsia="en-US" w:bidi="ar-SA"/>
        </w:rPr>
        <w:t>CPPA</w:t>
      </w:r>
      <w:r>
        <w:rPr>
          <w:rFonts w:ascii="arial" w:eastAsia="arial" w:hAnsi="arial" w:cs="arial"/>
          <w:color w:val="000000"/>
          <w:sz w:val="20"/>
          <w:lang w:val="en-US" w:eastAsia="en-US" w:bidi="ar-SA"/>
        </w:rPr>
        <w:t>. While I agree that "historical purposes" is a fairly generic term, in my view, it is informed by the further references to education and the public, purposes which again were consistent with Jessie Binning's wish to preserve the site for future generations to come given its historical significance. In those circumstances, BHPS could only have been intending to preserve the site as the special place it was in terms of its connection to B.C. Binning and its representation of his significant contribution to modern art and architecture.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TLC's general purposes are said to accord with an intention to preserve and protect its properties, including the Binning House, in perpetuity for so long as such intention furthers the purposes of TLC as a whole. Indeed, it is clear that TLC's Constitution also refers to "preservation" of "cultural" land as part of its charitable endeavours.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Nonetheless, again this Deed of Trust must be considered in the context of the actual circumstances here. The Executors sought out TLC to take on preservation of the Binning House solely for the purpose of preserving it into the future. The evidence of Mr. Massey and the former TLC employee affiants must be viewed with some skepticism given the circumstances, however, what they say rings true to some extent; namely, that the Executors would never have exercised their discretion in setting up BHPS if they did not think that BHPS, or some transferee such as TLC, were not taking on the task of preserving the Binning House for that purpose. While TLC was able to generally deal with the Binning House, it is clear that the TLC employees thought that they would be looking after this valuable asset in perpetuity, similar to other properties owned by TLC. To that extent, BHPS's specific intentions were coextensive with TLC's general objectives but not subsumed within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xml:space="preserve">  I dare say that the TLC employees likely had that general intention in relation to most of the properties TLC acquired and no doubt only recent unfortunate circumstances have required some review of that intention. This is very much evident from TLC's own slogan "Special Places. </w:t>
      </w:r>
      <w:r>
        <w:rPr>
          <w:rFonts w:ascii="arial" w:eastAsia="arial" w:hAnsi="arial" w:cs="arial"/>
          <w:color w:val="000000"/>
          <w:sz w:val="20"/>
          <w:u w:val="single"/>
          <w:lang w:val="en-US" w:eastAsia="en-US" w:bidi="ar-SA"/>
        </w:rPr>
        <w:t>Forever</w:t>
      </w:r>
      <w:r>
        <w:rPr>
          <w:rFonts w:ascii="arial" w:eastAsia="arial" w:hAnsi="arial" w:cs="arial"/>
          <w:color w:val="000000"/>
          <w:sz w:val="20"/>
          <w:lang w:val="en-US" w:eastAsia="en-US" w:bidi="ar-SA"/>
        </w:rPr>
        <w:t>, for Everyone"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xml:space="preserve">  TLC refers to its own internal practices concerning the Binning House. No separate accounting system was maintained for the property and financial matters relating to the Binning House have been managed with TLC's other properties generally. It is apparent though that donations and expenses relating to Binning House were coded and tracked separately. In my view, this is not necessarily inconsistent with the "separate administration" requirement under the </w:t>
      </w:r>
      <w:r>
        <w:rPr>
          <w:rFonts w:ascii="arial" w:eastAsia="arial" w:hAnsi="arial" w:cs="arial"/>
          <w:i/>
          <w:color w:val="000000"/>
          <w:sz w:val="20"/>
          <w:lang w:val="en-US" w:eastAsia="en-US" w:bidi="ar-SA"/>
        </w:rPr>
        <w:t>CPPA</w:t>
      </w:r>
      <w:r>
        <w:rPr>
          <w:rFonts w:ascii="arial" w:eastAsia="arial" w:hAnsi="arial" w:cs="arial"/>
          <w:color w:val="000000"/>
          <w:sz w:val="20"/>
          <w:lang w:val="en-US" w:eastAsia="en-US" w:bidi="ar-SA"/>
        </w:rPr>
        <w:t>, s. 2(1)(c)(i). This provision is more likely directed at management of funds, as opposed to land, which might become comingled with others held by a trustee. In this case, there is no doubt that the Binning House itself is a discrete asset and as stated, even TLC concedes that separate operating budgets were maintained for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TLC's financial statements are also not determinative. In some cases, TLC received and in fact continues to receive "restricted contributions" or "restricted funds" which specify how funds are to be used. Those are noted in TLC's financial statements. In addition, at least one donation of units in a hedge fund is referred to as being in "in trust" in which case, TLC does not hold beneficial ownership. Binning House is not referenced specifically in the financial statements. That treatment is not, however, conclusive.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Finally, TLC argues that the TLC Board was not apprised of, and never approved, any restrictions on its acceptance of the donation. I reject this submission as the reports by various TLC employees to the Board clearly set out the basis upon which the Executors wished to handle the preservation of the Binning House. Further, the execution of the Deed of Gift was executed by two TLC Board members and is further support for the conclusion that the TLC Board was fully aware of the specific purpose of the gift. Again, it is the Deed of Gift and the overall circumstances which support a finding of intention on the part of BHPS to transfer the Binning House on a specific purpose trust. That same document and those same circumstances amply support that TLC intended to accept the Binning House on that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xml:space="preserve">  I conclude that BHPS intended to transfer the Binning House to TLC not for TLC's general charitable purposes, but pursuant to a specific purpose trust so as to preserve it for generations to come. In addition, I conclude that the requirement under the </w:t>
      </w:r>
      <w:r>
        <w:rPr>
          <w:rFonts w:ascii="arial" w:eastAsia="arial" w:hAnsi="arial" w:cs="arial"/>
          <w:i/>
          <w:color w:val="000000"/>
          <w:sz w:val="20"/>
          <w:lang w:val="en-US" w:eastAsia="en-US" w:bidi="ar-SA"/>
        </w:rPr>
        <w:t>CPPA</w:t>
      </w:r>
      <w:r>
        <w:rPr>
          <w:rFonts w:ascii="arial" w:eastAsia="arial" w:hAnsi="arial" w:cs="arial"/>
          <w:color w:val="000000"/>
          <w:sz w:val="20"/>
          <w:lang w:val="en-US" w:eastAsia="en-US" w:bidi="ar-SA"/>
        </w:rPr>
        <w:t>, s. 2(1)(c) is met in that it has been shown "by necessary implication" that BHPS' intention was that the Binning House would be kept and administered separately and used by TLC to advance the specified charitable purpose with respect to determining that it is "discrete purpose charitable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2477"/>
        <w:gridCol w:w="238"/>
        <w:gridCol w:w="6090"/>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18"/>
                <w:lang w:val="en-US" w:eastAsia="en-US" w:bidi="ar-SA"/>
              </w:rPr>
              <w:t>(D)</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18"/>
                <w:lang w:val="en-US" w:eastAsia="en-US" w:bidi="ar-SA"/>
              </w:rPr>
              <w:t>Is the Specific Purpose Trust a Sham?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In the alternative, TLC takes the position that if the Deed of Trust created a specific purpose trust in relation to the Binning House, and as such created a restriction on TLC's ownership of the Binning House, such a restriction is a legal "sham" and therefore, void.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xml:space="preserve">  The oft quoted test for determining whether there is a "sham" transaction is found in the comments of Lord Diplock in </w:t>
      </w:r>
      <w:r>
        <w:rPr>
          <w:rFonts w:ascii="arial" w:eastAsia="arial" w:hAnsi="arial" w:cs="arial"/>
          <w:i/>
          <w:color w:val="000000"/>
          <w:sz w:val="20"/>
          <w:lang w:val="en-US" w:eastAsia="en-US" w:bidi="ar-SA"/>
        </w:rPr>
        <w:t>Snook v. London and West Riding Investments Ltd.</w:t>
      </w:r>
      <w:r>
        <w:rPr>
          <w:rFonts w:ascii="arial" w:eastAsia="arial" w:hAnsi="arial" w:cs="arial"/>
          <w:color w:val="000000"/>
          <w:sz w:val="20"/>
          <w:lang w:val="en-US" w:eastAsia="en-US" w:bidi="ar-SA"/>
        </w:rPr>
        <w:t xml:space="preserve"> [1967] 2 Q.B. 786 at 802: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it means acts done or documents executed by the parties to the "sham" which are </w:t>
      </w:r>
      <w:r>
        <w:rPr>
          <w:rFonts w:ascii="arial" w:eastAsia="arial" w:hAnsi="arial" w:cs="arial"/>
          <w:color w:val="000000"/>
          <w:sz w:val="20"/>
          <w:u w:val="single"/>
          <w:lang w:val="en-US" w:eastAsia="en-US" w:bidi="ar-SA"/>
        </w:rPr>
        <w:t>intended</w:t>
      </w:r>
      <w:r>
        <w:rPr>
          <w:rFonts w:ascii="arial" w:eastAsia="arial" w:hAnsi="arial" w:cs="arial"/>
          <w:color w:val="000000"/>
          <w:sz w:val="20"/>
          <w:lang w:val="en-US" w:eastAsia="en-US" w:bidi="ar-SA"/>
        </w:rPr>
        <w:t xml:space="preserve"> by them to give to third parties or to the court the appearance of creating between the parties legal rights and obligations different from the actual rights and obligations (if any) which the parties intend to create. But one thing, I think, is clear in legal principle, morality and the authorities ... that for acts or documents to be a "sham", with whatever legal consequences follow from this, all the parties thereto must have a common intention that the acts or documents are not to create the legal rights and obligations which they give the appearance of creating.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xml:space="preserve">  As can be seen from the above statement, the essence of a sham transaction arises from the intention of </w:t>
      </w:r>
      <w:r>
        <w:rPr>
          <w:rFonts w:ascii="arial" w:eastAsia="arial" w:hAnsi="arial" w:cs="arial"/>
          <w:i/>
          <w:color w:val="000000"/>
          <w:sz w:val="20"/>
          <w:lang w:val="en-US" w:eastAsia="en-US" w:bidi="ar-SA"/>
        </w:rPr>
        <w:t>all parties</w:t>
      </w:r>
      <w:r>
        <w:rPr>
          <w:rFonts w:ascii="arial" w:eastAsia="arial" w:hAnsi="arial" w:cs="arial"/>
          <w:color w:val="000000"/>
          <w:sz w:val="20"/>
          <w:lang w:val="en-US" w:eastAsia="en-US" w:bidi="ar-SA"/>
        </w:rPr>
        <w:t xml:space="preserve"> to the instrument. As stated in </w:t>
      </w:r>
      <w:r>
        <w:rPr>
          <w:rFonts w:ascii="arial" w:eastAsia="arial" w:hAnsi="arial" w:cs="arial"/>
          <w:i/>
          <w:color w:val="000000"/>
          <w:sz w:val="20"/>
          <w:lang w:val="en-US" w:eastAsia="en-US" w:bidi="ar-SA"/>
        </w:rPr>
        <w:t>Waters</w:t>
      </w:r>
      <w:r>
        <w:rPr>
          <w:rFonts w:ascii="arial" w:eastAsia="arial" w:hAnsi="arial" w:cs="arial"/>
          <w:color w:val="000000"/>
          <w:sz w:val="20"/>
          <w:lang w:val="en-US" w:eastAsia="en-US" w:bidi="ar-SA"/>
        </w:rPr>
        <w:t xml:space="preserve"> at 146, this concept is different than the requirement of certainty of intention and is more concerned with the intention of the settlor to perpetrate an "illegality" or "illusory trust", as a result of which the trust is void.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xml:space="preserve">  This principle from </w:t>
      </w:r>
      <w:r>
        <w:rPr>
          <w:rFonts w:ascii="arial" w:eastAsia="arial" w:hAnsi="arial" w:cs="arial"/>
          <w:i/>
          <w:color w:val="000000"/>
          <w:sz w:val="20"/>
          <w:lang w:val="en-US" w:eastAsia="en-US" w:bidi="ar-SA"/>
        </w:rPr>
        <w:t>Snook</w:t>
      </w:r>
      <w:r>
        <w:rPr>
          <w:rFonts w:ascii="arial" w:eastAsia="arial" w:hAnsi="arial" w:cs="arial"/>
          <w:color w:val="000000"/>
          <w:sz w:val="20"/>
          <w:lang w:val="en-US" w:eastAsia="en-US" w:bidi="ar-SA"/>
        </w:rPr>
        <w:t xml:space="preserve"> has been applied in Canada generally: </w:t>
      </w:r>
      <w:r>
        <w:rPr>
          <w:rFonts w:ascii="arial" w:eastAsia="arial" w:hAnsi="arial" w:cs="arial"/>
          <w:i/>
          <w:color w:val="000000"/>
          <w:sz w:val="20"/>
          <w:lang w:val="en-US" w:eastAsia="en-US" w:bidi="ar-SA"/>
        </w:rPr>
        <w:t>Minister of National Revenue v. Cameron</w:t>
      </w:r>
      <w:r>
        <w:rPr>
          <w:rFonts w:ascii="arial" w:eastAsia="arial" w:hAnsi="arial" w:cs="arial"/>
          <w:color w:val="000000"/>
          <w:sz w:val="20"/>
          <w:lang w:val="en-US" w:eastAsia="en-US" w:bidi="ar-SA"/>
        </w:rPr>
        <w:t xml:space="preserve">, </w:t>
      </w:r>
      <w:hyperlink r:id="rId359" w:history="1">
        <w:r>
          <w:rPr>
            <w:rFonts w:ascii="arial" w:eastAsia="arial" w:hAnsi="arial" w:cs="arial"/>
            <w:i/>
            <w:color w:val="0077CC"/>
            <w:sz w:val="20"/>
            <w:u w:val="single"/>
            <w:shd w:val="clear" w:color="auto" w:fill="FFFFFF"/>
            <w:lang w:val="en-US" w:eastAsia="en-US" w:bidi="ar-SA"/>
          </w:rPr>
          <w:t>[1974] S.C.R. 1062</w:t>
        </w:r>
      </w:hyperlink>
      <w:r>
        <w:rPr>
          <w:rFonts w:ascii="arial" w:eastAsia="arial" w:hAnsi="arial" w:cs="arial"/>
          <w:color w:val="000000"/>
          <w:sz w:val="20"/>
          <w:lang w:val="en-US" w:eastAsia="en-US" w:bidi="ar-SA"/>
        </w:rPr>
        <w:t xml:space="preserve"> at 1068; </w:t>
      </w:r>
      <w:r>
        <w:rPr>
          <w:rFonts w:ascii="arial" w:eastAsia="arial" w:hAnsi="arial" w:cs="arial"/>
          <w:i/>
          <w:color w:val="000000"/>
          <w:sz w:val="20"/>
          <w:lang w:val="en-US" w:eastAsia="en-US" w:bidi="ar-SA"/>
        </w:rPr>
        <w:t>Trident Foreshore Lands Ltd. v. Brown</w:t>
      </w:r>
      <w:r>
        <w:rPr>
          <w:rFonts w:ascii="arial" w:eastAsia="arial" w:hAnsi="arial" w:cs="arial"/>
          <w:color w:val="000000"/>
          <w:sz w:val="20"/>
          <w:lang w:val="en-US" w:eastAsia="en-US" w:bidi="ar-SA"/>
        </w:rPr>
        <w:t xml:space="preserve">, </w:t>
      </w:r>
      <w:hyperlink r:id="rId360" w:history="1">
        <w:r>
          <w:rPr>
            <w:rFonts w:ascii="arial" w:eastAsia="arial" w:hAnsi="arial" w:cs="arial"/>
            <w:i/>
            <w:color w:val="0077CC"/>
            <w:sz w:val="20"/>
            <w:u w:val="single"/>
            <w:shd w:val="clear" w:color="auto" w:fill="FFFFFF"/>
            <w:lang w:val="en-US" w:eastAsia="en-US" w:bidi="ar-SA"/>
          </w:rPr>
          <w:t>2004 BCSC 1365</w:t>
        </w:r>
      </w:hyperlink>
      <w:r>
        <w:rPr>
          <w:rFonts w:ascii="arial" w:eastAsia="arial" w:hAnsi="arial" w:cs="arial"/>
          <w:color w:val="000000"/>
          <w:sz w:val="20"/>
          <w:lang w:val="en-US" w:eastAsia="en-US" w:bidi="ar-SA"/>
        </w:rPr>
        <w:t xml:space="preserve"> at para. 39.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xml:space="preserve">  In addition, the principle has been applied in Canada in respect of alleged "sham trusts", often in cases involving bankruptcies and fraudulent transactions affecting creditors. In </w:t>
      </w:r>
      <w:r>
        <w:rPr>
          <w:rFonts w:ascii="arial" w:eastAsia="arial" w:hAnsi="arial" w:cs="arial"/>
          <w:i/>
          <w:color w:val="000000"/>
          <w:sz w:val="20"/>
          <w:lang w:val="en-US" w:eastAsia="en-US" w:bidi="ar-SA"/>
        </w:rPr>
        <w:t>Hirji v. Scavetta</w:t>
      </w:r>
      <w:r>
        <w:rPr>
          <w:rFonts w:ascii="arial" w:eastAsia="arial" w:hAnsi="arial" w:cs="arial"/>
          <w:color w:val="000000"/>
          <w:sz w:val="20"/>
          <w:lang w:val="en-US" w:eastAsia="en-US" w:bidi="ar-SA"/>
        </w:rPr>
        <w:t xml:space="preserve"> </w:t>
      </w:r>
      <w:hyperlink r:id="rId361" w:history="1">
        <w:r>
          <w:rPr>
            <w:rFonts w:ascii="arial" w:eastAsia="arial" w:hAnsi="arial" w:cs="arial"/>
            <w:i/>
            <w:color w:val="0077CC"/>
            <w:sz w:val="20"/>
            <w:u w:val="single"/>
            <w:shd w:val="clear" w:color="auto" w:fill="FFFFFF"/>
            <w:lang w:val="en-US" w:eastAsia="en-US" w:bidi="ar-SA"/>
          </w:rPr>
          <w:t>(1993), 15 O.R. (3d) 371</w:t>
        </w:r>
      </w:hyperlink>
      <w:r>
        <w:rPr>
          <w:rFonts w:ascii="arial" w:eastAsia="arial" w:hAnsi="arial" w:cs="arial"/>
          <w:color w:val="000000"/>
          <w:sz w:val="20"/>
          <w:lang w:val="en-US" w:eastAsia="en-US" w:bidi="ar-SA"/>
        </w:rPr>
        <w:t xml:space="preserve">, </w:t>
      </w:r>
      <w:hyperlink r:id="rId362" w:history="1">
        <w:r>
          <w:rPr>
            <w:rFonts w:ascii="arial" w:eastAsia="arial" w:hAnsi="arial" w:cs="arial"/>
            <w:i/>
            <w:color w:val="0077CC"/>
            <w:sz w:val="20"/>
            <w:u w:val="single"/>
            <w:shd w:val="clear" w:color="auto" w:fill="FFFFFF"/>
            <w:lang w:val="en-US" w:eastAsia="en-US" w:bidi="ar-SA"/>
          </w:rPr>
          <w:t>[1993] O.J. No. 2546</w:t>
        </w:r>
      </w:hyperlink>
      <w:r>
        <w:rPr>
          <w:rFonts w:ascii="arial" w:eastAsia="arial" w:hAnsi="arial" w:cs="arial"/>
          <w:color w:val="000000"/>
          <w:sz w:val="20"/>
          <w:lang w:val="en-US" w:eastAsia="en-US" w:bidi="ar-SA"/>
        </w:rPr>
        <w:t xml:space="preserve"> (Gen. Div.) at para. 32, the court found that a transfer in trust was designed to avoid creditors. In </w:t>
      </w:r>
      <w:r>
        <w:rPr>
          <w:rFonts w:ascii="arial" w:eastAsia="arial" w:hAnsi="arial" w:cs="arial"/>
          <w:i/>
          <w:color w:val="000000"/>
          <w:sz w:val="20"/>
          <w:lang w:val="en-US" w:eastAsia="en-US" w:bidi="ar-SA"/>
        </w:rPr>
        <w:t>Biggar (Re)</w:t>
      </w:r>
      <w:r>
        <w:rPr>
          <w:rFonts w:ascii="arial" w:eastAsia="arial" w:hAnsi="arial" w:cs="arial"/>
          <w:color w:val="000000"/>
          <w:sz w:val="20"/>
          <w:lang w:val="en-US" w:eastAsia="en-US" w:bidi="ar-SA"/>
        </w:rPr>
        <w:t xml:space="preserve">, </w:t>
      </w:r>
      <w:hyperlink r:id="rId363" w:history="1">
        <w:r>
          <w:rPr>
            <w:rFonts w:ascii="arial" w:eastAsia="arial" w:hAnsi="arial" w:cs="arial"/>
            <w:i/>
            <w:color w:val="0077CC"/>
            <w:sz w:val="20"/>
            <w:u w:val="single"/>
            <w:shd w:val="clear" w:color="auto" w:fill="FFFFFF"/>
            <w:lang w:val="en-US" w:eastAsia="en-US" w:bidi="ar-SA"/>
          </w:rPr>
          <w:t>2005 BCSC 1657</w:t>
        </w:r>
      </w:hyperlink>
      <w:r>
        <w:rPr>
          <w:rFonts w:ascii="arial" w:eastAsia="arial" w:hAnsi="arial" w:cs="arial"/>
          <w:color w:val="000000"/>
          <w:sz w:val="20"/>
          <w:lang w:val="en-US" w:eastAsia="en-US" w:bidi="ar-SA"/>
        </w:rPr>
        <w:t>, the court, after reviewing other examples of "sham trust" (para. 23), concluded that the bankrupt had dealt with the subject property as his alone and had never intended to divest any beneficial interest in the shares.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Forsyth (Re)</w:t>
      </w:r>
      <w:r>
        <w:rPr>
          <w:rFonts w:ascii="arial" w:eastAsia="arial" w:hAnsi="arial" w:cs="arial"/>
          <w:color w:val="000000"/>
          <w:sz w:val="20"/>
          <w:lang w:val="en-US" w:eastAsia="en-US" w:bidi="ar-SA"/>
        </w:rPr>
        <w:t xml:space="preserve">, </w:t>
      </w:r>
      <w:hyperlink r:id="rId364" w:history="1">
        <w:r>
          <w:rPr>
            <w:rFonts w:ascii="arial" w:eastAsia="arial" w:hAnsi="arial" w:cs="arial"/>
            <w:i/>
            <w:color w:val="0077CC"/>
            <w:sz w:val="20"/>
            <w:u w:val="single"/>
            <w:shd w:val="clear" w:color="auto" w:fill="FFFFFF"/>
            <w:lang w:val="en-US" w:eastAsia="en-US" w:bidi="ar-SA"/>
          </w:rPr>
          <w:t>2010 BCSC 1720</w:t>
        </w:r>
      </w:hyperlink>
      <w:r>
        <w:rPr>
          <w:rFonts w:ascii="arial" w:eastAsia="arial" w:hAnsi="arial" w:cs="arial"/>
          <w:color w:val="000000"/>
          <w:sz w:val="20"/>
          <w:lang w:val="en-US" w:eastAsia="en-US" w:bidi="ar-SA"/>
        </w:rPr>
        <w:t xml:space="preserve">, and following </w:t>
      </w:r>
      <w:r>
        <w:rPr>
          <w:rFonts w:ascii="arial" w:eastAsia="arial" w:hAnsi="arial" w:cs="arial"/>
          <w:i/>
          <w:color w:val="000000"/>
          <w:sz w:val="20"/>
          <w:lang w:val="en-US" w:eastAsia="en-US" w:bidi="ar-SA"/>
        </w:rPr>
        <w:t>Biggar</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Hirji</w:t>
      </w:r>
      <w:r>
        <w:rPr>
          <w:rFonts w:ascii="arial" w:eastAsia="arial" w:hAnsi="arial" w:cs="arial"/>
          <w:color w:val="000000"/>
          <w:sz w:val="20"/>
          <w:lang w:val="en-US" w:eastAsia="en-US" w:bidi="ar-SA"/>
        </w:rPr>
        <w:t>, the court found a declaration of trust to be void as an attempt by a bankrupt to shield his assets from his creditors. At para. 24, the court accepted that post "trust" conduct was relevant to a consideration and determination of the true intention of the settlor.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TLC argues that various circumstances here point to the fact that it was never intended by both BHPS and TLC that there would be restrictions on TLC's use of or rights to the Binning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It is clear that the signatories to the Deed of Gift (Mr. Turner and Ms. Baker) were both employees of TLC and members/directors/officers of BHPS. Firstly, TLC argues that they both signed a Form A Freehold Transfer evidencing a transfer of the Binning House from BHPS to TLC and that is true; however, it is equally true that they also required, as part of the overall transaction strategy, that this separate Deed of Gift be signed. As noted above, if the true intention was not to impose any specific trust conditions, then rhetorically, why was this instrument required at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Secondly, TLC argues that both Mr. Turner and Ms. Baker have only now recently asserted their positions as current or former board members of BHPS to derail TLC's reorganization efforts. I would reiterate my comments above in that while there may be some skepticism on this point, their positions are consistent with the actions of all persons involved in the transfer from BHPS to TLC.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Thirdly, TLC argues that despite Ms. Baker's present position, she authored a report to the TLC Board recommending accepting the donation of the Binning House with no mention of any restrictions. While that may be the case, the report from September 2008 cannot be taken as a definitive statement as to the terms upon which the transfer was to take place. Needless to say, the fact that the Deed of Trust was later prepared and signed on behalf of both BHPS and TLC also indicates that other terms were later discussed and agreed upon.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Fourthly, TLC argues that Mr. Turner and Ms. Baker would have known at the time the Deed of Gift was executed that TLC would treat the Binning House in the same manner as all TLC's properties. This argument is largely centered on the manner in which the accounting of revenue and expenses relating to the Binning House took place. When TLC received donations intended by the donor to be applied to any given property, these donations were deposited into TLC's general account and applied, as needed, to any property or to TLC's general needs, irrespective of the donor's intent. In most cases, the costs related to a property exceed the donations or other revenues related to such property. Additional general revenue was therefore used to fund TLC's properties.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Revenue from donations and other receipts for the Binning House were received by TLC and deposited in its general account. Disbursements in respect of the Binning House were paid out of the general account as needed and were not restricted to the revenue received specifically for the Binning House. TLC did not administer a separate bank account for the management of the Binning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In my view, the manner in which these revenue and expenses were accounted for is hardly determinative of the issue in relation to the legal designation of the subject matter of the trust - i.e. the Binning House. As I have said, revenue and expenses relating to the property were separately coded so that TLC was able to quickly determine the financial operating status of the asset. But that is quite a separate matter as to whether the asset itself, as opposed perhaps to income derived from it, is held in trust. The same can be said as to the basis upon which expenses were handled.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Fifthly, TLC argues that Mr. Turner and Ms. Baker would have known that the TLC Board was not bound by the wishes of any donor. The TLC Bylaws provide: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18.05 The Board of Directors is not bound by the wishes of any donor if such wishes are, at the time of the gift or at a future time, inimical to the purposes of [TLC]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Despite this provision, I fail to see how this allows the TLC Board to simply ignore a legal trust obligation, rather than simply a "wish", imposed at the time of transfer. Bylaw 18.03 provides that TLC "may refuse to accept any donations, contributions, gifts, or bequests of any kind whatsoever at the sole discretion of the Board of Directors". In this case, I am satisfied that the TLC was well aware as to the basis upon which the Binning House was being transferred, per the Deed of Gift. As such, the Board agreed to accept the donation on that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xml:space="preserve">  Sixthly, TLC argues that Mr. Turner and Ms. Baker would have been aware of the ability to restrict TLC's use of donated property through Bylaw 20, by which the Board could declare certain properties "inalienable". TLC further says that there is no evidence that this option was discussed at the time of the transfer to TLC as a condition of the transfer. I see no merit in this argument for two reasons: firstly, this mechanism is one available to the Board </w:t>
      </w:r>
      <w:r>
        <w:rPr>
          <w:rFonts w:ascii="arial" w:eastAsia="arial" w:hAnsi="arial" w:cs="arial"/>
          <w:i/>
          <w:color w:val="000000"/>
          <w:sz w:val="20"/>
          <w:lang w:val="en-US" w:eastAsia="en-US" w:bidi="ar-SA"/>
        </w:rPr>
        <w:t>after</w:t>
      </w:r>
      <w:r>
        <w:rPr>
          <w:rFonts w:ascii="arial" w:eastAsia="arial" w:hAnsi="arial" w:cs="arial"/>
          <w:color w:val="000000"/>
          <w:sz w:val="20"/>
          <w:lang w:val="en-US" w:eastAsia="en-US" w:bidi="ar-SA"/>
        </w:rPr>
        <w:t xml:space="preserve"> a donation is made - a self-imposed restriction as it were; and secondly, in my view it is likely that the Board saw no need to do this in relation to Binning House by reason of the Deed of Gift.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The simple question here is - did BHPS and TLC intend that the Deed of Gift having the meaning which it conveyed? In my view, nothing in TLC's post-Deed of Gift conduct is indicative of any contrary intent nor is it indicative of any "sham". I find as a fact that the intention of BHPS and TLC in executing the Deed of Gift was to reflect exactly what is stated in that document; namely, that TLC was to receive Binning House for the purpose of restoring, developing and preserving the Binning House as stated.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2477"/>
        <w:gridCol w:w="238"/>
        <w:gridCol w:w="6090"/>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18"/>
                <w:lang w:val="en-US" w:eastAsia="en-US" w:bidi="ar-SA"/>
              </w:rPr>
              <w:t>(E)</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18"/>
                <w:lang w:val="en-US" w:eastAsia="en-US" w:bidi="ar-SA"/>
              </w:rPr>
              <w:t>Was There Certainty Of Objects?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xml:space="preserve">  In terms of satisfying the requirement of certainty of objects, both the common law and the </w:t>
      </w:r>
      <w:r>
        <w:rPr>
          <w:rFonts w:ascii="arial" w:eastAsia="arial" w:hAnsi="arial" w:cs="arial"/>
          <w:i/>
          <w:color w:val="000000"/>
          <w:sz w:val="20"/>
          <w:lang w:val="en-US" w:eastAsia="en-US" w:bidi="ar-SA"/>
        </w:rPr>
        <w:t>CPPA</w:t>
      </w:r>
      <w:r>
        <w:rPr>
          <w:rFonts w:ascii="arial" w:eastAsia="arial" w:hAnsi="arial" w:cs="arial"/>
          <w:color w:val="000000"/>
          <w:sz w:val="20"/>
          <w:lang w:val="en-US" w:eastAsia="en-US" w:bidi="ar-SA"/>
        </w:rPr>
        <w:t xml:space="preserve"> (s. 1, definition of "charitable purpose") require that there be a purpose recognized at law as being charitable.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In the further alterative, TLC says that the purposes set out in the Deed of Gift, namely "restoring, developing and preserving the Binning House ... for historical purposes with a view to educating the public and commemorating the site", are not purposes recognized as "charitable" at law. Accordingly, TLC says there is no special purpose trust relating to the Binning House and that the gift comprised the full legal and beneficial title for TLC's general societal purposes.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xml:space="preserve">  A charitable purpose must benefit the public: </w:t>
      </w:r>
      <w:r>
        <w:rPr>
          <w:rFonts w:ascii="arial" w:eastAsia="arial" w:hAnsi="arial" w:cs="arial"/>
          <w:i/>
          <w:color w:val="000000"/>
          <w:sz w:val="20"/>
          <w:lang w:val="en-US" w:eastAsia="en-US" w:bidi="ar-SA"/>
        </w:rPr>
        <w:t>Waters</w:t>
      </w:r>
      <w:r>
        <w:rPr>
          <w:rFonts w:ascii="arial" w:eastAsia="arial" w:hAnsi="arial" w:cs="arial"/>
          <w:color w:val="000000"/>
          <w:sz w:val="20"/>
          <w:lang w:val="en-US" w:eastAsia="en-US" w:bidi="ar-SA"/>
        </w:rPr>
        <w:t xml:space="preserve"> at 679; </w:t>
      </w:r>
      <w:r>
        <w:rPr>
          <w:rFonts w:ascii="arial" w:eastAsia="arial" w:hAnsi="arial" w:cs="arial"/>
          <w:i/>
          <w:color w:val="000000"/>
          <w:sz w:val="20"/>
          <w:lang w:val="en-US" w:eastAsia="en-US" w:bidi="ar-SA"/>
        </w:rPr>
        <w:t>Vancouver Society of Immigrant and Visible Minority Women v. Canada (Minister of National Revenue)</w:t>
      </w:r>
      <w:r>
        <w:rPr>
          <w:rFonts w:ascii="arial" w:eastAsia="arial" w:hAnsi="arial" w:cs="arial"/>
          <w:color w:val="000000"/>
          <w:sz w:val="20"/>
          <w:lang w:val="en-US" w:eastAsia="en-US" w:bidi="ar-SA"/>
        </w:rPr>
        <w:t xml:space="preserve">, </w:t>
      </w:r>
      <w:hyperlink r:id="rId365" w:history="1">
        <w:r>
          <w:rPr>
            <w:rFonts w:ascii="arial" w:eastAsia="arial" w:hAnsi="arial" w:cs="arial"/>
            <w:i/>
            <w:color w:val="0077CC"/>
            <w:sz w:val="20"/>
            <w:u w:val="single"/>
            <w:shd w:val="clear" w:color="auto" w:fill="FFFFFF"/>
            <w:lang w:val="en-US" w:eastAsia="en-US" w:bidi="ar-SA"/>
          </w:rPr>
          <w:t>[1999] 1 S.C.R. 10</w:t>
        </w:r>
      </w:hyperlink>
      <w:r>
        <w:rPr>
          <w:rFonts w:ascii="arial" w:eastAsia="arial" w:hAnsi="arial" w:cs="arial"/>
          <w:color w:val="000000"/>
          <w:sz w:val="20"/>
          <w:lang w:val="en-US" w:eastAsia="en-US" w:bidi="ar-SA"/>
        </w:rPr>
        <w:t xml:space="preserve"> at paras. 41, 45-51, 148. In </w:t>
      </w:r>
      <w:r>
        <w:rPr>
          <w:rFonts w:ascii="arial" w:eastAsia="arial" w:hAnsi="arial" w:cs="arial"/>
          <w:i/>
          <w:color w:val="000000"/>
          <w:sz w:val="20"/>
          <w:lang w:val="en-US" w:eastAsia="en-US" w:bidi="ar-SA"/>
        </w:rPr>
        <w:t>Vancouver Society</w:t>
      </w:r>
      <w:r>
        <w:rPr>
          <w:rFonts w:ascii="arial" w:eastAsia="arial" w:hAnsi="arial" w:cs="arial"/>
          <w:color w:val="000000"/>
          <w:sz w:val="20"/>
          <w:lang w:val="en-US" w:eastAsia="en-US" w:bidi="ar-SA"/>
        </w:rPr>
        <w:t>, Gonthier J. for the minority further clarified that there are two components to a public benefit: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[41] ... [t]here must be an objectively measurable and socially useful </w:t>
      </w:r>
      <w:r>
        <w:rPr>
          <w:rFonts w:ascii="arial" w:eastAsia="arial" w:hAnsi="arial" w:cs="arial"/>
          <w:color w:val="000000"/>
          <w:sz w:val="20"/>
          <w:u w:val="single"/>
          <w:lang w:val="en-US" w:eastAsia="en-US" w:bidi="ar-SA"/>
        </w:rPr>
        <w:t>benefit</w:t>
      </w:r>
      <w:r>
        <w:rPr>
          <w:rFonts w:ascii="arial" w:eastAsia="arial" w:hAnsi="arial" w:cs="arial"/>
          <w:color w:val="000000"/>
          <w:sz w:val="20"/>
          <w:lang w:val="en-US" w:eastAsia="en-US" w:bidi="ar-SA"/>
        </w:rPr>
        <w:t xml:space="preserve"> conferred; and it must be a benefit available to a sufficiently large section of the population to be considered a public benefit.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Vancouver Society</w:t>
      </w:r>
      <w:r>
        <w:rPr>
          <w:rFonts w:ascii="arial" w:eastAsia="arial" w:hAnsi="arial" w:cs="arial"/>
          <w:color w:val="000000"/>
          <w:sz w:val="20"/>
          <w:lang w:val="en-US" w:eastAsia="en-US" w:bidi="ar-SA"/>
        </w:rPr>
        <w:t xml:space="preserve">, the entire court (majority of the court at para. 144) adopted the classification of four purposes recognized as charitable at common law in </w:t>
      </w:r>
      <w:r>
        <w:rPr>
          <w:rFonts w:ascii="arial" w:eastAsia="arial" w:hAnsi="arial" w:cs="arial"/>
          <w:i/>
          <w:color w:val="000000"/>
          <w:sz w:val="20"/>
          <w:lang w:val="en-US" w:eastAsia="en-US" w:bidi="ar-SA"/>
        </w:rPr>
        <w:t>Commissioners for Special Purposes of Income Tax v. Pemsel</w:t>
      </w:r>
      <w:r>
        <w:rPr>
          <w:rFonts w:ascii="arial" w:eastAsia="arial" w:hAnsi="arial" w:cs="arial"/>
          <w:color w:val="000000"/>
          <w:sz w:val="20"/>
          <w:lang w:val="en-US" w:eastAsia="en-US" w:bidi="ar-SA"/>
        </w:rPr>
        <w:t>, [1891] A.C. 531 (U.K.H.L.), as follows:</w:t>
      </w:r>
      <w:r>
        <w:rPr>
          <w:rFonts w:ascii="arial" w:eastAsia="arial" w:hAnsi="arial" w:cs="arial"/>
          <w:sz w:val="20"/>
          <w:lang w:val="en-US" w:eastAsia="en-US" w:bidi="ar-SA"/>
        </w:rPr>
        <w:cr/>
      </w:r>
    </w:p>
    <w:p>
      <w:pPr>
        <w:numPr>
          <w:numId w:val="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relief of poverty;</w:t>
      </w:r>
    </w:p>
    <w:p>
      <w:pPr>
        <w:numPr>
          <w:numId w:val="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advancement of education;</w:t>
      </w:r>
    </w:p>
    <w:p>
      <w:pPr>
        <w:numPr>
          <w:numId w:val="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advancement of religion;</w:t>
      </w:r>
    </w:p>
    <w:p>
      <w:pPr>
        <w:numPr>
          <w:numId w:val="6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for other purposes beneficial to the community, not falling under the preceding heads.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xml:space="preserve">  As the court in </w:t>
      </w:r>
      <w:r>
        <w:rPr>
          <w:rFonts w:ascii="arial" w:eastAsia="arial" w:hAnsi="arial" w:cs="arial"/>
          <w:i/>
          <w:color w:val="000000"/>
          <w:sz w:val="20"/>
          <w:lang w:val="en-US" w:eastAsia="en-US" w:bidi="ar-SA"/>
        </w:rPr>
        <w:t>Vancouver Society</w:t>
      </w:r>
      <w:r>
        <w:rPr>
          <w:rFonts w:ascii="arial" w:eastAsia="arial" w:hAnsi="arial" w:cs="arial"/>
          <w:color w:val="000000"/>
          <w:sz w:val="20"/>
          <w:lang w:val="en-US" w:eastAsia="en-US" w:bidi="ar-SA"/>
        </w:rPr>
        <w:t xml:space="preserve"> cautioned, one must be careful to distinguish between charitable </w:t>
      </w:r>
      <w:r>
        <w:rPr>
          <w:rFonts w:ascii="arial" w:eastAsia="arial" w:hAnsi="arial" w:cs="arial"/>
          <w:i/>
          <w:color w:val="000000"/>
          <w:sz w:val="20"/>
          <w:lang w:val="en-US" w:eastAsia="en-US" w:bidi="ar-SA"/>
        </w:rPr>
        <w:t>purposes</w:t>
      </w:r>
      <w:r>
        <w:rPr>
          <w:rFonts w:ascii="arial" w:eastAsia="arial" w:hAnsi="arial" w:cs="arial"/>
          <w:color w:val="000000"/>
          <w:sz w:val="20"/>
          <w:lang w:val="en-US" w:eastAsia="en-US" w:bidi="ar-SA"/>
        </w:rPr>
        <w:t xml:space="preserve"> and charitable </w:t>
      </w:r>
      <w:r>
        <w:rPr>
          <w:rFonts w:ascii="arial" w:eastAsia="arial" w:hAnsi="arial" w:cs="arial"/>
          <w:i/>
          <w:color w:val="000000"/>
          <w:sz w:val="20"/>
          <w:lang w:val="en-US" w:eastAsia="en-US" w:bidi="ar-SA"/>
        </w:rPr>
        <w:t>activities</w:t>
      </w:r>
      <w:r>
        <w:rPr>
          <w:rFonts w:ascii="arial" w:eastAsia="arial" w:hAnsi="arial" w:cs="arial"/>
          <w:color w:val="000000"/>
          <w:sz w:val="20"/>
          <w:lang w:val="en-US" w:eastAsia="en-US" w:bidi="ar-SA"/>
        </w:rPr>
        <w:t>. Looking at the Deed of Gift, it can be seen that the purposes are "historical purposes with a view to educating the public and commemorating the site" and in part, the activities by which those purposes are obtained are by "restoring, developing and preserving the Binning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The issues are firstly, whether such purposes come within the second category of "advancement of education" and secondly, whether such purposes come within the fourth category as "beneficial to the community", so as to constitute a charitable purpose at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xml:space="preserve">  Dealing with the first issue, the majority in </w:t>
      </w:r>
      <w:r>
        <w:rPr>
          <w:rFonts w:ascii="arial" w:eastAsia="arial" w:hAnsi="arial" w:cs="arial"/>
          <w:i/>
          <w:color w:val="000000"/>
          <w:sz w:val="20"/>
          <w:lang w:val="en-US" w:eastAsia="en-US" w:bidi="ar-SA"/>
        </w:rPr>
        <w:t>Vancouver Society</w:t>
      </w:r>
      <w:r>
        <w:rPr>
          <w:rFonts w:ascii="arial" w:eastAsia="arial" w:hAnsi="arial" w:cs="arial"/>
          <w:color w:val="000000"/>
          <w:sz w:val="20"/>
          <w:lang w:val="en-US" w:eastAsia="en-US" w:bidi="ar-SA"/>
        </w:rPr>
        <w:t xml:space="preserve"> adopts a more inclusive approach to education for the purpose of charity law than had previously been applied by Canadian courts to include "informal training initiatives, aimed at teaching necessary life skills or providing information toward a practical end, so long as these are truly geared at the training of the mind and not just the promotion of a particular point of view": para. 168. Both the majority (paras. 168-71) and the minority (para. 78) were cautious in circumscribing what activities come within this category. The whole court agreed that the "information or training is provided in a structured manner and for a genuinely educational purpose -- this is, to advance the knowledge or abilities of the recipients" (paras. 77, 169). Further, for the majority, Iacobucci J.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[171] ... the threshold criterion for an educational activity must be some legitimate, targeted attempt at educating others, whether through formal or informal instruction, training, plans of self-study, or otherwise. Simply providing an opportunity for people to educate themselves, such as by making available materials with which this might be accomplished but need not be, is not enough.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Vancouver Society</w:t>
      </w:r>
      <w:r>
        <w:rPr>
          <w:rFonts w:ascii="arial" w:eastAsia="arial" w:hAnsi="arial" w:cs="arial"/>
          <w:color w:val="000000"/>
          <w:sz w:val="20"/>
          <w:lang w:val="en-US" w:eastAsia="en-US" w:bidi="ar-SA"/>
        </w:rPr>
        <w:t xml:space="preserve">, the purpose of "educat[ing] members of the Community at large, including immigrant &amp; visible minority women, on the needs and concerns of immigrant &amp; visible minority women in Canada" was found to be a charitable purpose because of the commitment of the Society to "provide educational forums, classes, workshops and seminars" to enable its constituents to obtain employment. However, consistent with the views of the minority above, the majority in </w:t>
      </w:r>
      <w:r>
        <w:rPr>
          <w:rFonts w:ascii="arial" w:eastAsia="arial" w:hAnsi="arial" w:cs="arial"/>
          <w:i/>
          <w:color w:val="000000"/>
          <w:sz w:val="20"/>
          <w:lang w:val="en-US" w:eastAsia="en-US" w:bidi="ar-SA"/>
        </w:rPr>
        <w:t>Vancouver Society</w:t>
      </w:r>
      <w:r>
        <w:rPr>
          <w:rFonts w:ascii="arial" w:eastAsia="arial" w:hAnsi="arial" w:cs="arial"/>
          <w:color w:val="000000"/>
          <w:sz w:val="20"/>
          <w:lang w:val="en-US" w:eastAsia="en-US" w:bidi="ar-SA"/>
        </w:rPr>
        <w:t xml:space="preserve"> noted that, in the context of education, the class must be substantial, and the benefits cannot be provided exclusively to a class of private individuals defined only by their relationship to the organization (paras. 4, 174).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Even from TLC's point of view, there is no dispute that the Binning House was to be used for educational purposes. In its grant application from October 2010, TLC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TLC manages any particular site, we ensure that the site is accessible to the public by providing educational and recreational activities. TLC plans to use the B.C. Binning site to inspire and educate artists, architects, school children and other interested members of the West Vancouver community.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xml:space="preserve">  TLC also prepared a Conservation Plan for the Binning House in March 2012. In that document, TLC outlines its vision to preserve and manage "in perpetuity" the Binning House "as a cultural icon and asset relating to the West Coast Modernism movement". Consistent with its objectives, TLC, apparently mostly through the </w:t>
      </w:r>
      <w:r>
        <w:rPr>
          <w:rFonts w:ascii="arial" w:eastAsia="arial" w:hAnsi="arial" w:cs="arial"/>
          <w:i/>
          <w:color w:val="000000"/>
          <w:sz w:val="20"/>
          <w:lang w:val="en-US" w:eastAsia="en-US" w:bidi="ar-SA"/>
        </w:rPr>
        <w:t>ad hoc</w:t>
      </w:r>
      <w:r>
        <w:rPr>
          <w:rFonts w:ascii="arial" w:eastAsia="arial" w:hAnsi="arial" w:cs="arial"/>
          <w:color w:val="000000"/>
          <w:sz w:val="20"/>
          <w:lang w:val="en-US" w:eastAsia="en-US" w:bidi="ar-SA"/>
        </w:rPr>
        <w:t xml:space="preserve"> community group known as the "Binning House Advisory Committee", arranged for various public events at the Binning House including tours, social events, photo shoots, discussion groups and children's camps, all with a focus on art, design and architecture. In accordance with the Conservation Plan, TLC also indicated an intention to increase public use and programming through lectures, workshops, exhibitions and further tours.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The AG submits and I agree that the purpose in accordance with the Deed of Gift is to preserve Binning House for historical purposes and to educate the public about the architecture of that era and B.C. Binning's very important contribution to the birth of the West Coast modern architecture by his creation of the Binning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xml:space="preserve">  I was not referred by any counsel to any authorities where the preservation of a structure such as a house for such a purpose has been found to be a "charitable purpose". However, the reasoning in </w:t>
      </w:r>
      <w:r>
        <w:rPr>
          <w:rFonts w:ascii="arial" w:eastAsia="arial" w:hAnsi="arial" w:cs="arial"/>
          <w:i/>
          <w:color w:val="000000"/>
          <w:sz w:val="20"/>
          <w:lang w:val="en-US" w:eastAsia="en-US" w:bidi="ar-SA"/>
        </w:rPr>
        <w:t>Re Pinion</w:t>
      </w:r>
      <w:r>
        <w:rPr>
          <w:rFonts w:ascii="arial" w:eastAsia="arial" w:hAnsi="arial" w:cs="arial"/>
          <w:color w:val="000000"/>
          <w:sz w:val="20"/>
          <w:lang w:val="en-US" w:eastAsia="en-US" w:bidi="ar-SA"/>
        </w:rPr>
        <w:t>, [1964] 2 W.L.R. 919 (C.A.) is instructive. In that case, the testator had gifted his studio and its contents with the intention that it be open to the public as a museum. The issue arose as to whether the bequest was a valid charitable trust. The Court of Appeal did not disagree with the proposition that such a gift might constitute a charitable purpose in appropriate circumstances. However, the court resoundingly found that the objects comprised in this gift would do nothing to advance education in aesthetics or history. Harman L.J. was even more direct in stating at 928 that "no useful object [would] be served in foisting upon the public this mass of junk".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xml:space="preserve">  Even before </w:t>
      </w:r>
      <w:r>
        <w:rPr>
          <w:rFonts w:ascii="arial" w:eastAsia="arial" w:hAnsi="arial" w:cs="arial"/>
          <w:i/>
          <w:color w:val="000000"/>
          <w:sz w:val="20"/>
          <w:lang w:val="en-US" w:eastAsia="en-US" w:bidi="ar-SA"/>
        </w:rPr>
        <w:t>Vancouver Society</w:t>
      </w:r>
      <w:r>
        <w:rPr>
          <w:rFonts w:ascii="arial" w:eastAsia="arial" w:hAnsi="arial" w:cs="arial"/>
          <w:color w:val="000000"/>
          <w:sz w:val="20"/>
          <w:lang w:val="en-US" w:eastAsia="en-US" w:bidi="ar-SA"/>
        </w:rPr>
        <w:t xml:space="preserve">, Montgomery J. adopted an expansive view of "education" sufficient for charitable purposes in </w:t>
      </w:r>
      <w:r>
        <w:rPr>
          <w:rFonts w:ascii="arial" w:eastAsia="arial" w:hAnsi="arial" w:cs="arial"/>
          <w:i/>
          <w:color w:val="000000"/>
          <w:sz w:val="20"/>
          <w:lang w:val="en-US" w:eastAsia="en-US" w:bidi="ar-SA"/>
        </w:rPr>
        <w:t>Shapiro (Re)</w:t>
      </w:r>
      <w:r>
        <w:rPr>
          <w:rFonts w:ascii="arial" w:eastAsia="arial" w:hAnsi="arial" w:cs="arial"/>
          <w:color w:val="000000"/>
          <w:sz w:val="20"/>
          <w:lang w:val="en-US" w:eastAsia="en-US" w:bidi="ar-SA"/>
        </w:rPr>
        <w:t xml:space="preserve"> </w:t>
      </w:r>
      <w:hyperlink r:id="rId366" w:history="1">
        <w:r>
          <w:rPr>
            <w:rFonts w:ascii="arial" w:eastAsia="arial" w:hAnsi="arial" w:cs="arial"/>
            <w:i/>
            <w:color w:val="0077CC"/>
            <w:sz w:val="20"/>
            <w:u w:val="single"/>
            <w:shd w:val="clear" w:color="auto" w:fill="FFFFFF"/>
            <w:lang w:val="en-US" w:eastAsia="en-US" w:bidi="ar-SA"/>
          </w:rPr>
          <w:t>(1979), 27 O.R. (2d) 517</w:t>
        </w:r>
      </w:hyperlink>
      <w:r>
        <w:rPr>
          <w:rFonts w:ascii="arial" w:eastAsia="arial" w:hAnsi="arial" w:cs="arial"/>
          <w:color w:val="000000"/>
          <w:sz w:val="20"/>
          <w:lang w:val="en-US" w:eastAsia="en-US" w:bidi="ar-SA"/>
        </w:rPr>
        <w:t xml:space="preserve"> (H. Ct. J.). The court quoted Justice Vaisey in </w:t>
      </w:r>
      <w:r>
        <w:rPr>
          <w:rFonts w:ascii="arial" w:eastAsia="arial" w:hAnsi="arial" w:cs="arial"/>
          <w:i/>
          <w:color w:val="000000"/>
          <w:sz w:val="20"/>
          <w:lang w:val="en-US" w:eastAsia="en-US" w:bidi="ar-SA"/>
        </w:rPr>
        <w:t>Re Shaw's Will Trusts</w:t>
      </w:r>
      <w:r>
        <w:rPr>
          <w:rFonts w:ascii="arial" w:eastAsia="arial" w:hAnsi="arial" w:cs="arial"/>
          <w:color w:val="000000"/>
          <w:sz w:val="20"/>
          <w:lang w:val="en-US" w:eastAsia="en-US" w:bidi="ar-SA"/>
        </w:rPr>
        <w:t>, [1952] Ch. 163,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 think "education" includes ... not only teaching, but the promotion or encouragement of these arts and graces of life which are, after all, perhaps the finest and best part of the human character (</w:t>
      </w:r>
      <w:r>
        <w:rPr>
          <w:rFonts w:ascii="arial" w:eastAsia="arial" w:hAnsi="arial" w:cs="arial"/>
          <w:i/>
          <w:color w:val="000000"/>
          <w:sz w:val="20"/>
          <w:lang w:val="en-US" w:eastAsia="en-US" w:bidi="ar-SA"/>
        </w:rPr>
        <w:t>Shapiro (Re)</w:t>
      </w:r>
      <w:r>
        <w:rPr>
          <w:rFonts w:ascii="arial" w:eastAsia="arial" w:hAnsi="arial" w:cs="arial"/>
          <w:color w:val="000000"/>
          <w:sz w:val="20"/>
          <w:lang w:val="en-US" w:eastAsia="en-US" w:bidi="ar-SA"/>
        </w:rPr>
        <w:t xml:space="preserve"> at 519).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Of course, no one here has suggested that the Binning House and its contents are "junk". To the contrary, everyone, including TLC, acknowledges the significance of the property. It is inherently significant from an architectural point of view in terms of its design elements. Even beyond those elements, B.C. Binning's art is an integral part of the property. It is for these reasons, and no doubt others, that TLC described the Binning House as a "spectacular mix between art and architecture, among the first of its kind in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In the above circumstances, I have no hesitation in finding that the preservation of the Binning House for the purposes set out in the Deed of Gift comes within the purview of a "charitable purpose" relating to the advancement of education.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xml:space="preserve">  Given my conclusion above, it is not necessary to consider whether the purposes under the Deed of Gift come within the fourth category in </w:t>
      </w:r>
      <w:r>
        <w:rPr>
          <w:rFonts w:ascii="arial" w:eastAsia="arial" w:hAnsi="arial" w:cs="arial"/>
          <w:i/>
          <w:color w:val="000000"/>
          <w:sz w:val="20"/>
          <w:lang w:val="en-US" w:eastAsia="en-US" w:bidi="ar-SA"/>
        </w:rPr>
        <w:t>Pemsel</w:t>
      </w:r>
      <w:r>
        <w:rPr>
          <w:rFonts w:ascii="arial" w:eastAsia="arial" w:hAnsi="arial" w:cs="arial"/>
          <w:color w:val="000000"/>
          <w:sz w:val="20"/>
          <w:lang w:val="en-US" w:eastAsia="en-US" w:bidi="ar-SA"/>
        </w:rPr>
        <w:t xml:space="preserve">, namely another "purpose beneficial to the community not falling under the preceding heads". As stated by </w:t>
      </w:r>
      <w:r>
        <w:rPr>
          <w:rFonts w:ascii="arial" w:eastAsia="arial" w:hAnsi="arial" w:cs="arial"/>
          <w:i/>
          <w:color w:val="000000"/>
          <w:sz w:val="20"/>
          <w:lang w:val="en-US" w:eastAsia="en-US" w:bidi="ar-SA"/>
        </w:rPr>
        <w:t>Waters</w:t>
      </w:r>
      <w:r>
        <w:rPr>
          <w:rFonts w:ascii="arial" w:eastAsia="arial" w:hAnsi="arial" w:cs="arial"/>
          <w:color w:val="000000"/>
          <w:sz w:val="20"/>
          <w:lang w:val="en-US" w:eastAsia="en-US" w:bidi="ar-SA"/>
        </w:rPr>
        <w:t>, at 720, this encompasses purposes which are diverse in nature, where no particular purpose is dominant. Nevertheless, I will address this issue briefly.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xml:space="preserve">  As stated by </w:t>
      </w:r>
      <w:r>
        <w:rPr>
          <w:rFonts w:ascii="arial" w:eastAsia="arial" w:hAnsi="arial" w:cs="arial"/>
          <w:i/>
          <w:color w:val="000000"/>
          <w:sz w:val="20"/>
          <w:lang w:val="en-US" w:eastAsia="en-US" w:bidi="ar-SA"/>
        </w:rPr>
        <w:t>Waters</w:t>
      </w:r>
      <w:r>
        <w:rPr>
          <w:rFonts w:ascii="arial" w:eastAsia="arial" w:hAnsi="arial" w:cs="arial"/>
          <w:color w:val="000000"/>
          <w:sz w:val="20"/>
          <w:lang w:val="en-US" w:eastAsia="en-US" w:bidi="ar-SA"/>
        </w:rPr>
        <w:t xml:space="preserve"> at 721: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while each of the purposes in this miscellaneous class must be for the benefit of the public at large, or an appreciable section of the public, the purpose itself must have a nature or quality which conforms to the notion of charity derived from the 1601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xml:space="preserve">  In other words, the purpose must be beneficial in a way that trust law regards as "charitable". As the court noted in </w:t>
      </w:r>
      <w:r>
        <w:rPr>
          <w:rFonts w:ascii="arial" w:eastAsia="arial" w:hAnsi="arial" w:cs="arial"/>
          <w:i/>
          <w:color w:val="000000"/>
          <w:sz w:val="20"/>
          <w:lang w:val="en-US" w:eastAsia="en-US" w:bidi="ar-SA"/>
        </w:rPr>
        <w:t>Vancouver Society</w:t>
      </w:r>
      <w:r>
        <w:rPr>
          <w:rFonts w:ascii="arial" w:eastAsia="arial" w:hAnsi="arial" w:cs="arial"/>
          <w:color w:val="000000"/>
          <w:sz w:val="20"/>
          <w:lang w:val="en-US" w:eastAsia="en-US" w:bidi="ar-SA"/>
        </w:rPr>
        <w:t xml:space="preserve">, the requirement that the purpose benefit in a way the law regards as charitable is circular and not particularly helpful in determining what falls within this category (paras. 45, 177). Iacobucci J. adopted what he concluded was a useful approach from </w:t>
      </w:r>
      <w:r>
        <w:rPr>
          <w:rFonts w:ascii="arial" w:eastAsia="arial" w:hAnsi="arial" w:cs="arial"/>
          <w:i/>
          <w:color w:val="000000"/>
          <w:sz w:val="20"/>
          <w:lang w:val="en-US" w:eastAsia="en-US" w:bidi="ar-SA"/>
        </w:rPr>
        <w:t>D'Aguiar v. Guyana Commissioner of Inland Revenue</w:t>
      </w:r>
      <w:r>
        <w:rPr>
          <w:rFonts w:ascii="arial" w:eastAsia="arial" w:hAnsi="arial" w:cs="arial"/>
          <w:color w:val="000000"/>
          <w:sz w:val="20"/>
          <w:lang w:val="en-US" w:eastAsia="en-US" w:bidi="ar-SA"/>
        </w:rPr>
        <w:t>, [1970] T.R. 31 (P.C.) at 33: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must first consider the trend of those decisions which have established certain objects as charitable under this heading, and ask whether, by reasonable extension or analogy, the instant case may be considered to be in line with these. Secondly, it must examine certain accepted anomalies to see whether they fairly cover the objects under consideration. Thirdly -- and this is really a cross-check upon the others -- it must ask whether, consistently with the objects declared, the income and property in question can be applied for purposes clearly falling outside the scope of charity: if so, the argument for charity must fail (</w:t>
      </w:r>
      <w:r>
        <w:rPr>
          <w:rFonts w:ascii="arial" w:eastAsia="arial" w:hAnsi="arial" w:cs="arial"/>
          <w:i/>
          <w:color w:val="000000"/>
          <w:sz w:val="20"/>
          <w:lang w:val="en-US" w:eastAsia="en-US" w:bidi="ar-SA"/>
        </w:rPr>
        <w:t>Vancouver Society</w:t>
      </w:r>
      <w:r>
        <w:rPr>
          <w:rFonts w:ascii="arial" w:eastAsia="arial" w:hAnsi="arial" w:cs="arial"/>
          <w:color w:val="000000"/>
          <w:sz w:val="20"/>
          <w:lang w:val="en-US" w:eastAsia="en-US" w:bidi="ar-SA"/>
        </w:rPr>
        <w:t xml:space="preserve"> at para. 46).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xml:space="preserve">  Accordingly, courts have built upon the traditional heads of charity by way of "analogy upon analogy": </w:t>
      </w:r>
      <w:r>
        <w:rPr>
          <w:rFonts w:ascii="arial" w:eastAsia="arial" w:hAnsi="arial" w:cs="arial"/>
          <w:i/>
          <w:color w:val="000000"/>
          <w:sz w:val="20"/>
          <w:lang w:val="en-US" w:eastAsia="en-US" w:bidi="ar-SA"/>
        </w:rPr>
        <w:t>Waters</w:t>
      </w:r>
      <w:r>
        <w:rPr>
          <w:rFonts w:ascii="arial" w:eastAsia="arial" w:hAnsi="arial" w:cs="arial"/>
          <w:color w:val="000000"/>
          <w:sz w:val="20"/>
          <w:lang w:val="en-US" w:eastAsia="en-US" w:bidi="ar-SA"/>
        </w:rPr>
        <w:t xml:space="preserve"> at 731.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238</w:t>
      </w:r>
      <w:r>
        <w:rPr>
          <w:rFonts w:ascii="arial" w:eastAsia="arial" w:hAnsi="arial" w:cs="arial"/>
          <w:color w:val="000000"/>
          <w:sz w:val="20"/>
          <w:lang w:val="en-US" w:eastAsia="en-US" w:bidi="ar-SA"/>
        </w:rPr>
        <w:t>  TLC argues that "historical purposes" or "commemoration of a site" are vague concepts and their recognition as a specific charitable purpose that restricts TLC's rights to and dealings with the Binning House would go beyond "analogy upon analogy" with recognized charitable purposes. With respect though, these phrases are taken out of context and are not "stand alone" purposes in accordance with the Deed of Gift. Rather, they inform the overall purpose in the document which is stated to be preservation of the Binning House for the purposes of education of the public in terms of architecture and 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Save the Heritage Simpson Covenant Society</w:t>
      </w:r>
      <w:r>
        <w:rPr>
          <w:rFonts w:ascii="arial" w:eastAsia="arial" w:hAnsi="arial" w:cs="arial"/>
          <w:color w:val="000000"/>
          <w:sz w:val="20"/>
          <w:lang w:val="en-US" w:eastAsia="en-US" w:bidi="ar-SA"/>
        </w:rPr>
        <w:t>, the court found that a transfer of land for "municipal purposes" was sufficient to constitute a charitable purpose: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[120] By its ordinary meaning "municipal purposes" connotes the use of property for such things as a public library, a police station, a city hall, an arena, a convention centre, and a public museum or art gallery. All of these purposes, in my view, could be considered as charitable in nature. Any of these facilities promotes the welfare and wellbeing of the community as much as park land or a show ground. In the British text, </w:t>
      </w:r>
      <w:r>
        <w:rPr>
          <w:rFonts w:ascii="arial" w:eastAsia="arial" w:hAnsi="arial" w:cs="arial"/>
          <w:i/>
          <w:color w:val="000000"/>
          <w:sz w:val="20"/>
          <w:lang w:val="en-US" w:eastAsia="en-US" w:bidi="ar-SA"/>
        </w:rPr>
        <w:t>Tudor on Charities</w:t>
      </w:r>
      <w:r>
        <w:rPr>
          <w:rFonts w:ascii="arial" w:eastAsia="arial" w:hAnsi="arial" w:cs="arial"/>
          <w:color w:val="000000"/>
          <w:sz w:val="20"/>
          <w:lang w:val="en-US" w:eastAsia="en-US" w:bidi="ar-SA"/>
        </w:rPr>
        <w:t>, 6th ed. (London: Sweet &amp; Maxwell, 1967) at pp. 85 to 87, the authors note that trusts for achieving objects of general public utility such as museums, libraries, public halls, reading rooms and an observatory, to which the general public have access as of right, have all been held to be charitable purposes. In my view, if characterizing the Simpson Covenants as describing a charitable purpose is regarded as a development of the law defining charitable purpose, I find it is only a permissible, incremental change and not a large step requiring legislative approval.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240</w:t>
      </w:r>
      <w:r>
        <w:rPr>
          <w:rFonts w:ascii="arial" w:eastAsia="arial" w:hAnsi="arial" w:cs="arial"/>
          <w:color w:val="000000"/>
          <w:sz w:val="20"/>
          <w:lang w:val="en-US" w:eastAsia="en-US" w:bidi="ar-SA"/>
        </w:rPr>
        <w:t>  I see no difference between a charitable purpose in setting up a museum to house historical objects as opposed to one setting up Binning House which itself is an historical object, as discussed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241</w:t>
      </w:r>
      <w:r>
        <w:rPr>
          <w:rFonts w:ascii="arial" w:eastAsia="arial" w:hAnsi="arial" w:cs="arial"/>
          <w:color w:val="000000"/>
          <w:sz w:val="20"/>
          <w:lang w:val="en-US" w:eastAsia="en-US" w:bidi="ar-SA"/>
        </w:rPr>
        <w:t>  TLC argues further that preservation of heritage-designated properties as a charitable purpose at law could have significant and far-reaching implications for numerous private individuals or organizations who own heritage-designated properties, both in terms of tax status and beneficial ownership. I do not, however, see any merit to this "slippery slope" argument. Not every old house and efforts to preserve that old house will attract consideration of these concepts. Many people in a variety of contexts take particular care to preserve heritage houses. But true charitable purposes will, as discussed above, depend on intentions to benefit the public and the nature of the charitable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242</w:t>
      </w:r>
      <w:r>
        <w:rPr>
          <w:rFonts w:ascii="arial" w:eastAsia="arial" w:hAnsi="arial" w:cs="arial"/>
          <w:color w:val="000000"/>
          <w:sz w:val="20"/>
          <w:lang w:val="en-US" w:eastAsia="en-US" w:bidi="ar-SA"/>
        </w:rPr>
        <w:t xml:space="preserve">  I conclude that the purposes set out in the Deed of Gift are charitable within the meaning of the fourth category from </w:t>
      </w:r>
      <w:r>
        <w:rPr>
          <w:rFonts w:ascii="arial" w:eastAsia="arial" w:hAnsi="arial" w:cs="arial"/>
          <w:i/>
          <w:color w:val="000000"/>
          <w:sz w:val="20"/>
          <w:lang w:val="en-US" w:eastAsia="en-US" w:bidi="ar-SA"/>
        </w:rPr>
        <w:t>Pemsel</w:t>
      </w:r>
      <w:r>
        <w:rPr>
          <w:rFonts w:ascii="arial" w:eastAsia="arial" w:hAnsi="arial" w:cs="arial"/>
          <w:color w:val="000000"/>
          <w:sz w:val="20"/>
          <w:lang w:val="en-US" w:eastAsia="en-US" w:bidi="ar-SA"/>
        </w:rPr>
        <w:t xml:space="preserve"> as a purpose "beneficial to the community".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243</w:t>
      </w:r>
      <w:r>
        <w:rPr>
          <w:rFonts w:ascii="arial" w:eastAsia="arial" w:hAnsi="arial" w:cs="arial"/>
          <w:color w:val="000000"/>
          <w:sz w:val="20"/>
          <w:lang w:val="en-US" w:eastAsia="en-US" w:bidi="ar-SA"/>
        </w:rPr>
        <w:t>  It is somewhat odd that TLC's own activities are in direct conflict with its submissions in this regard. TLC has three other properties - Ross Bay Villa, Abkhazi Garden and the Keating Farm Estate - which all involve TLC's efforts to preserve various heritage buildings on Vancouver Island. TLC no doubt would argue that its purpose in maintaining these properties is in accordance with its overall "charitable" purposes. As with these properties, the preservation of the Binning House can be considered as coming within TLC's general charitable purpose per para. 2(a) of its Constitution by "improv[ing] the education, health and welfare of the general public and to benefit the community as a whole by the ... preservation ... of ... areas of ... historical, cultural, ...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244</w:t>
      </w:r>
      <w:r>
        <w:rPr>
          <w:rFonts w:ascii="arial" w:eastAsia="arial" w:hAnsi="arial" w:cs="arial"/>
          <w:color w:val="000000"/>
          <w:sz w:val="20"/>
          <w:lang w:val="en-US" w:eastAsia="en-US" w:bidi="ar-SA"/>
        </w:rPr>
        <w:t xml:space="preserve">  On a final note, as the AG points out, even if one could conclude that some aspects of the purposes under the Deed of Gift were "non-charitable" in nature, if a charitable purpose is linked conjunctively or disjunctively with a non-charitable purpose, the gift, devise or bequest is not invalid but operates only for the benefit of the charitable purpose: </w:t>
      </w:r>
      <w:r>
        <w:rPr>
          <w:rFonts w:ascii="arial" w:eastAsia="arial" w:hAnsi="arial" w:cs="arial"/>
          <w:i/>
          <w:color w:val="000000"/>
          <w:sz w:val="20"/>
          <w:lang w:val="en-US" w:eastAsia="en-US" w:bidi="ar-SA"/>
        </w:rPr>
        <w:t>Law and Equity Act</w:t>
      </w:r>
      <w:r>
        <w:rPr>
          <w:rFonts w:ascii="arial" w:eastAsia="arial" w:hAnsi="arial" w:cs="arial"/>
          <w:color w:val="000000"/>
          <w:sz w:val="20"/>
          <w:lang w:val="en-US" w:eastAsia="en-US" w:bidi="ar-SA"/>
        </w:rPr>
        <w:t xml:space="preserve">, </w:t>
      </w:r>
      <w:hyperlink r:id="rId367" w:history="1">
        <w:r>
          <w:rPr>
            <w:rFonts w:ascii="arial" w:eastAsia="arial" w:hAnsi="arial" w:cs="arial"/>
            <w:i/>
            <w:color w:val="0077CC"/>
            <w:sz w:val="20"/>
            <w:u w:val="single"/>
            <w:shd w:val="clear" w:color="auto" w:fill="FFFFFF"/>
            <w:lang w:val="en-US" w:eastAsia="en-US" w:bidi="ar-SA"/>
          </w:rPr>
          <w:t>R.S.B.C. 1996 c. 253, s. 47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2477"/>
        <w:gridCol w:w="238"/>
        <w:gridCol w:w="6090"/>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18"/>
                <w:lang w:val="en-US" w:eastAsia="en-US" w:bidi="ar-SA"/>
              </w:rPr>
              <w:t>(F)</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18"/>
                <w:lang w:val="en-US" w:eastAsia="en-US" w:bidi="ar-SA"/>
              </w:rPr>
              <w:t>Did the Trust Cease to Apply?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245</w:t>
      </w:r>
      <w:r>
        <w:rPr>
          <w:rFonts w:ascii="arial" w:eastAsia="arial" w:hAnsi="arial" w:cs="arial"/>
          <w:color w:val="000000"/>
          <w:sz w:val="20"/>
          <w:lang w:val="en-US" w:eastAsia="en-US" w:bidi="ar-SA"/>
        </w:rPr>
        <w:t xml:space="preserve">  TLC next argues that even if a specific purpose trust was imposed at the time BHPS transferred the Binning House TLC, the trust ceased to apply in accordance with the </w:t>
      </w:r>
      <w:r>
        <w:rPr>
          <w:rFonts w:ascii="arial" w:eastAsia="arial" w:hAnsi="arial" w:cs="arial"/>
          <w:i/>
          <w:color w:val="000000"/>
          <w:sz w:val="20"/>
          <w:lang w:val="en-US" w:eastAsia="en-US" w:bidi="ar-SA"/>
        </w:rPr>
        <w:t>CPPA</w:t>
      </w:r>
      <w:r>
        <w:rPr>
          <w:rFonts w:ascii="arial" w:eastAsia="arial" w:hAnsi="arial" w:cs="arial"/>
          <w:color w:val="000000"/>
          <w:sz w:val="20"/>
          <w:lang w:val="en-US" w:eastAsia="en-US" w:bidi="ar-SA"/>
        </w:rPr>
        <w:t xml:space="preserve"> as the Binning House was not utilized by TLC to further the specific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246</w:t>
      </w:r>
      <w:r>
        <w:rPr>
          <w:rFonts w:ascii="arial" w:eastAsia="arial" w:hAnsi="arial" w:cs="arial"/>
          <w:color w:val="000000"/>
          <w:sz w:val="20"/>
          <w:lang w:val="en-US" w:eastAsia="en-US" w:bidi="ar-SA"/>
        </w:rPr>
        <w:t xml:space="preserve">  TLC refers to the provisions in s. 2(1) of the </w:t>
      </w:r>
      <w:r>
        <w:rPr>
          <w:rFonts w:ascii="arial" w:eastAsia="arial" w:hAnsi="arial" w:cs="arial"/>
          <w:i/>
          <w:color w:val="000000"/>
          <w:sz w:val="20"/>
          <w:lang w:val="en-US" w:eastAsia="en-US" w:bidi="ar-SA"/>
        </w:rPr>
        <w:t>CPPA</w:t>
      </w:r>
      <w:r>
        <w:rPr>
          <w:rFonts w:ascii="arial" w:eastAsia="arial" w:hAnsi="arial" w:cs="arial"/>
          <w:color w:val="000000"/>
          <w:sz w:val="20"/>
          <w:lang w:val="en-US" w:eastAsia="en-US" w:bidi="ar-SA"/>
        </w:rPr>
        <w:t xml:space="preserve"> which provide that property is discrete purpose charitable property "</w:t>
      </w:r>
      <w:r>
        <w:rPr>
          <w:rFonts w:ascii="arial" w:eastAsia="arial" w:hAnsi="arial" w:cs="arial"/>
          <w:color w:val="000000"/>
          <w:sz w:val="20"/>
          <w:u w:val="single"/>
          <w:lang w:val="en-US" w:eastAsia="en-US" w:bidi="ar-SA"/>
        </w:rPr>
        <w:t>if and for so long as</w:t>
      </w:r>
      <w:r>
        <w:rPr>
          <w:rFonts w:ascii="arial" w:eastAsia="arial" w:hAnsi="arial" w:cs="arial"/>
          <w:color w:val="000000"/>
          <w:sz w:val="20"/>
          <w:lang w:val="en-US" w:eastAsia="en-US" w:bidi="ar-SA"/>
        </w:rPr>
        <w:t xml:space="preserve"> that property is kept, administered and used in accordance with the intention [of the donor in s. 2(1)(c)]" [emphasis added], namely, keeping the property separate from other property and using the property exclusively to advance the specified charitable purpose. Further, provisions in the </w:t>
      </w:r>
      <w:r>
        <w:rPr>
          <w:rFonts w:ascii="arial" w:eastAsia="arial" w:hAnsi="arial" w:cs="arial"/>
          <w:i/>
          <w:color w:val="000000"/>
          <w:sz w:val="20"/>
          <w:lang w:val="en-US" w:eastAsia="en-US" w:bidi="ar-SA"/>
        </w:rPr>
        <w:t>CPPA</w:t>
      </w:r>
      <w:r>
        <w:rPr>
          <w:rFonts w:ascii="arial" w:eastAsia="arial" w:hAnsi="arial" w:cs="arial"/>
          <w:color w:val="000000"/>
          <w:sz w:val="20"/>
          <w:lang w:val="en-US" w:eastAsia="en-US" w:bidi="ar-SA"/>
        </w:rPr>
        <w:t xml:space="preserve"> which track this same language include: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 1) Property that is discrete purpose charitable property retains its character as discrete purpose charitable property </w:t>
      </w:r>
      <w:r>
        <w:rPr>
          <w:rFonts w:ascii="arial" w:eastAsia="arial" w:hAnsi="arial" w:cs="arial"/>
          <w:color w:val="000000"/>
          <w:sz w:val="20"/>
          <w:u w:val="single"/>
          <w:lang w:val="en-US" w:eastAsia="en-US" w:bidi="ar-SA"/>
        </w:rPr>
        <w:t>if and for so long as the property is kept, administered and used</w:t>
      </w:r>
    </w:p>
    <w:p>
      <w:pPr>
        <w:numPr>
          <w:numId w:val="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accordance with the intention of the donor of the property referred to in section 2 (1) (c) or, if the court has made an order in respect of the property under subsection (4) of this section or under section 4 (1) (b), in accordance with the intention expressed in that order, and</w:t>
      </w:r>
    </w:p>
    <w:p>
      <w:pPr>
        <w:numPr>
          <w:numId w:val="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without limiting paragraph (a) of this subsection, exclusively for the advancement of the discrete purpose.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Finally, this same phrase is found in s. 3(5)(a) and 4(2)(c) which address situations where the court orders a new charity to hold the discrete purpose charitable property in certain circumstances where the original charity is unwilling or unable to continue or in the event that the court allows a transfer from the original charity upon bankruptcy/receivership or winding-up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247</w:t>
      </w:r>
      <w:r>
        <w:rPr>
          <w:rFonts w:ascii="arial" w:eastAsia="arial" w:hAnsi="arial" w:cs="arial"/>
          <w:color w:val="000000"/>
          <w:sz w:val="20"/>
          <w:lang w:val="en-US" w:eastAsia="en-US" w:bidi="ar-SA"/>
        </w:rPr>
        <w:t xml:space="preserve">  TLC contends that the legislation must be interpreted on the presumption that the legislature intended to avoid superfluous or meaningless words: Ruth Sullivan, </w:t>
      </w:r>
      <w:r>
        <w:rPr>
          <w:rFonts w:ascii="arial" w:eastAsia="arial" w:hAnsi="arial" w:cs="arial"/>
          <w:i/>
          <w:color w:val="000000"/>
          <w:sz w:val="20"/>
          <w:lang w:val="en-US" w:eastAsia="en-US" w:bidi="ar-SA"/>
        </w:rPr>
        <w:t>Sullivan on the Construction of Statutes</w:t>
      </w:r>
      <w:r>
        <w:rPr>
          <w:rFonts w:ascii="arial" w:eastAsia="arial" w:hAnsi="arial" w:cs="arial"/>
          <w:color w:val="000000"/>
          <w:sz w:val="20"/>
          <w:lang w:val="en-US" w:eastAsia="en-US" w:bidi="ar-SA"/>
        </w:rPr>
        <w:t>, 5th ed. (Markham: LexisNexis, 2008) at 210-14.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248</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CPPA</w:t>
      </w:r>
      <w:r>
        <w:rPr>
          <w:rFonts w:ascii="arial" w:eastAsia="arial" w:hAnsi="arial" w:cs="arial"/>
          <w:color w:val="000000"/>
          <w:sz w:val="20"/>
          <w:lang w:val="en-US" w:eastAsia="en-US" w:bidi="ar-SA"/>
        </w:rPr>
        <w:t xml:space="preserve"> was clearly a legislative response to the uncertainty that arose as to the eligibility of specific assets in the hands of a charity, arising from the results from the Ontario and British Columbia litigation in </w:t>
      </w:r>
      <w:r>
        <w:rPr>
          <w:rFonts w:ascii="arial" w:eastAsia="arial" w:hAnsi="arial" w:cs="arial"/>
          <w:i/>
          <w:color w:val="000000"/>
          <w:sz w:val="20"/>
          <w:lang w:val="en-US" w:eastAsia="en-US" w:bidi="ar-SA"/>
        </w:rPr>
        <w:t>Christian Brothers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Rowland</w:t>
      </w:r>
      <w:r>
        <w:rPr>
          <w:rFonts w:ascii="arial" w:eastAsia="arial" w:hAnsi="arial" w:cs="arial"/>
          <w:color w:val="000000"/>
          <w:sz w:val="20"/>
          <w:lang w:val="en-US" w:eastAsia="en-US" w:bidi="ar-SA"/>
        </w:rPr>
        <w:t xml:space="preserve">. At the second reading of the bill, the Honourable G. Collins stated that the </w:t>
      </w:r>
      <w:r>
        <w:rPr>
          <w:rFonts w:ascii="arial" w:eastAsia="arial" w:hAnsi="arial" w:cs="arial"/>
          <w:i/>
          <w:color w:val="000000"/>
          <w:sz w:val="20"/>
          <w:lang w:val="en-US" w:eastAsia="en-US" w:bidi="ar-SA"/>
        </w:rPr>
        <w:t>CPPA</w:t>
      </w:r>
      <w:r>
        <w:rPr>
          <w:rFonts w:ascii="arial" w:eastAsia="arial" w:hAnsi="arial" w:cs="arial"/>
          <w:color w:val="000000"/>
          <w:sz w:val="20"/>
          <w:lang w:val="en-US" w:eastAsia="en-US" w:bidi="ar-SA"/>
        </w:rPr>
        <w:t xml:space="preserve"> was: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designed to ensure that money or other property that is given by a charitable donor to a charitable organization for a specific charitable purpose will be preserved exclusively for that charitable purpose. The act will ensure that the donation will be protected from being used to satisfy the debts, liabilities or other legal obligations of the charitable organization other than those incurred in the performance of that purpose.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purpose of this act is to allow a charitable donor and a charitable organization to know when and how a charitable donation is to be preserved exclusively for the charitable purpose specified by the donor.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act is also intended to establish a fair balance between the interests of donors and charitable organizations on one hand, who want to ensure that the gifts are used for the purposes for which they were given, and the interests of creditors and tort claimants of the organization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act strikes this balance by providing a set of rules which set out the particular circumstances under which donors and charitable organizations may be assured that specific-purpose charitable gifts will be immunized against seizure or attachment to satisfy unrelated debts or liabilities of the charitable organization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See British Columbia, Legislative Assembly, </w:t>
      </w:r>
      <w:r>
        <w:rPr>
          <w:rFonts w:ascii="arial" w:eastAsia="arial" w:hAnsi="arial" w:cs="arial"/>
          <w:i/>
          <w:color w:val="000000"/>
          <w:sz w:val="20"/>
          <w:lang w:val="en-US" w:eastAsia="en-US" w:bidi="ar-SA"/>
        </w:rPr>
        <w:t>Hansard</w:t>
      </w:r>
      <w:r>
        <w:rPr>
          <w:rFonts w:ascii="arial" w:eastAsia="arial" w:hAnsi="arial" w:cs="arial"/>
          <w:color w:val="000000"/>
          <w:sz w:val="20"/>
          <w:lang w:val="en-US" w:eastAsia="en-US" w:bidi="ar-SA"/>
        </w:rPr>
        <w:t xml:space="preserve"> 37th Parl., 5th Sess., Vol. 26 No. 9 (18 October 2004) at 11521.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249</w:t>
      </w:r>
      <w:r>
        <w:rPr>
          <w:rFonts w:ascii="arial" w:eastAsia="arial" w:hAnsi="arial" w:cs="arial"/>
          <w:color w:val="000000"/>
          <w:sz w:val="20"/>
          <w:lang w:val="en-US" w:eastAsia="en-US" w:bidi="ar-SA"/>
        </w:rPr>
        <w:t xml:space="preserve">  TLC relies on this particular phrase because at the third reading of the bill, the Honourable G. Plant, then the Attorney General of British Columbia, moved to amend section 3(1) of the </w:t>
      </w:r>
      <w:r>
        <w:rPr>
          <w:rFonts w:ascii="arial" w:eastAsia="arial" w:hAnsi="arial" w:cs="arial"/>
          <w:i/>
          <w:color w:val="000000"/>
          <w:sz w:val="20"/>
          <w:lang w:val="en-US" w:eastAsia="en-US" w:bidi="ar-SA"/>
        </w:rPr>
        <w:t>CPPA</w:t>
      </w:r>
      <w:r>
        <w:rPr>
          <w:rFonts w:ascii="arial" w:eastAsia="arial" w:hAnsi="arial" w:cs="arial"/>
          <w:color w:val="000000"/>
          <w:sz w:val="20"/>
          <w:lang w:val="en-US" w:eastAsia="en-US" w:bidi="ar-SA"/>
        </w:rPr>
        <w:t xml:space="preserve"> by deleting "A charity holding discrete purpose charitable property </w:t>
      </w:r>
      <w:r>
        <w:rPr>
          <w:rFonts w:ascii="arial" w:eastAsia="arial" w:hAnsi="arial" w:cs="arial"/>
          <w:i/>
          <w:color w:val="000000"/>
          <w:sz w:val="20"/>
          <w:u w:val="single"/>
          <w:lang w:val="en-US" w:eastAsia="en-US" w:bidi="ar-SA"/>
        </w:rPr>
        <w:t>must</w:t>
      </w:r>
      <w:r>
        <w:rPr>
          <w:rFonts w:ascii="arial" w:eastAsia="arial" w:hAnsi="arial" w:cs="arial"/>
          <w:color w:val="000000"/>
          <w:sz w:val="20"/>
          <w:lang w:val="en-US" w:eastAsia="en-US" w:bidi="ar-SA"/>
        </w:rPr>
        <w:t xml:space="preserve"> keep, administer and use the property" and substituting "Property that is discrete purpose charitable property retains its character as discrete purpose charitable property </w:t>
      </w:r>
      <w:r>
        <w:rPr>
          <w:rFonts w:ascii="arial" w:eastAsia="arial" w:hAnsi="arial" w:cs="arial"/>
          <w:i/>
          <w:color w:val="000000"/>
          <w:sz w:val="20"/>
          <w:u w:val="single"/>
          <w:lang w:val="en-US" w:eastAsia="en-US" w:bidi="ar-SA"/>
        </w:rPr>
        <w:t>if and for so long as</w:t>
      </w:r>
      <w:r>
        <w:rPr>
          <w:rFonts w:ascii="arial" w:eastAsia="arial" w:hAnsi="arial" w:cs="arial"/>
          <w:color w:val="000000"/>
          <w:sz w:val="20"/>
          <w:lang w:val="en-US" w:eastAsia="en-US" w:bidi="ar-SA"/>
        </w:rPr>
        <w:t xml:space="preserve"> the property is kept, administered and used" [emphasis added]. See British Columbia, Legislative Assembly, </w:t>
      </w:r>
      <w:r>
        <w:rPr>
          <w:rFonts w:ascii="arial" w:eastAsia="arial" w:hAnsi="arial" w:cs="arial"/>
          <w:i/>
          <w:color w:val="000000"/>
          <w:sz w:val="20"/>
          <w:lang w:val="en-US" w:eastAsia="en-US" w:bidi="ar-SA"/>
        </w:rPr>
        <w:t>Hansard</w:t>
      </w:r>
      <w:r>
        <w:rPr>
          <w:rFonts w:ascii="arial" w:eastAsia="arial" w:hAnsi="arial" w:cs="arial"/>
          <w:color w:val="000000"/>
          <w:sz w:val="20"/>
          <w:lang w:val="en-US" w:eastAsia="en-US" w:bidi="ar-SA"/>
        </w:rPr>
        <w:t xml:space="preserve"> 37th Parl., 5th Sess., Vol. 26 No. 12 (20 October 2004) at 11618.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250</w:t>
      </w:r>
      <w:r>
        <w:rPr>
          <w:rFonts w:ascii="arial" w:eastAsia="arial" w:hAnsi="arial" w:cs="arial"/>
          <w:color w:val="000000"/>
          <w:sz w:val="20"/>
          <w:lang w:val="en-US" w:eastAsia="en-US" w:bidi="ar-SA"/>
        </w:rPr>
        <w:t xml:space="preserve">  As I have stated earlier in these reasons, I have accepted that in accordance with the Deed of Gift, TLC accepted the Binning House as "discrete purpose charitable property" in accordance with BHPS' intention that it be used for the purpose of preserving it rather than to support TLC's general charitable efforts. Over the last five years, TLC has done just that; namely, TLC has used it for that specific purpose. In addition, as stated above, there is no doubt that the Binning House remains a discrete property (or "corpus" per Braidwood J.A. in </w:t>
      </w:r>
      <w:r>
        <w:rPr>
          <w:rFonts w:ascii="arial" w:eastAsia="arial" w:hAnsi="arial" w:cs="arial"/>
          <w:i/>
          <w:color w:val="000000"/>
          <w:sz w:val="20"/>
          <w:lang w:val="en-US" w:eastAsia="en-US" w:bidi="ar-SA"/>
        </w:rPr>
        <w:t>Rowland</w:t>
      </w:r>
      <w:r>
        <w:rPr>
          <w:rFonts w:ascii="arial" w:eastAsia="arial" w:hAnsi="arial" w:cs="arial"/>
          <w:color w:val="000000"/>
          <w:sz w:val="20"/>
          <w:lang w:val="en-US" w:eastAsia="en-US" w:bidi="ar-SA"/>
        </w:rPr>
        <w:t xml:space="preserve"> (BCCA)). Therefore, no issue arises in respect of TLC no longer keeping the property in accordance with BHPS' intention per the Deed of Gift.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251</w:t>
      </w:r>
      <w:r>
        <w:rPr>
          <w:rFonts w:ascii="arial" w:eastAsia="arial" w:hAnsi="arial" w:cs="arial"/>
          <w:color w:val="000000"/>
          <w:sz w:val="20"/>
          <w:lang w:val="en-US" w:eastAsia="en-US" w:bidi="ar-SA"/>
        </w:rPr>
        <w:t>  Further, the manner in which the accounting relating to the Binning House was kept does not change that salient fact. Nor does it matter that TLC has not completed significant and expensive structural work which seems to be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252</w:t>
      </w:r>
      <w:r>
        <w:rPr>
          <w:rFonts w:ascii="arial" w:eastAsia="arial" w:hAnsi="arial" w:cs="arial"/>
          <w:color w:val="000000"/>
          <w:sz w:val="20"/>
          <w:lang w:val="en-US" w:eastAsia="en-US" w:bidi="ar-SA"/>
        </w:rPr>
        <w:t xml:space="preserve">  It is not necessary to decide what circumstances may come within the meaning of the phrase "if and for long as ...". In that regard, and without deciding the point, it may apply to situations where the corpus of the trust property has been dissipated or become so intermingled with other assets that its identity as trust property has been lost. For example, in this case, a potential argument arises in respect of whether rental amounts received from the warden are potentially "returns" as that is defined in the </w:t>
      </w:r>
      <w:r>
        <w:rPr>
          <w:rFonts w:ascii="arial" w:eastAsia="arial" w:hAnsi="arial" w:cs="arial"/>
          <w:i/>
          <w:color w:val="000000"/>
          <w:sz w:val="20"/>
          <w:lang w:val="en-US" w:eastAsia="en-US" w:bidi="ar-SA"/>
        </w:rPr>
        <w:t>CPPA</w:t>
      </w:r>
      <w:r>
        <w:rPr>
          <w:rFonts w:ascii="arial" w:eastAsia="arial" w:hAnsi="arial" w:cs="arial"/>
          <w:color w:val="000000"/>
          <w:sz w:val="20"/>
          <w:lang w:val="en-US" w:eastAsia="en-US" w:bidi="ar-SA"/>
        </w:rPr>
        <w:t xml:space="preserve"> and if so, whether they are included within the definition of "discrete purpose charitable property". However, no issue has been raised on this application concerning those rental amounts which may be explained by the fact that the cost of dealing with the Binning House has far exceeded such amounts.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253</w:t>
      </w:r>
      <w:r>
        <w:rPr>
          <w:rFonts w:ascii="arial" w:eastAsia="arial" w:hAnsi="arial" w:cs="arial"/>
          <w:color w:val="000000"/>
          <w:sz w:val="20"/>
          <w:lang w:val="en-US" w:eastAsia="en-US" w:bidi="ar-SA"/>
        </w:rPr>
        <w:t xml:space="preserve">  However, reading the </w:t>
      </w:r>
      <w:r>
        <w:rPr>
          <w:rFonts w:ascii="arial" w:eastAsia="arial" w:hAnsi="arial" w:cs="arial"/>
          <w:i/>
          <w:color w:val="000000"/>
          <w:sz w:val="20"/>
          <w:lang w:val="en-US" w:eastAsia="en-US" w:bidi="ar-SA"/>
        </w:rPr>
        <w:t>CPPA</w:t>
      </w:r>
      <w:r>
        <w:rPr>
          <w:rFonts w:ascii="arial" w:eastAsia="arial" w:hAnsi="arial" w:cs="arial"/>
          <w:color w:val="000000"/>
          <w:sz w:val="20"/>
          <w:lang w:val="en-US" w:eastAsia="en-US" w:bidi="ar-SA"/>
        </w:rPr>
        <w:t xml:space="preserve"> as a whole, I can see no legislative intent in support of the argument that a trustee holding "discrete purpose charitable property" may avoid its future obligations under the trust by simply dealing with the trust property contrary to the terms of the trust. In fact, my view is that such an interpretation would be completely contrary to the legislative intent found in the </w:t>
      </w:r>
      <w:r>
        <w:rPr>
          <w:rFonts w:ascii="arial" w:eastAsia="arial" w:hAnsi="arial" w:cs="arial"/>
          <w:i/>
          <w:color w:val="000000"/>
          <w:sz w:val="20"/>
          <w:lang w:val="en-US" w:eastAsia="en-US" w:bidi="ar-SA"/>
        </w:rPr>
        <w:t>CPPA</w:t>
      </w:r>
      <w:r>
        <w:rPr>
          <w:rFonts w:ascii="arial" w:eastAsia="arial" w:hAnsi="arial" w:cs="arial"/>
          <w:color w:val="000000"/>
          <w:sz w:val="20"/>
          <w:lang w:val="en-US" w:eastAsia="en-US" w:bidi="ar-SA"/>
        </w:rPr>
        <w:t>, which seeks to ensure that gifts are used for the specified charitable purposes.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254</w:t>
      </w:r>
      <w:r>
        <w:rPr>
          <w:rFonts w:ascii="arial" w:eastAsia="arial" w:hAnsi="arial" w:cs="arial"/>
          <w:color w:val="000000"/>
          <w:sz w:val="20"/>
          <w:lang w:val="en-US" w:eastAsia="en-US" w:bidi="ar-SA"/>
        </w:rPr>
        <w:t xml:space="preserve">  In any event, the </w:t>
      </w:r>
      <w:r>
        <w:rPr>
          <w:rFonts w:ascii="arial" w:eastAsia="arial" w:hAnsi="arial" w:cs="arial"/>
          <w:i/>
          <w:color w:val="000000"/>
          <w:sz w:val="20"/>
          <w:lang w:val="en-US" w:eastAsia="en-US" w:bidi="ar-SA"/>
        </w:rPr>
        <w:t>CPPA</w:t>
      </w:r>
      <w:r>
        <w:rPr>
          <w:rFonts w:ascii="arial" w:eastAsia="arial" w:hAnsi="arial" w:cs="arial"/>
          <w:color w:val="000000"/>
          <w:sz w:val="20"/>
          <w:lang w:val="en-US" w:eastAsia="en-US" w:bidi="ar-SA"/>
        </w:rPr>
        <w:t xml:space="preserve">, s. 5 clearly and expressly provides that nothing in that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limits or affects the common law of trusts, charitable trusts or discrete purpose charitable property, save if there is a conflict in which case the </w:t>
      </w:r>
      <w:r>
        <w:rPr>
          <w:rFonts w:ascii="arial" w:eastAsia="arial" w:hAnsi="arial" w:cs="arial"/>
          <w:i/>
          <w:color w:val="000000"/>
          <w:sz w:val="20"/>
          <w:lang w:val="en-US" w:eastAsia="en-US" w:bidi="ar-SA"/>
        </w:rPr>
        <w:t>CPPA</w:t>
      </w:r>
      <w:r>
        <w:rPr>
          <w:rFonts w:ascii="arial" w:eastAsia="arial" w:hAnsi="arial" w:cs="arial"/>
          <w:color w:val="000000"/>
          <w:sz w:val="20"/>
          <w:lang w:val="en-US" w:eastAsia="en-US" w:bidi="ar-SA"/>
        </w:rPr>
        <w:t xml:space="preserve"> applies. On this issue, the </w:t>
      </w:r>
      <w:r>
        <w:rPr>
          <w:rFonts w:ascii="arial" w:eastAsia="arial" w:hAnsi="arial" w:cs="arial"/>
          <w:i/>
          <w:color w:val="000000"/>
          <w:sz w:val="20"/>
          <w:lang w:val="en-US" w:eastAsia="en-US" w:bidi="ar-SA"/>
        </w:rPr>
        <w:t>CPPA</w:t>
      </w:r>
      <w:r>
        <w:rPr>
          <w:rFonts w:ascii="arial" w:eastAsia="arial" w:hAnsi="arial" w:cs="arial"/>
          <w:color w:val="000000"/>
          <w:sz w:val="20"/>
          <w:lang w:val="en-US" w:eastAsia="en-US" w:bidi="ar-SA"/>
        </w:rPr>
        <w:t xml:space="preserve"> provisions simply add to the already existing common law relating to trusts, rather than detracting from it. As </w:t>
      </w:r>
      <w:r>
        <w:rPr>
          <w:rFonts w:ascii="arial" w:eastAsia="arial" w:hAnsi="arial" w:cs="arial"/>
          <w:i/>
          <w:color w:val="000000"/>
          <w:sz w:val="20"/>
          <w:lang w:val="en-US" w:eastAsia="en-US" w:bidi="ar-SA"/>
        </w:rPr>
        <w:t>Waters</w:t>
      </w:r>
      <w:r>
        <w:rPr>
          <w:rFonts w:ascii="arial" w:eastAsia="arial" w:hAnsi="arial" w:cs="arial"/>
          <w:color w:val="000000"/>
          <w:sz w:val="20"/>
          <w:lang w:val="en-US" w:eastAsia="en-US" w:bidi="ar-SA"/>
        </w:rPr>
        <w:t xml:space="preserve"> observes at 14, it is no defence by a trustee that he or she has failed to abide by the terms of the trust: "...it is vital to observe that the trust beneficiary's interest continues to adhere in the trust property despite wrongful conversion or alienation by the trustee."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255</w:t>
      </w:r>
      <w:r>
        <w:rPr>
          <w:rFonts w:ascii="arial" w:eastAsia="arial" w:hAnsi="arial" w:cs="arial"/>
          <w:color w:val="000000"/>
          <w:sz w:val="20"/>
          <w:lang w:val="en-US" w:eastAsia="en-US" w:bidi="ar-SA"/>
        </w:rPr>
        <w:t xml:space="preserve">  I agree with the AG that it would anomalous to consider that a trustee could escape its statutory obligations under the </w:t>
      </w:r>
      <w:r>
        <w:rPr>
          <w:rFonts w:ascii="arial" w:eastAsia="arial" w:hAnsi="arial" w:cs="arial"/>
          <w:i/>
          <w:color w:val="000000"/>
          <w:sz w:val="20"/>
          <w:lang w:val="en-US" w:eastAsia="en-US" w:bidi="ar-SA"/>
        </w:rPr>
        <w:t>CPPA</w:t>
      </w:r>
      <w:r>
        <w:rPr>
          <w:rFonts w:ascii="arial" w:eastAsia="arial" w:hAnsi="arial" w:cs="arial"/>
          <w:color w:val="000000"/>
          <w:sz w:val="20"/>
          <w:lang w:val="en-US" w:eastAsia="en-US" w:bidi="ar-SA"/>
        </w:rPr>
        <w:t xml:space="preserve"> or its common law obligations by simply disregarding the terms of the trust. Neither the </w:t>
      </w:r>
      <w:r>
        <w:rPr>
          <w:rFonts w:ascii="arial" w:eastAsia="arial" w:hAnsi="arial" w:cs="arial"/>
          <w:i/>
          <w:color w:val="000000"/>
          <w:sz w:val="20"/>
          <w:lang w:val="en-US" w:eastAsia="en-US" w:bidi="ar-SA"/>
        </w:rPr>
        <w:t>CPPA</w:t>
      </w:r>
      <w:r>
        <w:rPr>
          <w:rFonts w:ascii="arial" w:eastAsia="arial" w:hAnsi="arial" w:cs="arial"/>
          <w:color w:val="000000"/>
          <w:sz w:val="20"/>
          <w:lang w:val="en-US" w:eastAsia="en-US" w:bidi="ar-SA"/>
        </w:rPr>
        <w:t xml:space="preserve"> nor the common law relating to trusts supports TLC's argument in this respect.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858"/>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(ii)</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If the Binning House is subject to a statutory or common law trust in the hands of TLC, should the trust be modified?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256</w:t>
      </w:r>
      <w:r>
        <w:rPr>
          <w:rFonts w:ascii="arial" w:eastAsia="arial" w:hAnsi="arial" w:cs="arial"/>
          <w:color w:val="000000"/>
          <w:sz w:val="20"/>
          <w:lang w:val="en-US" w:eastAsia="en-US" w:bidi="ar-SA"/>
        </w:rPr>
        <w:t xml:space="preserve">  In the alternative, TLC argues that if the Binning House remains subject to a specific purpose trust, the trust fails due to the subsequent or intervening impossibility or impracticality of TLC continuing to carry out the trust. TLC does not argue that the carrying out of the charitable purpose in relation to the Binning House was initially impossible or impracticable and events subsequent to the transfer to TLC in 2008 would appear to confirm that. However, TLC submits that the trust should be modified from its original purpose to allow TLC to use the Binning House for its general purposes, as that is </w:t>
      </w:r>
      <w:r>
        <w:rPr>
          <w:rFonts w:ascii="arial" w:eastAsia="arial" w:hAnsi="arial" w:cs="arial"/>
          <w:i/>
          <w:color w:val="000000"/>
          <w:sz w:val="20"/>
          <w:lang w:val="en-US" w:eastAsia="en-US" w:bidi="ar-SA"/>
        </w:rPr>
        <w:t>cy-près</w:t>
      </w:r>
      <w:r>
        <w:rPr>
          <w:rFonts w:ascii="arial" w:eastAsia="arial" w:hAnsi="arial" w:cs="arial"/>
          <w:color w:val="000000"/>
          <w:sz w:val="20"/>
          <w:lang w:val="en-US" w:eastAsia="en-US" w:bidi="ar-SA"/>
        </w:rPr>
        <w:t xml:space="preserve"> or "close to" the original intention.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257</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Tudor</w:t>
      </w:r>
      <w:r>
        <w:rPr>
          <w:rFonts w:ascii="arial" w:eastAsia="arial" w:hAnsi="arial" w:cs="arial"/>
          <w:color w:val="000000"/>
          <w:sz w:val="20"/>
          <w:lang w:val="en-US" w:eastAsia="en-US" w:bidi="ar-SA"/>
        </w:rPr>
        <w:t xml:space="preserve"> describes the principle of carrying a charitable intention into effect by means of </w:t>
      </w:r>
      <w:r>
        <w:rPr>
          <w:rFonts w:ascii="arial" w:eastAsia="arial" w:hAnsi="arial" w:cs="arial"/>
          <w:i/>
          <w:color w:val="000000"/>
          <w:sz w:val="20"/>
          <w:lang w:val="en-US" w:eastAsia="en-US" w:bidi="ar-SA"/>
        </w:rPr>
        <w:t>cy-près</w:t>
      </w:r>
      <w:r>
        <w:rPr>
          <w:rFonts w:ascii="arial" w:eastAsia="arial" w:hAnsi="arial" w:cs="arial"/>
          <w:color w:val="000000"/>
          <w:sz w:val="20"/>
          <w:lang w:val="en-US" w:eastAsia="en-US" w:bidi="ar-SA"/>
        </w:rPr>
        <w:t xml:space="preserve"> as follows (at 215, 217):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a fundamental principle of the law of charities which has been established for centuries that wherever a clear intention to devote property to charity is shown, and that intention is not confined to a particular form of charity which is initially impracticable, or a purpose which is illegal, effect must be given to it. The law distinguishes between the charitable intention and the mode of executing it. The particular mode of application indicated by the donor is not considered to be of the essence of the gift, and the law makes provision for the charitable intention to be carried into effect </w:t>
      </w:r>
      <w:r>
        <w:rPr>
          <w:rFonts w:ascii="arial" w:eastAsia="arial" w:hAnsi="arial" w:cs="arial"/>
          <w:i/>
          <w:color w:val="000000"/>
          <w:sz w:val="20"/>
          <w:lang w:val="en-US" w:eastAsia="en-US" w:bidi="ar-SA"/>
        </w:rPr>
        <w:t>cy-près</w:t>
      </w:r>
      <w:r>
        <w:rPr>
          <w:rFonts w:ascii="arial" w:eastAsia="arial" w:hAnsi="arial" w:cs="arial"/>
          <w:color w:val="000000"/>
          <w:sz w:val="20"/>
          <w:lang w:val="en-US" w:eastAsia="en-US" w:bidi="ar-SA"/>
        </w:rPr>
        <w:t>, that is to say, by substituting for the mode indicated by the donor another mode as similar as possible to the mode indicated.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Where a gift is liable to fail it will only be saved by the court if the objects of the gift are exclusively charitable and if the subject-matter of the gift is certain and validly assured. Further, the property would only be applied </w:t>
      </w:r>
      <w:r>
        <w:rPr>
          <w:rFonts w:ascii="arial" w:eastAsia="arial" w:hAnsi="arial" w:cs="arial"/>
          <w:i/>
          <w:color w:val="000000"/>
          <w:sz w:val="20"/>
          <w:lang w:val="en-US" w:eastAsia="en-US" w:bidi="ar-SA"/>
        </w:rPr>
        <w:t>cy-près</w:t>
      </w:r>
      <w:r>
        <w:rPr>
          <w:rFonts w:ascii="arial" w:eastAsia="arial" w:hAnsi="arial" w:cs="arial"/>
          <w:color w:val="000000"/>
          <w:sz w:val="20"/>
          <w:lang w:val="en-US" w:eastAsia="en-US" w:bidi="ar-SA"/>
        </w:rPr>
        <w:t xml:space="preserve">, that is, for purposes as nearly as possible to the purposes which have failed, </w:t>
      </w:r>
      <w:r>
        <w:rPr>
          <w:rFonts w:ascii="arial" w:eastAsia="arial" w:hAnsi="arial" w:cs="arial"/>
          <w:color w:val="000000"/>
          <w:sz w:val="20"/>
          <w:u w:val="single"/>
          <w:lang w:val="en-US" w:eastAsia="en-US" w:bidi="ar-SA"/>
        </w:rPr>
        <w:t>if the purpose in question had become impossible or impracticable to perform. Formerly, "impossibility" and "impracticability" were narrowly defined: inexpediency or uneconomic circumstances were not sufficient</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258</w:t>
      </w:r>
      <w:r>
        <w:rPr>
          <w:rFonts w:ascii="arial" w:eastAsia="arial" w:hAnsi="arial" w:cs="arial"/>
          <w:color w:val="000000"/>
          <w:sz w:val="20"/>
          <w:lang w:val="en-US" w:eastAsia="en-US" w:bidi="ar-SA"/>
        </w:rPr>
        <w:t xml:space="preserve">  The courts have not given a definition of "impossibility" or "impracticability". However, </w:t>
      </w:r>
      <w:r>
        <w:rPr>
          <w:rFonts w:ascii="arial" w:eastAsia="arial" w:hAnsi="arial" w:cs="arial"/>
          <w:i/>
          <w:color w:val="000000"/>
          <w:sz w:val="20"/>
          <w:lang w:val="en-US" w:eastAsia="en-US" w:bidi="ar-SA"/>
        </w:rPr>
        <w:t>Waters</w:t>
      </w:r>
      <w:r>
        <w:rPr>
          <w:rFonts w:ascii="arial" w:eastAsia="arial" w:hAnsi="arial" w:cs="arial"/>
          <w:color w:val="000000"/>
          <w:sz w:val="20"/>
          <w:lang w:val="en-US" w:eastAsia="en-US" w:bidi="ar-SA"/>
        </w:rPr>
        <w:t xml:space="preserve"> at 774 states what "impossibility" is not: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Impossibility does not mean that the trust cannot be carried into effect without the assistance of the court. It refers in most instances to situations where events have taken place between the writing of the instrument of gift and the instrument taking effect which prevent the object of the trust from being carried out at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At 775, with respect to "impracticability", </w:t>
      </w:r>
      <w:r>
        <w:rPr>
          <w:rFonts w:ascii="arial" w:eastAsia="arial" w:hAnsi="arial" w:cs="arial"/>
          <w:i/>
          <w:color w:val="000000"/>
          <w:sz w:val="20"/>
          <w:lang w:val="en-US" w:eastAsia="en-US" w:bidi="ar-SA"/>
        </w:rPr>
        <w:t>Waters</w:t>
      </w:r>
      <w:r>
        <w:rPr>
          <w:rFonts w:ascii="arial" w:eastAsia="arial" w:hAnsi="arial" w:cs="arial"/>
          <w:color w:val="000000"/>
          <w:sz w:val="20"/>
          <w:lang w:val="en-US" w:eastAsia="en-US" w:bidi="ar-SA"/>
        </w:rPr>
        <w:t xml:space="preserve"> refers to various authorities where the objects were held to be so, "in the sense that, though they still could be carried out, the whole intention of the donor has really been overtaken by events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259</w:t>
      </w:r>
      <w:r>
        <w:rPr>
          <w:rFonts w:ascii="arial" w:eastAsia="arial" w:hAnsi="arial" w:cs="arial"/>
          <w:color w:val="000000"/>
          <w:sz w:val="20"/>
          <w:lang w:val="en-US" w:eastAsia="en-US" w:bidi="ar-SA"/>
        </w:rPr>
        <w:t xml:space="preserve">  Further, </w:t>
      </w:r>
      <w:r>
        <w:rPr>
          <w:rFonts w:ascii="arial" w:eastAsia="arial" w:hAnsi="arial" w:cs="arial"/>
          <w:i/>
          <w:color w:val="000000"/>
          <w:sz w:val="20"/>
          <w:lang w:val="en-US" w:eastAsia="en-US" w:bidi="ar-SA"/>
        </w:rPr>
        <w:t>Waters</w:t>
      </w:r>
      <w:r>
        <w:rPr>
          <w:rFonts w:ascii="arial" w:eastAsia="arial" w:hAnsi="arial" w:cs="arial"/>
          <w:color w:val="000000"/>
          <w:sz w:val="20"/>
          <w:lang w:val="en-US" w:eastAsia="en-US" w:bidi="ar-SA"/>
        </w:rPr>
        <w:t xml:space="preserve">, similar to </w:t>
      </w:r>
      <w:r>
        <w:rPr>
          <w:rFonts w:ascii="arial" w:eastAsia="arial" w:hAnsi="arial" w:cs="arial"/>
          <w:i/>
          <w:color w:val="000000"/>
          <w:sz w:val="20"/>
          <w:lang w:val="en-US" w:eastAsia="en-US" w:bidi="ar-SA"/>
        </w:rPr>
        <w:t>Tudor</w:t>
      </w:r>
      <w:r>
        <w:rPr>
          <w:rFonts w:ascii="arial" w:eastAsia="arial" w:hAnsi="arial" w:cs="arial"/>
          <w:color w:val="000000"/>
          <w:sz w:val="20"/>
          <w:lang w:val="en-US" w:eastAsia="en-US" w:bidi="ar-SA"/>
        </w:rPr>
        <w:t xml:space="preserve"> above, states at 777 that the requirement of impossibility and impracticability and the narrow circumstances in which such they can arise remain important: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courts have refused to approve </w:t>
      </w:r>
      <w:r>
        <w:rPr>
          <w:rFonts w:ascii="arial" w:eastAsia="arial" w:hAnsi="arial" w:cs="arial"/>
          <w:i/>
          <w:color w:val="000000"/>
          <w:sz w:val="20"/>
          <w:lang w:val="en-US" w:eastAsia="en-US" w:bidi="ar-SA"/>
        </w:rPr>
        <w:t>cy-près</w:t>
      </w:r>
      <w:r>
        <w:rPr>
          <w:rFonts w:ascii="arial" w:eastAsia="arial" w:hAnsi="arial" w:cs="arial"/>
          <w:color w:val="000000"/>
          <w:sz w:val="20"/>
          <w:lang w:val="en-US" w:eastAsia="en-US" w:bidi="ar-SA"/>
        </w:rPr>
        <w:t xml:space="preserve"> schemes which are based on the argument that the proposed objects better provide for contemporary needs than the objects the donor chose. Even if there is a general charitable intent which would continue to be furthered by proposed objects as well as by the original objects, English courts have taken the view that as long as the original objects can still be carried out, even if with more limited value than they once would have had, they cannot be interfered with. </w:t>
      </w:r>
      <w:r>
        <w:rPr>
          <w:rFonts w:ascii="arial" w:eastAsia="arial" w:hAnsi="arial" w:cs="arial"/>
          <w:color w:val="000000"/>
          <w:sz w:val="20"/>
          <w:u w:val="single"/>
          <w:lang w:val="en-US" w:eastAsia="en-US" w:bidi="ar-SA"/>
        </w:rPr>
        <w:t xml:space="preserve">That is to say, impossibility and impracticability have been kept within narrow limits, a restriction which has had particular significance in the handling of </w:t>
      </w:r>
      <w:r>
        <w:rPr>
          <w:rFonts w:ascii="arial" w:eastAsia="arial" w:hAnsi="arial" w:cs="arial"/>
          <w:i/>
          <w:color w:val="000000"/>
          <w:sz w:val="20"/>
          <w:u w:val="single"/>
          <w:lang w:val="en-US" w:eastAsia="en-US" w:bidi="ar-SA"/>
        </w:rPr>
        <w:t>cy-près</w:t>
      </w:r>
      <w:r>
        <w:rPr>
          <w:rFonts w:ascii="arial" w:eastAsia="arial" w:hAnsi="arial" w:cs="arial"/>
          <w:color w:val="000000"/>
          <w:sz w:val="20"/>
          <w:u w:val="single"/>
          <w:lang w:val="en-US" w:eastAsia="en-US" w:bidi="ar-SA"/>
        </w:rPr>
        <w:t xml:space="preserve"> applications on the basis of supervening impossibility and impracticability</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260</w:t>
      </w:r>
      <w:r>
        <w:rPr>
          <w:rFonts w:ascii="arial" w:eastAsia="arial" w:hAnsi="arial" w:cs="arial"/>
          <w:color w:val="000000"/>
          <w:sz w:val="20"/>
          <w:lang w:val="en-US" w:eastAsia="en-US" w:bidi="ar-SA"/>
        </w:rPr>
        <w:t xml:space="preserve">  In addition to the common law, the </w:t>
      </w:r>
      <w:r>
        <w:rPr>
          <w:rFonts w:ascii="arial" w:eastAsia="arial" w:hAnsi="arial" w:cs="arial"/>
          <w:i/>
          <w:color w:val="000000"/>
          <w:sz w:val="20"/>
          <w:lang w:val="en-US" w:eastAsia="en-US" w:bidi="ar-SA"/>
        </w:rPr>
        <w:t>CPPA</w:t>
      </w:r>
      <w:r>
        <w:rPr>
          <w:rFonts w:ascii="arial" w:eastAsia="arial" w:hAnsi="arial" w:cs="arial"/>
          <w:color w:val="000000"/>
          <w:sz w:val="20"/>
          <w:lang w:val="en-US" w:eastAsia="en-US" w:bidi="ar-SA"/>
        </w:rPr>
        <w:t xml:space="preserve"> also sets out the court's authority to impose a </w:t>
      </w:r>
      <w:r>
        <w:rPr>
          <w:rFonts w:ascii="arial" w:eastAsia="arial" w:hAnsi="arial" w:cs="arial"/>
          <w:i/>
          <w:color w:val="000000"/>
          <w:sz w:val="20"/>
          <w:lang w:val="en-US" w:eastAsia="en-US" w:bidi="ar-SA"/>
        </w:rPr>
        <w:t>cy-près</w:t>
      </w:r>
      <w:r>
        <w:rPr>
          <w:rFonts w:ascii="arial" w:eastAsia="arial" w:hAnsi="arial" w:cs="arial"/>
          <w:color w:val="000000"/>
          <w:sz w:val="20"/>
          <w:lang w:val="en-US" w:eastAsia="en-US" w:bidi="ar-SA"/>
        </w:rPr>
        <w:t xml:space="preserve"> or "consistent" scheme in s. 3(3) and 3(4):</w:t>
      </w:r>
      <w:r>
        <w:rPr>
          <w:rFonts w:ascii="arial" w:eastAsia="arial" w:hAnsi="arial" w:cs="arial"/>
          <w:sz w:val="20"/>
          <w:lang w:val="en-US" w:eastAsia="en-US" w:bidi="ar-SA"/>
        </w:rPr>
        <w:cr/>
      </w:r>
    </w:p>
    <w:p>
      <w:pPr>
        <w:numPr>
          <w:numId w:val="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Unless this Act provides otherwise, the court may make, in relation to discrete purpose charitable property and a charity holding discrete purpose charitable property, any order it may make in relation to any charitable trust property and any charity holding charitable trust property.</w:t>
      </w:r>
    </w:p>
    <w:p>
      <w:pPr>
        <w:numPr>
          <w:numId w:val="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Without limiting subsection (3), if a charity holding discrete purpose charitable property is unwilling or unable to continue to keep, administer and use the property to advance the discrete purpose, the court may make whatever orders, including arrangements, it considers appropriate, including transferring the property to a new charity, so that the property is kept, administered and used to</w:t>
      </w:r>
    </w:p>
    <w:p>
      <w:pPr>
        <w:numPr>
          <w:numId w:val="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advance the discrete purpose, or</w:t>
      </w:r>
    </w:p>
    <w:p>
      <w:pPr>
        <w:numPr>
          <w:numId w:val="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advance another charitable purpose that the court considers is consistent with the discrete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261</w:t>
      </w:r>
      <w:r>
        <w:rPr>
          <w:rFonts w:ascii="arial" w:eastAsia="arial" w:hAnsi="arial" w:cs="arial"/>
          <w:color w:val="000000"/>
          <w:sz w:val="20"/>
          <w:lang w:val="en-US" w:eastAsia="en-US" w:bidi="ar-SA"/>
        </w:rPr>
        <w:t xml:space="preserve">  In support of its argument, TLC relies upon </w:t>
      </w:r>
      <w:r>
        <w:rPr>
          <w:rFonts w:ascii="arial" w:eastAsia="arial" w:hAnsi="arial" w:cs="arial"/>
          <w:i/>
          <w:color w:val="000000"/>
          <w:sz w:val="20"/>
          <w:lang w:val="en-US" w:eastAsia="en-US" w:bidi="ar-SA"/>
        </w:rPr>
        <w:t>Lee v. North Vancouver School District No. 44</w:t>
      </w:r>
      <w:r>
        <w:rPr>
          <w:rFonts w:ascii="arial" w:eastAsia="arial" w:hAnsi="arial" w:cs="arial"/>
          <w:color w:val="000000"/>
          <w:sz w:val="20"/>
          <w:lang w:val="en-US" w:eastAsia="en-US" w:bidi="ar-SA"/>
        </w:rPr>
        <w:t xml:space="preserve">, </w:t>
      </w:r>
      <w:hyperlink r:id="rId368" w:history="1">
        <w:r>
          <w:rPr>
            <w:rFonts w:ascii="arial" w:eastAsia="arial" w:hAnsi="arial" w:cs="arial"/>
            <w:i/>
            <w:color w:val="0077CC"/>
            <w:sz w:val="20"/>
            <w:u w:val="single"/>
            <w:shd w:val="clear" w:color="auto" w:fill="FFFFFF"/>
            <w:lang w:val="en-US" w:eastAsia="en-US" w:bidi="ar-SA"/>
          </w:rPr>
          <w:t>2011 BCSC 222</w:t>
        </w:r>
      </w:hyperlink>
      <w:r>
        <w:rPr>
          <w:rFonts w:ascii="arial" w:eastAsia="arial" w:hAnsi="arial" w:cs="arial"/>
          <w:color w:val="000000"/>
          <w:sz w:val="20"/>
          <w:lang w:val="en-US" w:eastAsia="en-US" w:bidi="ar-SA"/>
        </w:rPr>
        <w:t xml:space="preserve">, which appears to be the only case which has, to date, considered and applied the </w:t>
      </w:r>
      <w:r>
        <w:rPr>
          <w:rFonts w:ascii="arial" w:eastAsia="arial" w:hAnsi="arial" w:cs="arial"/>
          <w:i/>
          <w:color w:val="000000"/>
          <w:sz w:val="20"/>
          <w:lang w:val="en-US" w:eastAsia="en-US" w:bidi="ar-SA"/>
        </w:rPr>
        <w:t>CPPA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Lee</w:t>
      </w:r>
      <w:r>
        <w:rPr>
          <w:rFonts w:ascii="arial" w:eastAsia="arial" w:hAnsi="arial" w:cs="arial"/>
          <w:color w:val="000000"/>
          <w:sz w:val="20"/>
          <w:lang w:val="en-US" w:eastAsia="en-US" w:bidi="ar-SA"/>
        </w:rPr>
        <w:t xml:space="preserve">, the trustee School Board sought to be relieved of its obligations in relation to a certain trust because it was no longer willing to continue to keep, administer and use the funds for the specific charitable purposes. It sought relief under the </w:t>
      </w:r>
      <w:r>
        <w:rPr>
          <w:rFonts w:ascii="arial" w:eastAsia="arial" w:hAnsi="arial" w:cs="arial"/>
          <w:i/>
          <w:color w:val="000000"/>
          <w:sz w:val="20"/>
          <w:lang w:val="en-US" w:eastAsia="en-US" w:bidi="ar-SA"/>
        </w:rPr>
        <w:t>CPPA</w:t>
      </w:r>
      <w:r>
        <w:rPr>
          <w:rFonts w:ascii="arial" w:eastAsia="arial" w:hAnsi="arial" w:cs="arial"/>
          <w:color w:val="000000"/>
          <w:sz w:val="20"/>
          <w:lang w:val="en-US" w:eastAsia="en-US" w:bidi="ar-SA"/>
        </w:rPr>
        <w:t xml:space="preserve"> or alternatively, by application of the court's </w:t>
      </w:r>
      <w:r>
        <w:rPr>
          <w:rFonts w:ascii="arial" w:eastAsia="arial" w:hAnsi="arial" w:cs="arial"/>
          <w:i/>
          <w:color w:val="000000"/>
          <w:sz w:val="20"/>
          <w:lang w:val="en-US" w:eastAsia="en-US" w:bidi="ar-SA"/>
        </w:rPr>
        <w:t>cy-pr</w:t>
      </w:r>
      <w:r>
        <w:rPr>
          <w:rFonts w:ascii="arial" w:eastAsia="arial" w:hAnsi="arial" w:cs="arial"/>
          <w:color w:val="000000"/>
          <w:sz w:val="20"/>
          <w:lang w:val="en-US" w:eastAsia="en-US" w:bidi="ar-SA"/>
        </w:rPr>
        <w:t>è</w:t>
      </w:r>
      <w:r>
        <w:rPr>
          <w:rFonts w:ascii="arial" w:eastAsia="arial" w:hAnsi="arial" w:cs="arial"/>
          <w:i/>
          <w:color w:val="000000"/>
          <w:sz w:val="20"/>
          <w:lang w:val="en-US" w:eastAsia="en-US" w:bidi="ar-SA"/>
        </w:rPr>
        <w:t>s</w:t>
      </w:r>
      <w:r>
        <w:rPr>
          <w:rFonts w:ascii="arial" w:eastAsia="arial" w:hAnsi="arial" w:cs="arial"/>
          <w:color w:val="000000"/>
          <w:sz w:val="20"/>
          <w:lang w:val="en-US" w:eastAsia="en-US" w:bidi="ar-SA"/>
        </w:rPr>
        <w:t xml:space="preserve"> jurisdiction. The court applied its broad jurisdiction to grant an "appropriate" order under s. 3(4) of the </w:t>
      </w:r>
      <w:r>
        <w:rPr>
          <w:rFonts w:ascii="arial" w:eastAsia="arial" w:hAnsi="arial" w:cs="arial"/>
          <w:i/>
          <w:color w:val="000000"/>
          <w:sz w:val="20"/>
          <w:lang w:val="en-US" w:eastAsia="en-US" w:bidi="ar-SA"/>
        </w:rPr>
        <w:t>CPPA</w:t>
      </w:r>
      <w:r>
        <w:rPr>
          <w:rFonts w:ascii="arial" w:eastAsia="arial" w:hAnsi="arial" w:cs="arial"/>
          <w:color w:val="000000"/>
          <w:sz w:val="20"/>
          <w:lang w:val="en-US" w:eastAsia="en-US" w:bidi="ar-SA"/>
        </w:rPr>
        <w:t xml:space="preserve"> in substituting a trustee for the Board where the Board was "unwilling" to continue. In addition, a variation of the trust in the hands of the new trustee (the Foundation) was necessary given the impracticability of performance of the terms of the original trust in the future: paras. 52-68. In the alternative, the court found that relief was also available under its </w:t>
      </w:r>
      <w:r>
        <w:rPr>
          <w:rFonts w:ascii="arial" w:eastAsia="arial" w:hAnsi="arial" w:cs="arial"/>
          <w:i/>
          <w:color w:val="000000"/>
          <w:sz w:val="20"/>
          <w:lang w:val="en-US" w:eastAsia="en-US" w:bidi="ar-SA"/>
        </w:rPr>
        <w:t>cy-près</w:t>
      </w:r>
      <w:r>
        <w:rPr>
          <w:rFonts w:ascii="arial" w:eastAsia="arial" w:hAnsi="arial" w:cs="arial"/>
          <w:color w:val="000000"/>
          <w:sz w:val="20"/>
          <w:lang w:val="en-US" w:eastAsia="en-US" w:bidi="ar-SA"/>
        </w:rPr>
        <w:t xml:space="preserve"> jurisdiction. The court varied the terms of the trust because the trustee had established intervening "economic impracticability of the continuation of adherence to the strict terms of the Trust verging upon impossibility": para. 73.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263</w:t>
      </w:r>
      <w:r>
        <w:rPr>
          <w:rFonts w:ascii="arial" w:eastAsia="arial" w:hAnsi="arial" w:cs="arial"/>
          <w:color w:val="000000"/>
          <w:sz w:val="20"/>
          <w:lang w:val="en-US" w:eastAsia="en-US" w:bidi="ar-SA"/>
        </w:rPr>
        <w:t xml:space="preserve">  Central to the court's decision on both fronts was that, despite allowing time to the parties to do so, no substitute trustee had been found to undertake the duties of the trustee under the Trust in accordance with its terms; only the new trustee, the Foundation, had come forward but it was unwilling to take it on such terms. In addition, in order to accommodate any other "white knight" trustee that might come forward to operate the trust as intended, the court stayed execution of the order for 60 days to find a substitute trustee: para. 80. Of significance was that the court in </w:t>
      </w:r>
      <w:r>
        <w:rPr>
          <w:rFonts w:ascii="arial" w:eastAsia="arial" w:hAnsi="arial" w:cs="arial"/>
          <w:i/>
          <w:color w:val="000000"/>
          <w:sz w:val="20"/>
          <w:lang w:val="en-US" w:eastAsia="en-US" w:bidi="ar-SA"/>
        </w:rPr>
        <w:t>Lee</w:t>
      </w:r>
      <w:r>
        <w:rPr>
          <w:rFonts w:ascii="arial" w:eastAsia="arial" w:hAnsi="arial" w:cs="arial"/>
          <w:color w:val="000000"/>
          <w:sz w:val="20"/>
          <w:lang w:val="en-US" w:eastAsia="en-US" w:bidi="ar-SA"/>
        </w:rPr>
        <w:t xml:space="preserve"> granted the relief with the overriding intention to "... continue to advance the charitable purposes of the Trust </w:t>
      </w:r>
      <w:r>
        <w:rPr>
          <w:rFonts w:ascii="arial" w:eastAsia="arial" w:hAnsi="arial" w:cs="arial"/>
          <w:color w:val="000000"/>
          <w:sz w:val="20"/>
          <w:u w:val="single"/>
          <w:lang w:val="en-US" w:eastAsia="en-US" w:bidi="ar-SA"/>
        </w:rPr>
        <w:t>to the greatest extent now possible</w:t>
      </w:r>
      <w:r>
        <w:rPr>
          <w:rFonts w:ascii="arial" w:eastAsia="arial" w:hAnsi="arial" w:cs="arial"/>
          <w:color w:val="000000"/>
          <w:sz w:val="20"/>
          <w:lang w:val="en-US" w:eastAsia="en-US" w:bidi="ar-SA"/>
        </w:rPr>
        <w:t xml:space="preserve"> (para. 74)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264</w:t>
      </w:r>
      <w:r>
        <w:rPr>
          <w:rFonts w:ascii="arial" w:eastAsia="arial" w:hAnsi="arial" w:cs="arial"/>
          <w:color w:val="000000"/>
          <w:sz w:val="20"/>
          <w:lang w:val="en-US" w:eastAsia="en-US" w:bidi="ar-SA"/>
        </w:rPr>
        <w:t xml:space="preserve">  The orders granted in </w:t>
      </w:r>
      <w:r>
        <w:rPr>
          <w:rFonts w:ascii="arial" w:eastAsia="arial" w:hAnsi="arial" w:cs="arial"/>
          <w:i/>
          <w:color w:val="000000"/>
          <w:sz w:val="20"/>
          <w:lang w:val="en-US" w:eastAsia="en-US" w:bidi="ar-SA"/>
        </w:rPr>
        <w:t>Lee</w:t>
      </w:r>
      <w:r>
        <w:rPr>
          <w:rFonts w:ascii="arial" w:eastAsia="arial" w:hAnsi="arial" w:cs="arial"/>
          <w:color w:val="000000"/>
          <w:sz w:val="20"/>
          <w:lang w:val="en-US" w:eastAsia="en-US" w:bidi="ar-SA"/>
        </w:rPr>
        <w:t xml:space="preserve"> included transferring the trust fund to the Foundation on the condition that it would establish a scholarship fund at a minimum award amount of $500 that would result in the depletion of the trust fund over a period of years. The court further ordered that if, in the future, the fund provided insufficient income and capital to support that award amount, the remainder was to "be applied by the Foundation towards its general charitable purposes" (</w:t>
      </w:r>
      <w:r>
        <w:rPr>
          <w:rFonts w:ascii="arial" w:eastAsia="arial" w:hAnsi="arial" w:cs="arial"/>
          <w:i/>
          <w:color w:val="000000"/>
          <w:sz w:val="20"/>
          <w:lang w:val="en-US" w:eastAsia="en-US" w:bidi="ar-SA"/>
        </w:rPr>
        <w:t>Lee</w:t>
      </w:r>
      <w:r>
        <w:rPr>
          <w:rFonts w:ascii="arial" w:eastAsia="arial" w:hAnsi="arial" w:cs="arial"/>
          <w:color w:val="000000"/>
          <w:sz w:val="20"/>
          <w:lang w:val="en-US" w:eastAsia="en-US" w:bidi="ar-SA"/>
        </w:rPr>
        <w:t xml:space="preserve"> at para. 68).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265</w:t>
      </w:r>
      <w:r>
        <w:rPr>
          <w:rFonts w:ascii="arial" w:eastAsia="arial" w:hAnsi="arial" w:cs="arial"/>
          <w:color w:val="000000"/>
          <w:sz w:val="20"/>
          <w:lang w:val="en-US" w:eastAsia="en-US" w:bidi="ar-SA"/>
        </w:rPr>
        <w:t>  The evidence discloses that TLC has made extensive efforts to raise funds in respect of the Binning House, with a view to establishing an endowment to fund the protection of the property in perpetuity. This included seeking grant funding from the District. Despite its best efforts, TLC has been unable to raise the funds needed to preserve the Binning House. The Monitor states that given TLC's insolvency, it no longer has the financial wherewithal to manage, maintain and preserve the Binning House going forward.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266</w:t>
      </w:r>
      <w:r>
        <w:rPr>
          <w:rFonts w:ascii="arial" w:eastAsia="arial" w:hAnsi="arial" w:cs="arial"/>
          <w:color w:val="000000"/>
          <w:sz w:val="20"/>
          <w:lang w:val="en-US" w:eastAsia="en-US" w:bidi="ar-SA"/>
        </w:rPr>
        <w:t xml:space="preserve">  The AG refers to two authorities. In </w:t>
      </w:r>
      <w:r>
        <w:rPr>
          <w:rFonts w:ascii="arial" w:eastAsia="arial" w:hAnsi="arial" w:cs="arial"/>
          <w:i/>
          <w:color w:val="000000"/>
          <w:sz w:val="20"/>
          <w:lang w:val="en-US" w:eastAsia="en-US" w:bidi="ar-SA"/>
        </w:rPr>
        <w:t>Bentley v. Anglican Synod of the Diocese of New Westminster</w:t>
      </w:r>
      <w:r>
        <w:rPr>
          <w:rFonts w:ascii="arial" w:eastAsia="arial" w:hAnsi="arial" w:cs="arial"/>
          <w:color w:val="000000"/>
          <w:sz w:val="20"/>
          <w:lang w:val="en-US" w:eastAsia="en-US" w:bidi="ar-SA"/>
        </w:rPr>
        <w:t xml:space="preserve">, </w:t>
      </w:r>
      <w:hyperlink r:id="rId369" w:history="1">
        <w:r>
          <w:rPr>
            <w:rFonts w:ascii="arial" w:eastAsia="arial" w:hAnsi="arial" w:cs="arial"/>
            <w:i/>
            <w:color w:val="0077CC"/>
            <w:sz w:val="20"/>
            <w:u w:val="single"/>
            <w:shd w:val="clear" w:color="auto" w:fill="FFFFFF"/>
            <w:lang w:val="en-US" w:eastAsia="en-US" w:bidi="ar-SA"/>
          </w:rPr>
          <w:t>2010 BCCA 506</w:t>
        </w:r>
      </w:hyperlink>
      <w:r>
        <w:rPr>
          <w:rFonts w:ascii="arial" w:eastAsia="arial" w:hAnsi="arial" w:cs="arial"/>
          <w:color w:val="000000"/>
          <w:sz w:val="20"/>
          <w:lang w:val="en-US" w:eastAsia="en-US" w:bidi="ar-SA"/>
        </w:rPr>
        <w:t xml:space="preserve">, the court considered the issue as to whether the trial judge, </w:t>
      </w:r>
      <w:hyperlink r:id="rId370" w:history="1">
        <w:r>
          <w:rPr>
            <w:rFonts w:ascii="arial" w:eastAsia="arial" w:hAnsi="arial" w:cs="arial"/>
            <w:i/>
            <w:color w:val="0077CC"/>
            <w:sz w:val="20"/>
            <w:u w:val="single"/>
            <w:shd w:val="clear" w:color="auto" w:fill="FFFFFF"/>
            <w:lang w:val="en-US" w:eastAsia="en-US" w:bidi="ar-SA"/>
          </w:rPr>
          <w:t>[2009] B.C.J. No. 2336</w:t>
        </w:r>
      </w:hyperlink>
      <w:r>
        <w:rPr>
          <w:rFonts w:ascii="arial" w:eastAsia="arial" w:hAnsi="arial" w:cs="arial"/>
          <w:color w:val="000000"/>
          <w:sz w:val="20"/>
          <w:lang w:val="en-US" w:eastAsia="en-US" w:bidi="ar-SA"/>
        </w:rPr>
        <w:t xml:space="preserve">, should have rejected a </w:t>
      </w:r>
      <w:r>
        <w:rPr>
          <w:rFonts w:ascii="arial" w:eastAsia="arial" w:hAnsi="arial" w:cs="arial"/>
          <w:i/>
          <w:color w:val="000000"/>
          <w:sz w:val="20"/>
          <w:lang w:val="en-US" w:eastAsia="en-US" w:bidi="ar-SA"/>
        </w:rPr>
        <w:t>cy-près</w:t>
      </w:r>
      <w:r>
        <w:rPr>
          <w:rFonts w:ascii="arial" w:eastAsia="arial" w:hAnsi="arial" w:cs="arial"/>
          <w:color w:val="000000"/>
          <w:sz w:val="20"/>
          <w:lang w:val="en-US" w:eastAsia="en-US" w:bidi="ar-SA"/>
        </w:rPr>
        <w:t xml:space="preserve"> order in the main action and applied such an order in the "Chun action". I do not find this case of assistance, however, given the unique circumstances being addressed by the court, other than to acknowledge the court's careful scrutiny as to whether the allegations of impracticality were indeed supported by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267</w:t>
      </w:r>
      <w:r>
        <w:rPr>
          <w:rFonts w:ascii="arial" w:eastAsia="arial" w:hAnsi="arial" w:cs="arial"/>
          <w:color w:val="000000"/>
          <w:sz w:val="20"/>
          <w:lang w:val="en-US" w:eastAsia="en-US" w:bidi="ar-SA"/>
        </w:rPr>
        <w:t xml:space="preserve">  Of more assistance is </w:t>
      </w:r>
      <w:r>
        <w:rPr>
          <w:rFonts w:ascii="arial" w:eastAsia="arial" w:hAnsi="arial" w:cs="arial"/>
          <w:i/>
          <w:color w:val="000000"/>
          <w:sz w:val="20"/>
          <w:lang w:val="en-US" w:eastAsia="en-US" w:bidi="ar-SA"/>
        </w:rPr>
        <w:t>Roman Catholic Bishop of Bathurst v. New Brunswick</w:t>
      </w:r>
      <w:r>
        <w:rPr>
          <w:rFonts w:ascii="arial" w:eastAsia="arial" w:hAnsi="arial" w:cs="arial"/>
          <w:color w:val="000000"/>
          <w:sz w:val="20"/>
          <w:lang w:val="en-US" w:eastAsia="en-US" w:bidi="ar-SA"/>
        </w:rPr>
        <w:t xml:space="preserve">, </w:t>
      </w:r>
      <w:hyperlink r:id="rId371" w:history="1">
        <w:r>
          <w:rPr>
            <w:rFonts w:ascii="arial" w:eastAsia="arial" w:hAnsi="arial" w:cs="arial"/>
            <w:i/>
            <w:color w:val="0077CC"/>
            <w:sz w:val="20"/>
            <w:u w:val="single"/>
            <w:shd w:val="clear" w:color="auto" w:fill="FFFFFF"/>
            <w:lang w:val="en-US" w:eastAsia="en-US" w:bidi="ar-SA"/>
          </w:rPr>
          <w:t>2010 NBQB 400</w:t>
        </w:r>
      </w:hyperlink>
      <w:r>
        <w:rPr>
          <w:rFonts w:ascii="arial" w:eastAsia="arial" w:hAnsi="arial" w:cs="arial"/>
          <w:color w:val="000000"/>
          <w:sz w:val="20"/>
          <w:lang w:val="en-US" w:eastAsia="en-US" w:bidi="ar-SA"/>
        </w:rPr>
        <w:t xml:space="preserve">. Similar to the comments of </w:t>
      </w:r>
      <w:r>
        <w:rPr>
          <w:rFonts w:ascii="arial" w:eastAsia="arial" w:hAnsi="arial" w:cs="arial"/>
          <w:i/>
          <w:color w:val="000000"/>
          <w:sz w:val="20"/>
          <w:lang w:val="en-US" w:eastAsia="en-US" w:bidi="ar-SA"/>
        </w:rPr>
        <w:t>Waters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Tudor</w:t>
      </w:r>
      <w:r>
        <w:rPr>
          <w:rFonts w:ascii="arial" w:eastAsia="arial" w:hAnsi="arial" w:cs="arial"/>
          <w:color w:val="000000"/>
          <w:sz w:val="20"/>
          <w:lang w:val="en-US" w:eastAsia="en-US" w:bidi="ar-SA"/>
        </w:rPr>
        <w:t xml:space="preserve">, the court stressed that the </w:t>
      </w:r>
      <w:r>
        <w:rPr>
          <w:rFonts w:ascii="arial" w:eastAsia="arial" w:hAnsi="arial" w:cs="arial"/>
          <w:i/>
          <w:color w:val="000000"/>
          <w:sz w:val="20"/>
          <w:lang w:val="en-US" w:eastAsia="en-US" w:bidi="ar-SA"/>
        </w:rPr>
        <w:t>cy-près</w:t>
      </w:r>
      <w:r>
        <w:rPr>
          <w:rFonts w:ascii="arial" w:eastAsia="arial" w:hAnsi="arial" w:cs="arial"/>
          <w:color w:val="000000"/>
          <w:sz w:val="20"/>
          <w:lang w:val="en-US" w:eastAsia="en-US" w:bidi="ar-SA"/>
        </w:rPr>
        <w:t xml:space="preserve"> doctrine can only be applied in limited circumstances: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[46] With that context in mind, it is reasonable to expect that a judge would not lightly interfere with the original intention of the settlors, those persons who created these trusts, as, at the time each was created, it was their intention that the money bequeathed or transferred by donation be used for the specific purpose set out in the trust document in perpetuity.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[47] It must be firmly born in mind when considering the application of "a </w:t>
      </w:r>
      <w:r>
        <w:rPr>
          <w:rFonts w:ascii="arial" w:eastAsia="arial" w:hAnsi="arial" w:cs="arial"/>
          <w:i/>
          <w:color w:val="000000"/>
          <w:sz w:val="20"/>
          <w:lang w:val="en-US" w:eastAsia="en-US" w:bidi="ar-SA"/>
        </w:rPr>
        <w:t>cy-près</w:t>
      </w:r>
      <w:r>
        <w:rPr>
          <w:rFonts w:ascii="arial" w:eastAsia="arial" w:hAnsi="arial" w:cs="arial"/>
          <w:color w:val="000000"/>
          <w:sz w:val="20"/>
          <w:lang w:val="en-US" w:eastAsia="en-US" w:bidi="ar-SA"/>
        </w:rPr>
        <w:t xml:space="preserve"> scheme" that the public must continue to have confidence that when a charitable bequest or grant is made it will only be in limited and justifiable circumstances that a court will step in and alter what was intended by the person who created the trust. To do otherwise would threaten and likely damage the confidence the public have in the enduring nature of any charitable trust that might be contemplated for creation in the future.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[48] For that reason, the law does not allow a judge to alter the specific objects of a trust except in such narrow circumstances. Those circumstances are limited to situations in which the specific objects of the trust are impossible to achieve, are illegal or are or have become impracticable. It is in those circumstances that the doctrine of </w:t>
      </w:r>
      <w:r>
        <w:rPr>
          <w:rFonts w:ascii="arial" w:eastAsia="arial" w:hAnsi="arial" w:cs="arial"/>
          <w:i/>
          <w:color w:val="000000"/>
          <w:sz w:val="20"/>
          <w:lang w:val="en-US" w:eastAsia="en-US" w:bidi="ar-SA"/>
        </w:rPr>
        <w:t>cy-près</w:t>
      </w:r>
      <w:r>
        <w:rPr>
          <w:rFonts w:ascii="arial" w:eastAsia="arial" w:hAnsi="arial" w:cs="arial"/>
          <w:color w:val="000000"/>
          <w:sz w:val="20"/>
          <w:lang w:val="en-US" w:eastAsia="en-US" w:bidi="ar-SA"/>
        </w:rPr>
        <w:t xml:space="preserve"> can be applied to remedy the difficulties arising from the implementation of or continued accomplishment of the specific objects of the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Bathurst</w:t>
      </w:r>
      <w:r>
        <w:rPr>
          <w:rFonts w:ascii="arial" w:eastAsia="arial" w:hAnsi="arial" w:cs="arial"/>
          <w:color w:val="000000"/>
          <w:sz w:val="20"/>
          <w:lang w:val="en-US" w:eastAsia="en-US" w:bidi="ar-SA"/>
        </w:rPr>
        <w:t xml:space="preserve">, the court was faced with the opposite problem of that faced here. There, funds to educate and train candidates for the priesthood far exceeded the amounts required in that respect. The application was made under </w:t>
      </w:r>
      <w:r>
        <w:rPr>
          <w:rFonts w:ascii="arial" w:eastAsia="arial" w:hAnsi="arial" w:cs="arial"/>
          <w:i/>
          <w:color w:val="000000"/>
          <w:sz w:val="20"/>
          <w:lang w:val="en-US" w:eastAsia="en-US" w:bidi="ar-SA"/>
        </w:rPr>
        <w:t>cy-près</w:t>
      </w:r>
      <w:r>
        <w:rPr>
          <w:rFonts w:ascii="arial" w:eastAsia="arial" w:hAnsi="arial" w:cs="arial"/>
          <w:color w:val="000000"/>
          <w:sz w:val="20"/>
          <w:lang w:val="en-US" w:eastAsia="en-US" w:bidi="ar-SA"/>
        </w:rPr>
        <w:t xml:space="preserve"> to allow the Diocese access to a certain portion of the funds for the purpose of compensating victims of sexual abuse by a priest.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269</w:t>
      </w:r>
      <w:r>
        <w:rPr>
          <w:rFonts w:ascii="arial" w:eastAsia="arial" w:hAnsi="arial" w:cs="arial"/>
          <w:color w:val="000000"/>
          <w:sz w:val="20"/>
          <w:lang w:val="en-US" w:eastAsia="en-US" w:bidi="ar-SA"/>
        </w:rPr>
        <w:t xml:space="preserve">  The court in </w:t>
      </w:r>
      <w:r>
        <w:rPr>
          <w:rFonts w:ascii="arial" w:eastAsia="arial" w:hAnsi="arial" w:cs="arial"/>
          <w:i/>
          <w:color w:val="000000"/>
          <w:sz w:val="20"/>
          <w:lang w:val="en-US" w:eastAsia="en-US" w:bidi="ar-SA"/>
        </w:rPr>
        <w:t>Bathurst</w:t>
      </w:r>
      <w:r>
        <w:rPr>
          <w:rFonts w:ascii="arial" w:eastAsia="arial" w:hAnsi="arial" w:cs="arial"/>
          <w:color w:val="000000"/>
          <w:sz w:val="20"/>
          <w:lang w:val="en-US" w:eastAsia="en-US" w:bidi="ar-SA"/>
        </w:rPr>
        <w:t xml:space="preserve">, citing </w:t>
      </w:r>
      <w:r>
        <w:rPr>
          <w:rFonts w:ascii="arial" w:eastAsia="arial" w:hAnsi="arial" w:cs="arial"/>
          <w:i/>
          <w:color w:val="000000"/>
          <w:sz w:val="20"/>
          <w:lang w:val="en-US" w:eastAsia="en-US" w:bidi="ar-SA"/>
        </w:rPr>
        <w:t>Christian Brothers</w:t>
      </w:r>
      <w:r>
        <w:rPr>
          <w:rFonts w:ascii="arial" w:eastAsia="arial" w:hAnsi="arial" w:cs="arial"/>
          <w:color w:val="000000"/>
          <w:sz w:val="20"/>
          <w:lang w:val="en-US" w:eastAsia="en-US" w:bidi="ar-SA"/>
        </w:rPr>
        <w:t xml:space="preserve"> (Ont. C.A.) explained the doctrine of </w:t>
      </w:r>
      <w:r>
        <w:rPr>
          <w:rFonts w:ascii="arial" w:eastAsia="arial" w:hAnsi="arial" w:cs="arial"/>
          <w:i/>
          <w:color w:val="000000"/>
          <w:sz w:val="20"/>
          <w:lang w:val="en-US" w:eastAsia="en-US" w:bidi="ar-SA"/>
        </w:rPr>
        <w:t>cy-près</w:t>
      </w:r>
      <w:r>
        <w:rPr>
          <w:rFonts w:ascii="arial" w:eastAsia="arial" w:hAnsi="arial" w:cs="arial"/>
          <w:color w:val="000000"/>
          <w:sz w:val="20"/>
          <w:lang w:val="en-US" w:eastAsia="en-US" w:bidi="ar-SA"/>
        </w:rPr>
        <w:t xml:space="preserve"> at para. 72. The application was allowed in those unique circumstances and the reasoning of the court included three central points which have relevance to this application:</w:t>
      </w:r>
      <w:r>
        <w:rPr>
          <w:rFonts w:ascii="arial" w:eastAsia="arial" w:hAnsi="arial" w:cs="arial"/>
          <w:sz w:val="20"/>
          <w:lang w:val="en-US" w:eastAsia="en-US" w:bidi="ar-SA"/>
        </w:rPr>
        <w:cr/>
      </w:r>
    </w:p>
    <w:p>
      <w:pPr>
        <w:numPr>
          <w:numId w:val="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found that while the donors or settlors referred to the education and training of priests, their "superordinate goal" or intention was to ensure the financial and spiritual health of the Diocese in its religious mission in perpetuity, which was significantly advanced by allowing the compensation to be paid as opposed to the assets of the Diocese being liquidated (paras. 50, 76(7)(8), 77(3));</w:t>
      </w:r>
    </w:p>
    <w:p>
      <w:pPr>
        <w:numPr>
          <w:numId w:val="7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only </w:t>
      </w:r>
      <w:r>
        <w:rPr>
          <w:rFonts w:ascii="arial" w:eastAsia="arial" w:hAnsi="arial" w:cs="arial"/>
          <w:i/>
          <w:color w:val="000000"/>
          <w:sz w:val="20"/>
          <w:lang w:val="en-US" w:eastAsia="en-US" w:bidi="ar-SA"/>
        </w:rPr>
        <w:t>surplus</w:t>
      </w:r>
      <w:r>
        <w:rPr>
          <w:rFonts w:ascii="arial" w:eastAsia="arial" w:hAnsi="arial" w:cs="arial"/>
          <w:color w:val="000000"/>
          <w:sz w:val="20"/>
          <w:lang w:val="en-US" w:eastAsia="en-US" w:bidi="ar-SA"/>
        </w:rPr>
        <w:t xml:space="preserve"> funds were allowed to be so used, with the initial capital preserved and a minimum amount retained for the specific purpose of the training and education of candidates for the priesthood (para. 22); and</w:t>
      </w:r>
    </w:p>
    <w:p>
      <w:pPr>
        <w:numPr>
          <w:numId w:val="7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prior to the application, the Diocese had made substantial, yet unsuccessful, efforts to fulfill the specific charitable purpose but had been unable to attract candidates for the priesthood (paras. 17, 76(1)).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270</w:t>
      </w:r>
      <w:r>
        <w:rPr>
          <w:rFonts w:ascii="arial" w:eastAsia="arial" w:hAnsi="arial" w:cs="arial"/>
          <w:color w:val="000000"/>
          <w:sz w:val="20"/>
          <w:lang w:val="en-US" w:eastAsia="en-US" w:bidi="ar-SA"/>
        </w:rPr>
        <w:t xml:space="preserve">  Earlier in these reasons, I discussed what I consider the specific and overriding intention of BHPS in transferring the Binning House to TLC; that is to preserve Binning House for the purposes of educating the public. Unlike the court in </w:t>
      </w:r>
      <w:r>
        <w:rPr>
          <w:rFonts w:ascii="arial" w:eastAsia="arial" w:hAnsi="arial" w:cs="arial"/>
          <w:i/>
          <w:color w:val="000000"/>
          <w:sz w:val="20"/>
          <w:lang w:val="en-US" w:eastAsia="en-US" w:bidi="ar-SA"/>
        </w:rPr>
        <w:t>Bathurst</w:t>
      </w:r>
      <w:r>
        <w:rPr>
          <w:rFonts w:ascii="arial" w:eastAsia="arial" w:hAnsi="arial" w:cs="arial"/>
          <w:color w:val="000000"/>
          <w:sz w:val="20"/>
          <w:lang w:val="en-US" w:eastAsia="en-US" w:bidi="ar-SA"/>
        </w:rPr>
        <w:t>, I cannot find that BHPS had an overarching intention to benefit TLC's general charitable purposes. As I will discuss below, at this time, the current proposed sale does not, in my view, come "as close as possible" to achieving the specific intention (</w:t>
      </w:r>
      <w:r>
        <w:rPr>
          <w:rFonts w:ascii="arial" w:eastAsia="arial" w:hAnsi="arial" w:cs="arial"/>
          <w:i/>
          <w:color w:val="000000"/>
          <w:sz w:val="20"/>
          <w:lang w:val="en-US" w:eastAsia="en-US" w:bidi="ar-SA"/>
        </w:rPr>
        <w:t>Bathurst</w:t>
      </w:r>
      <w:r>
        <w:rPr>
          <w:rFonts w:ascii="arial" w:eastAsia="arial" w:hAnsi="arial" w:cs="arial"/>
          <w:color w:val="000000"/>
          <w:sz w:val="20"/>
          <w:lang w:val="en-US" w:eastAsia="en-US" w:bidi="ar-SA"/>
        </w:rPr>
        <w:t>, para. 76(6)).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271</w:t>
      </w:r>
      <w:r>
        <w:rPr>
          <w:rFonts w:ascii="arial" w:eastAsia="arial" w:hAnsi="arial" w:cs="arial"/>
          <w:color w:val="000000"/>
          <w:sz w:val="20"/>
          <w:lang w:val="en-US" w:eastAsia="en-US" w:bidi="ar-SA"/>
        </w:rPr>
        <w:t>  It should be noted that TLC has only fairly recently entered these restructuring proceedings and it remains to be seen whether it will be successful and if so, what its situation will be when it emerges. In the interim, I appreciate that it is attempting, as quickly as possible, to downsize its assets (and hence operational liabilities) as it has been authorized to do per the Initial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272</w:t>
      </w:r>
      <w:r>
        <w:rPr>
          <w:rFonts w:ascii="arial" w:eastAsia="arial" w:hAnsi="arial" w:cs="arial"/>
          <w:color w:val="000000"/>
          <w:sz w:val="20"/>
          <w:lang w:val="en-US" w:eastAsia="en-US" w:bidi="ar-SA"/>
        </w:rPr>
        <w:t xml:space="preserve">  It is useful at this stage to return to the issue of what efforts were made by TLC to fulfill the specified charitable purpose, which matters were considered in both </w:t>
      </w:r>
      <w:r>
        <w:rPr>
          <w:rFonts w:ascii="arial" w:eastAsia="arial" w:hAnsi="arial" w:cs="arial"/>
          <w:i/>
          <w:color w:val="000000"/>
          <w:sz w:val="20"/>
          <w:lang w:val="en-US" w:eastAsia="en-US" w:bidi="ar-SA"/>
        </w:rPr>
        <w:t>Lee</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Bathurst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273</w:t>
      </w:r>
      <w:r>
        <w:rPr>
          <w:rFonts w:ascii="arial" w:eastAsia="arial" w:hAnsi="arial" w:cs="arial"/>
          <w:color w:val="000000"/>
          <w:sz w:val="20"/>
          <w:lang w:val="en-US" w:eastAsia="en-US" w:bidi="ar-SA"/>
        </w:rPr>
        <w:t xml:space="preserve">  TLC has had title and management of the Binning House now for some five years. Despite unsuccessful efforts to raise an endowment fund to allow the Binning House to continue, TLC has continued to fund the operations of the property with the original intention of preserving it into the future. At no time in those five years did TLC decide that it could not or would not continue in that respect and of course, nor did it seek to sell the Binning House in the market. Even after the </w:t>
      </w:r>
      <w:r>
        <w:rPr>
          <w:rFonts w:ascii="arial" w:eastAsia="arial" w:hAnsi="arial" w:cs="arial"/>
          <w:i/>
          <w:color w:val="000000"/>
          <w:sz w:val="20"/>
          <w:lang w:val="en-US" w:eastAsia="en-US" w:bidi="ar-SA"/>
        </w:rPr>
        <w:t>CCAA</w:t>
      </w:r>
      <w:r>
        <w:rPr>
          <w:rFonts w:ascii="arial" w:eastAsia="arial" w:hAnsi="arial" w:cs="arial"/>
          <w:color w:val="000000"/>
          <w:sz w:val="20"/>
          <w:lang w:val="en-US" w:eastAsia="en-US" w:bidi="ar-SA"/>
        </w:rPr>
        <w:t xml:space="preserve"> filing in October 2013, no efforts were made to transfer or sell the Binning House. In other words, TLC did not, even after its admitted insolvency in these proceedings, make any decision that shedding its obligations in relation to the Binning House was integral to a solution to its financial woes.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274</w:t>
      </w:r>
      <w:r>
        <w:rPr>
          <w:rFonts w:ascii="arial" w:eastAsia="arial" w:hAnsi="arial" w:cs="arial"/>
          <w:color w:val="000000"/>
          <w:sz w:val="20"/>
          <w:lang w:val="en-US" w:eastAsia="en-US" w:bidi="ar-SA"/>
        </w:rPr>
        <w:t>  As I stated previously, BJW's offer in late October 2013 was unsolicited and no process, whether formal or informal, has been made to find another offer. Only after receiving that offer does it appear that TLC has made the decision that selling the Binning House is in its best interests.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275</w:t>
      </w:r>
      <w:r>
        <w:rPr>
          <w:rFonts w:ascii="arial" w:eastAsia="arial" w:hAnsi="arial" w:cs="arial"/>
          <w:color w:val="000000"/>
          <w:sz w:val="20"/>
          <w:lang w:val="en-US" w:eastAsia="en-US" w:bidi="ar-SA"/>
        </w:rPr>
        <w:t>  The difficulty with these circumstances is that I am unable to conclude that no other reasonable solution can be found to this problem - and by problem, I mean finding an alternate trustee who may be willing to assume the obligations relating to the ownership and administration of the Binning House. TLC states that no entity has come forward in the months of publicity surrounding TLC's financial difficulties and the announced sale of the Binning House that is willing to take the Binning House subject to a trust. Indeed, much ink has been spilled in the press about this issue. During the hearing, one person in the gallery did indicate a desire to take on the responsibility of holding the Binning House subject to the trust, however, she later indicated that she would not be presenting any offer.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276</w:t>
      </w:r>
      <w:r>
        <w:rPr>
          <w:rFonts w:ascii="arial" w:eastAsia="arial" w:hAnsi="arial" w:cs="arial"/>
          <w:color w:val="000000"/>
          <w:sz w:val="20"/>
          <w:lang w:val="en-US" w:eastAsia="en-US" w:bidi="ar-SA"/>
        </w:rPr>
        <w:t xml:space="preserve">  Nevertheless, I see no basis </w:t>
      </w:r>
      <w:r>
        <w:rPr>
          <w:rFonts w:ascii="arial" w:eastAsia="arial" w:hAnsi="arial" w:cs="arial"/>
          <w:i/>
          <w:color w:val="000000"/>
          <w:sz w:val="20"/>
          <w:lang w:val="en-US" w:eastAsia="en-US" w:bidi="ar-SA"/>
        </w:rPr>
        <w:t>at this time</w:t>
      </w:r>
      <w:r>
        <w:rPr>
          <w:rFonts w:ascii="arial" w:eastAsia="arial" w:hAnsi="arial" w:cs="arial"/>
          <w:color w:val="000000"/>
          <w:sz w:val="20"/>
          <w:lang w:val="en-US" w:eastAsia="en-US" w:bidi="ar-SA"/>
        </w:rPr>
        <w:t xml:space="preserve"> upon which TLC can argue that it is now "impossible" to continue to abide by the terms of the trust in preserving the Binning House. As for "impracticability", that may have arisen but the only intervening event that has occurred is TLC's insolvency and its intention to reduce its financial obligations in that respect.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277</w:t>
      </w:r>
      <w:r>
        <w:rPr>
          <w:rFonts w:ascii="arial" w:eastAsia="arial" w:hAnsi="arial" w:cs="arial"/>
          <w:color w:val="000000"/>
          <w:sz w:val="20"/>
          <w:lang w:val="en-US" w:eastAsia="en-US" w:bidi="ar-SA"/>
        </w:rPr>
        <w:t xml:space="preserve">  As stated in </w:t>
      </w:r>
      <w:r>
        <w:rPr>
          <w:rFonts w:ascii="arial" w:eastAsia="arial" w:hAnsi="arial" w:cs="arial"/>
          <w:i/>
          <w:color w:val="000000"/>
          <w:sz w:val="20"/>
          <w:lang w:val="en-US" w:eastAsia="en-US" w:bidi="ar-SA"/>
        </w:rPr>
        <w:t>Tudor</w:t>
      </w:r>
      <w:r>
        <w:rPr>
          <w:rFonts w:ascii="arial" w:eastAsia="arial" w:hAnsi="arial" w:cs="arial"/>
          <w:color w:val="000000"/>
          <w:sz w:val="20"/>
          <w:lang w:val="en-US" w:eastAsia="en-US" w:bidi="ar-SA"/>
        </w:rPr>
        <w:t xml:space="preserve"> at 375, "[a] charitable gift will not fail for want of a trustee".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278</w:t>
      </w:r>
      <w:r>
        <w:rPr>
          <w:rFonts w:ascii="arial" w:eastAsia="arial" w:hAnsi="arial" w:cs="arial"/>
          <w:color w:val="000000"/>
          <w:sz w:val="20"/>
          <w:lang w:val="en-US" w:eastAsia="en-US" w:bidi="ar-SA"/>
        </w:rPr>
        <w:t xml:space="preserve">  Unlike the courts in </w:t>
      </w:r>
      <w:r>
        <w:rPr>
          <w:rFonts w:ascii="arial" w:eastAsia="arial" w:hAnsi="arial" w:cs="arial"/>
          <w:i/>
          <w:color w:val="000000"/>
          <w:sz w:val="20"/>
          <w:lang w:val="en-US" w:eastAsia="en-US" w:bidi="ar-SA"/>
        </w:rPr>
        <w:t>Lee</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Bathurst</w:t>
      </w:r>
      <w:r>
        <w:rPr>
          <w:rFonts w:ascii="arial" w:eastAsia="arial" w:hAnsi="arial" w:cs="arial"/>
          <w:color w:val="000000"/>
          <w:sz w:val="20"/>
          <w:lang w:val="en-US" w:eastAsia="en-US" w:bidi="ar-SA"/>
        </w:rPr>
        <w:t xml:space="preserve">, I am not satisfied at this stage that another trustee cannot be found if some efforts are made beyond relying on the notoriety of this case in the press. It may be the case that someone else can be found to purchase the Binning House on the basis of the trust, and it remains a possibility that BJW/Mr. Wall is willing to do so. Alternatively, it is possible that another trustee may be found to take on the trust conditions with some reasonable modifications that might be considered under the </w:t>
      </w:r>
      <w:r>
        <w:rPr>
          <w:rFonts w:ascii="arial" w:eastAsia="arial" w:hAnsi="arial" w:cs="arial"/>
          <w:i/>
          <w:color w:val="000000"/>
          <w:sz w:val="20"/>
          <w:lang w:val="en-US" w:eastAsia="en-US" w:bidi="ar-SA"/>
        </w:rPr>
        <w:t>cy-près</w:t>
      </w:r>
      <w:r>
        <w:rPr>
          <w:rFonts w:ascii="arial" w:eastAsia="arial" w:hAnsi="arial" w:cs="arial"/>
          <w:color w:val="000000"/>
          <w:sz w:val="20"/>
          <w:lang w:val="en-US" w:eastAsia="en-US" w:bidi="ar-SA"/>
        </w:rPr>
        <w:t xml:space="preserve"> doctrine.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279</w:t>
      </w:r>
      <w:r>
        <w:rPr>
          <w:rFonts w:ascii="arial" w:eastAsia="arial" w:hAnsi="arial" w:cs="arial"/>
          <w:color w:val="000000"/>
          <w:sz w:val="20"/>
          <w:lang w:val="en-US" w:eastAsia="en-US" w:bidi="ar-SA"/>
        </w:rPr>
        <w:t xml:space="preserve">  TLC also relies on the application of the </w:t>
      </w:r>
      <w:r>
        <w:rPr>
          <w:rFonts w:ascii="arial" w:eastAsia="arial" w:hAnsi="arial" w:cs="arial"/>
          <w:i/>
          <w:color w:val="000000"/>
          <w:sz w:val="20"/>
          <w:lang w:val="en-US" w:eastAsia="en-US" w:bidi="ar-SA"/>
        </w:rPr>
        <w:t>CPPA</w:t>
      </w:r>
      <w:r>
        <w:rPr>
          <w:rFonts w:ascii="arial" w:eastAsia="arial" w:hAnsi="arial" w:cs="arial"/>
          <w:color w:val="000000"/>
          <w:sz w:val="20"/>
          <w:lang w:val="en-US" w:eastAsia="en-US" w:bidi="ar-SA"/>
        </w:rPr>
        <w:t xml:space="preserve">, s. 3(4) as providing a basis upon which to modify the trust. In </w:t>
      </w:r>
      <w:r>
        <w:rPr>
          <w:rFonts w:ascii="arial" w:eastAsia="arial" w:hAnsi="arial" w:cs="arial"/>
          <w:i/>
          <w:color w:val="000000"/>
          <w:sz w:val="20"/>
          <w:lang w:val="en-US" w:eastAsia="en-US" w:bidi="ar-SA"/>
        </w:rPr>
        <w:t>Lee</w:t>
      </w:r>
      <w:r>
        <w:rPr>
          <w:rFonts w:ascii="arial" w:eastAsia="arial" w:hAnsi="arial" w:cs="arial"/>
          <w:color w:val="000000"/>
          <w:sz w:val="20"/>
          <w:lang w:val="en-US" w:eastAsia="en-US" w:bidi="ar-SA"/>
        </w:rPr>
        <w:t xml:space="preserve">, the court confirmed that the </w:t>
      </w:r>
      <w:r>
        <w:rPr>
          <w:rFonts w:ascii="arial" w:eastAsia="arial" w:hAnsi="arial" w:cs="arial"/>
          <w:i/>
          <w:color w:val="000000"/>
          <w:sz w:val="20"/>
          <w:lang w:val="en-US" w:eastAsia="en-US" w:bidi="ar-SA"/>
        </w:rPr>
        <w:t>CPPA</w:t>
      </w:r>
      <w:r>
        <w:rPr>
          <w:rFonts w:ascii="arial" w:eastAsia="arial" w:hAnsi="arial" w:cs="arial"/>
          <w:color w:val="000000"/>
          <w:sz w:val="20"/>
          <w:lang w:val="en-US" w:eastAsia="en-US" w:bidi="ar-SA"/>
        </w:rPr>
        <w:t xml:space="preserve"> is of general application and provides a separate legislative basis upon which a court might address these types of issues beyond </w:t>
      </w:r>
      <w:r>
        <w:rPr>
          <w:rFonts w:ascii="arial" w:eastAsia="arial" w:hAnsi="arial" w:cs="arial"/>
          <w:i/>
          <w:color w:val="000000"/>
          <w:sz w:val="20"/>
          <w:lang w:val="en-US" w:eastAsia="en-US" w:bidi="ar-SA"/>
        </w:rPr>
        <w:t>cy-près</w:t>
      </w:r>
      <w:r>
        <w:rPr>
          <w:rFonts w:ascii="arial" w:eastAsia="arial" w:hAnsi="arial" w:cs="arial"/>
          <w:color w:val="000000"/>
          <w:sz w:val="20"/>
          <w:lang w:val="en-US" w:eastAsia="en-US" w:bidi="ar-SA"/>
        </w:rPr>
        <w:t xml:space="preserve">: paras. 56-57. If the legislature had simply meant to confirm the court's ability to provide relief on the basis of </w:t>
      </w:r>
      <w:r>
        <w:rPr>
          <w:rFonts w:ascii="arial" w:eastAsia="arial" w:hAnsi="arial" w:cs="arial"/>
          <w:i/>
          <w:color w:val="000000"/>
          <w:sz w:val="20"/>
          <w:lang w:val="en-US" w:eastAsia="en-US" w:bidi="ar-SA"/>
        </w:rPr>
        <w:t>cy-près</w:t>
      </w:r>
      <w:r>
        <w:rPr>
          <w:rFonts w:ascii="arial" w:eastAsia="arial" w:hAnsi="arial" w:cs="arial"/>
          <w:color w:val="000000"/>
          <w:sz w:val="20"/>
          <w:lang w:val="en-US" w:eastAsia="en-US" w:bidi="ar-SA"/>
        </w:rPr>
        <w:t xml:space="preserve">, then the introduction of this specific provision was unnecessary: </w:t>
      </w:r>
      <w:r>
        <w:rPr>
          <w:rFonts w:ascii="arial" w:eastAsia="arial" w:hAnsi="arial" w:cs="arial"/>
          <w:i/>
          <w:color w:val="000000"/>
          <w:sz w:val="20"/>
          <w:lang w:val="en-US" w:eastAsia="en-US" w:bidi="ar-SA"/>
        </w:rPr>
        <w:t>CPPA</w:t>
      </w:r>
      <w:r>
        <w:rPr>
          <w:rFonts w:ascii="arial" w:eastAsia="arial" w:hAnsi="arial" w:cs="arial"/>
          <w:color w:val="000000"/>
          <w:sz w:val="20"/>
          <w:lang w:val="en-US" w:eastAsia="en-US" w:bidi="ar-SA"/>
        </w:rPr>
        <w:t>, ss. 3(3), 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280</w:t>
      </w:r>
      <w:r>
        <w:rPr>
          <w:rFonts w:ascii="arial" w:eastAsia="arial" w:hAnsi="arial" w:cs="arial"/>
          <w:color w:val="000000"/>
          <w:sz w:val="20"/>
          <w:lang w:val="en-US" w:eastAsia="en-US" w:bidi="ar-SA"/>
        </w:rPr>
        <w:t xml:space="preserve">  I accept, per s. 3(4) of the </w:t>
      </w:r>
      <w:r>
        <w:rPr>
          <w:rFonts w:ascii="arial" w:eastAsia="arial" w:hAnsi="arial" w:cs="arial"/>
          <w:i/>
          <w:color w:val="000000"/>
          <w:sz w:val="20"/>
          <w:lang w:val="en-US" w:eastAsia="en-US" w:bidi="ar-SA"/>
        </w:rPr>
        <w:t>CPPA</w:t>
      </w:r>
      <w:r>
        <w:rPr>
          <w:rFonts w:ascii="arial" w:eastAsia="arial" w:hAnsi="arial" w:cs="arial"/>
          <w:color w:val="000000"/>
          <w:sz w:val="20"/>
          <w:lang w:val="en-US" w:eastAsia="en-US" w:bidi="ar-SA"/>
        </w:rPr>
        <w:t xml:space="preserve">, that TLC is "unwilling" to continue to keep, administer and use the Binning House to preserve it into the future. As for it being "unable" to do so, this is akin to being "impossible". Again, the evidence could have been more fulsome in terms of its financial capabilities in that respect beyond the general statement of the Monitor, although I accept, as the court did in </w:t>
      </w:r>
      <w:r>
        <w:rPr>
          <w:rFonts w:ascii="arial" w:eastAsia="arial" w:hAnsi="arial" w:cs="arial"/>
          <w:i/>
          <w:color w:val="000000"/>
          <w:sz w:val="20"/>
          <w:lang w:val="en-US" w:eastAsia="en-US" w:bidi="ar-SA"/>
        </w:rPr>
        <w:t>Lee</w:t>
      </w:r>
      <w:r>
        <w:rPr>
          <w:rFonts w:ascii="arial" w:eastAsia="arial" w:hAnsi="arial" w:cs="arial"/>
          <w:color w:val="000000"/>
          <w:sz w:val="20"/>
          <w:lang w:val="en-US" w:eastAsia="en-US" w:bidi="ar-SA"/>
        </w:rPr>
        <w:t>, that there would appear to be good financial reasons for TLC to rid itself of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281</w:t>
      </w:r>
      <w:r>
        <w:rPr>
          <w:rFonts w:ascii="arial" w:eastAsia="arial" w:hAnsi="arial" w:cs="arial"/>
          <w:color w:val="000000"/>
          <w:sz w:val="20"/>
          <w:lang w:val="en-US" w:eastAsia="en-US" w:bidi="ar-SA"/>
        </w:rPr>
        <w:t xml:space="preserve">  The more difficult issue is whether the order sought by TLC is "appropriate" under the </w:t>
      </w:r>
      <w:r>
        <w:rPr>
          <w:rFonts w:ascii="arial" w:eastAsia="arial" w:hAnsi="arial" w:cs="arial"/>
          <w:i/>
          <w:color w:val="000000"/>
          <w:sz w:val="20"/>
          <w:lang w:val="en-US" w:eastAsia="en-US" w:bidi="ar-SA"/>
        </w:rPr>
        <w:t>CPPA</w:t>
      </w:r>
      <w:r>
        <w:rPr>
          <w:rFonts w:ascii="arial" w:eastAsia="arial" w:hAnsi="arial" w:cs="arial"/>
          <w:color w:val="000000"/>
          <w:sz w:val="20"/>
          <w:lang w:val="en-US" w:eastAsia="en-US" w:bidi="ar-SA"/>
        </w:rPr>
        <w:t xml:space="preserve">, s. 3(4). Section 3(4) of the </w:t>
      </w:r>
      <w:r>
        <w:rPr>
          <w:rFonts w:ascii="arial" w:eastAsia="arial" w:hAnsi="arial" w:cs="arial"/>
          <w:i/>
          <w:color w:val="000000"/>
          <w:sz w:val="20"/>
          <w:lang w:val="en-US" w:eastAsia="en-US" w:bidi="ar-SA"/>
        </w:rPr>
        <w:t>CPPA</w:t>
      </w:r>
      <w:r>
        <w:rPr>
          <w:rFonts w:ascii="arial" w:eastAsia="arial" w:hAnsi="arial" w:cs="arial"/>
          <w:color w:val="000000"/>
          <w:sz w:val="20"/>
          <w:lang w:val="en-US" w:eastAsia="en-US" w:bidi="ar-SA"/>
        </w:rPr>
        <w:t xml:space="preserve"> provides the court with considerable discretion that may be exercised to fashion a remedy that is "appropriate" in respect of "discrete purpose charitable property". Nevertheless, the exercise of that discretion is subject to the court finding, as a precondition, that the original charity is "unwilling" or "unable" to continue to keep, administer and use the discrete purpose charitable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282</w:t>
      </w:r>
      <w:r>
        <w:rPr>
          <w:rFonts w:ascii="arial" w:eastAsia="arial" w:hAnsi="arial" w:cs="arial"/>
          <w:color w:val="000000"/>
          <w:sz w:val="20"/>
          <w:lang w:val="en-US" w:eastAsia="en-US" w:bidi="ar-SA"/>
        </w:rPr>
        <w:t xml:space="preserve">  The relief which may be granted by the court </w:t>
      </w:r>
      <w:r>
        <w:rPr>
          <w:rFonts w:ascii="arial" w:eastAsia="arial" w:hAnsi="arial" w:cs="arial"/>
          <w:i/>
          <w:color w:val="000000"/>
          <w:sz w:val="20"/>
          <w:lang w:val="en-US" w:eastAsia="en-US" w:bidi="ar-SA"/>
        </w:rPr>
        <w:t>may</w:t>
      </w:r>
      <w:r>
        <w:rPr>
          <w:rFonts w:ascii="arial" w:eastAsia="arial" w:hAnsi="arial" w:cs="arial"/>
          <w:color w:val="000000"/>
          <w:sz w:val="20"/>
          <w:lang w:val="en-US" w:eastAsia="en-US" w:bidi="ar-SA"/>
        </w:rPr>
        <w:t xml:space="preserve"> include, but may not necessarily include, a transfer of the property to a "new charity". Whether the property is to remain with the original trustee or is to be transferred to a new charity, two options emerge. The court must have regard to whether the property is to be kept administered and used to:</w:t>
      </w:r>
      <w:r>
        <w:rPr>
          <w:rFonts w:ascii="arial" w:eastAsia="arial" w:hAnsi="arial" w:cs="arial"/>
          <w:sz w:val="20"/>
          <w:lang w:val="en-US" w:eastAsia="en-US" w:bidi="ar-SA"/>
        </w:rPr>
        <w:cr/>
      </w:r>
    </w:p>
    <w:p>
      <w:pPr>
        <w:numPr>
          <w:numId w:val="7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advance the "discrete purpose"; or</w:t>
      </w:r>
    </w:p>
    <w:p>
      <w:pPr>
        <w:numPr>
          <w:numId w:val="7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advance another "charitable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283</w:t>
      </w:r>
      <w:r>
        <w:rPr>
          <w:rFonts w:ascii="arial" w:eastAsia="arial" w:hAnsi="arial" w:cs="arial"/>
          <w:color w:val="000000"/>
          <w:sz w:val="20"/>
          <w:lang w:val="en-US" w:eastAsia="en-US" w:bidi="ar-SA"/>
        </w:rPr>
        <w:t>  With respect to the second option, the court has discretion to modify the existing trust, whether in the hands of the original trustee or a new charity, if two preconditions are met:</w:t>
      </w:r>
      <w:r>
        <w:rPr>
          <w:rFonts w:ascii="arial" w:eastAsia="arial" w:hAnsi="arial" w:cs="arial"/>
          <w:sz w:val="20"/>
          <w:lang w:val="en-US" w:eastAsia="en-US" w:bidi="ar-SA"/>
        </w:rPr>
        <w:cr/>
      </w:r>
    </w:p>
    <w:p>
      <w:pPr>
        <w:numPr>
          <w:numId w:val="7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firstly, the other "charitable purpose" must be one recognized from </w:t>
      </w:r>
      <w:r>
        <w:rPr>
          <w:rFonts w:ascii="arial" w:eastAsia="arial" w:hAnsi="arial" w:cs="arial"/>
          <w:i/>
          <w:color w:val="000000"/>
          <w:sz w:val="20"/>
          <w:lang w:val="en-US" w:eastAsia="en-US" w:bidi="ar-SA"/>
        </w:rPr>
        <w:t>Pemsel</w:t>
      </w:r>
      <w:r>
        <w:rPr>
          <w:rFonts w:ascii="arial" w:eastAsia="arial" w:hAnsi="arial" w:cs="arial"/>
          <w:color w:val="000000"/>
          <w:sz w:val="20"/>
          <w:lang w:val="en-US" w:eastAsia="en-US" w:bidi="ar-SA"/>
        </w:rPr>
        <w:t xml:space="preserve"> as discussed above, which may include the payment of debts or liabilities, including expenses, arising from the actual, intended or purported advancement of that purpose (see </w:t>
      </w:r>
      <w:r>
        <w:rPr>
          <w:rFonts w:ascii="arial" w:eastAsia="arial" w:hAnsi="arial" w:cs="arial"/>
          <w:i/>
          <w:color w:val="000000"/>
          <w:sz w:val="20"/>
          <w:lang w:val="en-US" w:eastAsia="en-US" w:bidi="ar-SA"/>
        </w:rPr>
        <w:t>CPPA</w:t>
      </w:r>
      <w:r>
        <w:rPr>
          <w:rFonts w:ascii="arial" w:eastAsia="arial" w:hAnsi="arial" w:cs="arial"/>
          <w:color w:val="000000"/>
          <w:sz w:val="20"/>
          <w:lang w:val="en-US" w:eastAsia="en-US" w:bidi="ar-SA"/>
        </w:rPr>
        <w:t xml:space="preserve">, s. 1, definition of "charitable purpose"). In that event, the court must specify the "charitable purpose" in the order (see </w:t>
      </w:r>
      <w:r>
        <w:rPr>
          <w:rFonts w:ascii="arial" w:eastAsia="arial" w:hAnsi="arial" w:cs="arial"/>
          <w:i/>
          <w:color w:val="000000"/>
          <w:sz w:val="20"/>
          <w:lang w:val="en-US" w:eastAsia="en-US" w:bidi="ar-SA"/>
        </w:rPr>
        <w:t>CPPA</w:t>
      </w:r>
      <w:r>
        <w:rPr>
          <w:rFonts w:ascii="arial" w:eastAsia="arial" w:hAnsi="arial" w:cs="arial"/>
          <w:color w:val="000000"/>
          <w:sz w:val="20"/>
          <w:lang w:val="en-US" w:eastAsia="en-US" w:bidi="ar-SA"/>
        </w:rPr>
        <w:t>, s. 1, definition of "discrete purpose (b)"); and</w:t>
      </w:r>
    </w:p>
    <w:p>
      <w:pPr>
        <w:numPr>
          <w:numId w:val="7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secondly, this other "charitable purpose" must be "consistent with" the discrete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284</w:t>
      </w:r>
      <w:r>
        <w:rPr>
          <w:rFonts w:ascii="arial" w:eastAsia="arial" w:hAnsi="arial" w:cs="arial"/>
          <w:color w:val="000000"/>
          <w:sz w:val="20"/>
          <w:lang w:val="en-US" w:eastAsia="en-US" w:bidi="ar-SA"/>
        </w:rPr>
        <w:t xml:space="preserve">  I acknowledge that there is currently considerable disagreement between TLC on the one hand and the AG and the District on the other, about the potential application of s. 3(4) of the </w:t>
      </w:r>
      <w:r>
        <w:rPr>
          <w:rFonts w:ascii="arial" w:eastAsia="arial" w:hAnsi="arial" w:cs="arial"/>
          <w:i/>
          <w:color w:val="000000"/>
          <w:sz w:val="20"/>
          <w:lang w:val="en-US" w:eastAsia="en-US" w:bidi="ar-SA"/>
        </w:rPr>
        <w:t>CPPA</w:t>
      </w:r>
      <w:r>
        <w:rPr>
          <w:rFonts w:ascii="arial" w:eastAsia="arial" w:hAnsi="arial" w:cs="arial"/>
          <w:color w:val="000000"/>
          <w:sz w:val="20"/>
          <w:lang w:val="en-US" w:eastAsia="en-US" w:bidi="ar-SA"/>
        </w:rPr>
        <w:t xml:space="preserve">. It must be noted, however, that the AG's arguments are not directed at the overarching discretion afforded under the </w:t>
      </w:r>
      <w:r>
        <w:rPr>
          <w:rFonts w:ascii="arial" w:eastAsia="arial" w:hAnsi="arial" w:cs="arial"/>
          <w:i/>
          <w:color w:val="000000"/>
          <w:sz w:val="20"/>
          <w:lang w:val="en-US" w:eastAsia="en-US" w:bidi="ar-SA"/>
        </w:rPr>
        <w:t>CPPA</w:t>
      </w:r>
      <w:r>
        <w:rPr>
          <w:rFonts w:ascii="arial" w:eastAsia="arial" w:hAnsi="arial" w:cs="arial"/>
          <w:color w:val="000000"/>
          <w:sz w:val="20"/>
          <w:lang w:val="en-US" w:eastAsia="en-US" w:bidi="ar-SA"/>
        </w:rPr>
        <w:t>, s. 3(4), but are only focussed on what she says is the potential option of a transfer to TLC as a "new charity" other than to advance the "discrete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285</w:t>
      </w:r>
      <w:r>
        <w:rPr>
          <w:rFonts w:ascii="arial" w:eastAsia="arial" w:hAnsi="arial" w:cs="arial"/>
          <w:color w:val="000000"/>
          <w:sz w:val="20"/>
          <w:lang w:val="en-US" w:eastAsia="en-US" w:bidi="ar-SA"/>
        </w:rPr>
        <w:t xml:space="preserve">  Firstly, the AG asserts that under the </w:t>
      </w:r>
      <w:r>
        <w:rPr>
          <w:rFonts w:ascii="arial" w:eastAsia="arial" w:hAnsi="arial" w:cs="arial"/>
          <w:i/>
          <w:color w:val="000000"/>
          <w:sz w:val="20"/>
          <w:lang w:val="en-US" w:eastAsia="en-US" w:bidi="ar-SA"/>
        </w:rPr>
        <w:t>CPPA</w:t>
      </w:r>
      <w:r>
        <w:rPr>
          <w:rFonts w:ascii="arial" w:eastAsia="arial" w:hAnsi="arial" w:cs="arial"/>
          <w:color w:val="000000"/>
          <w:sz w:val="20"/>
          <w:lang w:val="en-US" w:eastAsia="en-US" w:bidi="ar-SA"/>
        </w:rPr>
        <w:t xml:space="preserve">, s. 3(4), this court must first consider whether an order approving the sale of the Binning House advances "another charitable purpose" as defined under the </w:t>
      </w:r>
      <w:r>
        <w:rPr>
          <w:rFonts w:ascii="arial" w:eastAsia="arial" w:hAnsi="arial" w:cs="arial"/>
          <w:i/>
          <w:color w:val="000000"/>
          <w:sz w:val="20"/>
          <w:lang w:val="en-US" w:eastAsia="en-US" w:bidi="ar-SA"/>
        </w:rPr>
        <w:t>CPPA</w:t>
      </w:r>
      <w:r>
        <w:rPr>
          <w:rFonts w:ascii="arial" w:eastAsia="arial" w:hAnsi="arial" w:cs="arial"/>
          <w:color w:val="000000"/>
          <w:sz w:val="20"/>
          <w:lang w:val="en-US" w:eastAsia="en-US" w:bidi="ar-SA"/>
        </w:rPr>
        <w:t xml:space="preserve"> or at common law. The AG says that a "charitable purpose" does not include the payment of TLC's general debts but only those debts incidental to a purpose recognized at law as being charitable, i.e. the Deed of Gift purposes. Further, the AG says that payment of TLC's general debts does not advance the discrete or specific charitable purposes of the other gifts under TLC's administration, because the purposes of those charitable gifts do not fail for want of TLC as trustee.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286</w:t>
      </w:r>
      <w:r>
        <w:rPr>
          <w:rFonts w:ascii="arial" w:eastAsia="arial" w:hAnsi="arial" w:cs="arial"/>
          <w:color w:val="000000"/>
          <w:sz w:val="20"/>
          <w:lang w:val="en-US" w:eastAsia="en-US" w:bidi="ar-SA"/>
        </w:rPr>
        <w:t xml:space="preserve">  In essence, TLC argues that the trust should be modified so as to allow the Binning House to be held for TLC's general purposes which are undeniably "charitable purposes" - i.e. "to contribute to and improve the education, health and welfare of the general public and to benefit the community as a whole by the promotion and encouragement of the protection, preservation, restoration, beneficial use and management of ... areas of scientific, historical, cultural, scenic and compatible outdoor recreational value." If so, TLC proposes, in accordance with its Bylaws, to sell the property with the proceeds of sale available in furtherance of the general trust purpose. TLC intends to use the proceeds to restructure and thereby enable it to continue to preserve and protect other properties for the benefit of the broader community. This is arguably similar to the result in </w:t>
      </w:r>
      <w:r>
        <w:rPr>
          <w:rFonts w:ascii="arial" w:eastAsia="arial" w:hAnsi="arial" w:cs="arial"/>
          <w:i/>
          <w:color w:val="000000"/>
          <w:sz w:val="20"/>
          <w:lang w:val="en-US" w:eastAsia="en-US" w:bidi="ar-SA"/>
        </w:rPr>
        <w:t>Bathurst</w:t>
      </w:r>
      <w:r>
        <w:rPr>
          <w:rFonts w:ascii="arial" w:eastAsia="arial" w:hAnsi="arial" w:cs="arial"/>
          <w:color w:val="000000"/>
          <w:sz w:val="20"/>
          <w:lang w:val="en-US" w:eastAsia="en-US" w:bidi="ar-SA"/>
        </w:rPr>
        <w:t xml:space="preserve"> where the modification of the trust helped ensure the financial health of the Diocese in respect of its general charitable purposes. Finally, TLC argues that a sale to BJW/Mr. Wall will further the intentions of Jessie Binning and BHPS by transferring the Binning House to a purchaser with the financial capacity and willingness to restore, preserve and protect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287</w:t>
      </w:r>
      <w:r>
        <w:rPr>
          <w:rFonts w:ascii="arial" w:eastAsia="arial" w:hAnsi="arial" w:cs="arial"/>
          <w:color w:val="000000"/>
          <w:sz w:val="20"/>
          <w:lang w:val="en-US" w:eastAsia="en-US" w:bidi="ar-SA"/>
        </w:rPr>
        <w:t xml:space="preserve">  Secondly, the AG argues that if TLC is allowed to receive the proceeds from the sale of the Binning House for TLC's own charitable purposes (i.e. to administer charitable gifts of heritage properties), the court must consider under the </w:t>
      </w:r>
      <w:r>
        <w:rPr>
          <w:rFonts w:ascii="arial" w:eastAsia="arial" w:hAnsi="arial" w:cs="arial"/>
          <w:i/>
          <w:color w:val="000000"/>
          <w:sz w:val="20"/>
          <w:lang w:val="en-US" w:eastAsia="en-US" w:bidi="ar-SA"/>
        </w:rPr>
        <w:t>CPPA</w:t>
      </w:r>
      <w:r>
        <w:rPr>
          <w:rFonts w:ascii="arial" w:eastAsia="arial" w:hAnsi="arial" w:cs="arial"/>
          <w:color w:val="000000"/>
          <w:sz w:val="20"/>
          <w:lang w:val="en-US" w:eastAsia="en-US" w:bidi="ar-SA"/>
        </w:rPr>
        <w:t xml:space="preserve"> whether those purposes are "consistent with" the specific, discrete charitable purpose for which Binning House was given (i.e. protection of a specific piece of heritage property). There does not appear to be any judicial consideration on the meaning of that phrase; as the AG points out, it may not mean the degree of close connection of charitable purpose as under </w:t>
      </w:r>
      <w:r>
        <w:rPr>
          <w:rFonts w:ascii="arial" w:eastAsia="arial" w:hAnsi="arial" w:cs="arial"/>
          <w:i/>
          <w:color w:val="000000"/>
          <w:sz w:val="20"/>
          <w:lang w:val="en-US" w:eastAsia="en-US" w:bidi="ar-SA"/>
        </w:rPr>
        <w:t>cy-près</w:t>
      </w:r>
      <w:r>
        <w:rPr>
          <w:rFonts w:ascii="arial" w:eastAsia="arial" w:hAnsi="arial" w:cs="arial"/>
          <w:color w:val="000000"/>
          <w:sz w:val="20"/>
          <w:lang w:val="en-US" w:eastAsia="en-US" w:bidi="ar-SA"/>
        </w:rPr>
        <w:t xml:space="preserve">. Further, legislation in other jurisdictions, such as the </w:t>
      </w:r>
      <w:r>
        <w:rPr>
          <w:rFonts w:ascii="arial" w:eastAsia="arial" w:hAnsi="arial" w:cs="arial"/>
          <w:i/>
          <w:color w:val="000000"/>
          <w:sz w:val="20"/>
          <w:lang w:val="en-US" w:eastAsia="en-US" w:bidi="ar-SA"/>
        </w:rPr>
        <w:t>Charities Act 1993</w:t>
      </w:r>
      <w:r>
        <w:rPr>
          <w:rFonts w:ascii="arial" w:eastAsia="arial" w:hAnsi="arial" w:cs="arial"/>
          <w:color w:val="000000"/>
          <w:sz w:val="20"/>
          <w:lang w:val="en-US" w:eastAsia="en-US" w:bidi="ar-SA"/>
        </w:rPr>
        <w:t xml:space="preserve"> (UK) c. 10 from the United Kingdom, may or may not be of assistance given the statutory test under that act to have regard to the "spirit of the gift" (see </w:t>
      </w:r>
      <w:r>
        <w:rPr>
          <w:rFonts w:ascii="arial" w:eastAsia="arial" w:hAnsi="arial" w:cs="arial"/>
          <w:i/>
          <w:color w:val="000000"/>
          <w:sz w:val="20"/>
          <w:lang w:val="en-US" w:eastAsia="en-US" w:bidi="ar-SA"/>
        </w:rPr>
        <w:t>Varsani v. Jesani</w:t>
      </w:r>
      <w:r>
        <w:rPr>
          <w:rFonts w:ascii="arial" w:eastAsia="arial" w:hAnsi="arial" w:cs="arial"/>
          <w:color w:val="000000"/>
          <w:sz w:val="20"/>
          <w:lang w:val="en-US" w:eastAsia="en-US" w:bidi="ar-SA"/>
        </w:rPr>
        <w:t>, [1998] 3 All E.R. 273 (C.A.) discussed in</w:t>
      </w:r>
      <w:r>
        <w:rPr>
          <w:rFonts w:ascii="arial" w:eastAsia="arial" w:hAnsi="arial" w:cs="arial"/>
          <w:i/>
          <w:color w:val="000000"/>
          <w:sz w:val="20"/>
          <w:lang w:val="en-US" w:eastAsia="en-US" w:bidi="ar-SA"/>
        </w:rPr>
        <w:t xml:space="preserve"> Bentley</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288</w:t>
      </w:r>
      <w:r>
        <w:rPr>
          <w:rFonts w:ascii="arial" w:eastAsia="arial" w:hAnsi="arial" w:cs="arial"/>
          <w:color w:val="000000"/>
          <w:sz w:val="20"/>
          <w:lang w:val="en-US" w:eastAsia="en-US" w:bidi="ar-SA"/>
        </w:rPr>
        <w:t>  The AG submits that to approve the sale of Binning House and allow the proceeds to be spent to fund a process for the rescue of TLC is not "consistent with" the specific, discrete charitable purpose on which Binning House was given. Further, the AG says that it is antithetical to the purpose of that gift, namely that TLC preserve it, that TLC should now be trying to sell it for its own restructuring purposes.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289</w:t>
      </w:r>
      <w:r>
        <w:rPr>
          <w:rFonts w:ascii="arial" w:eastAsia="arial" w:hAnsi="arial" w:cs="arial"/>
          <w:color w:val="000000"/>
          <w:sz w:val="20"/>
          <w:lang w:val="en-US" w:eastAsia="en-US" w:bidi="ar-SA"/>
        </w:rPr>
        <w:t xml:space="preserve">  On the other hand, TLC says that the general purposes of preservation of heritage properties and public education can be fulfilled by an order under s. 3(4) of the </w:t>
      </w:r>
      <w:r>
        <w:rPr>
          <w:rFonts w:ascii="arial" w:eastAsia="arial" w:hAnsi="arial" w:cs="arial"/>
          <w:i/>
          <w:color w:val="000000"/>
          <w:sz w:val="20"/>
          <w:lang w:val="en-US" w:eastAsia="en-US" w:bidi="ar-SA"/>
        </w:rPr>
        <w:t>CPPA</w:t>
      </w:r>
      <w:r>
        <w:rPr>
          <w:rFonts w:ascii="arial" w:eastAsia="arial" w:hAnsi="arial" w:cs="arial"/>
          <w:color w:val="000000"/>
          <w:sz w:val="20"/>
          <w:lang w:val="en-US" w:eastAsia="en-US" w:bidi="ar-SA"/>
        </w:rPr>
        <w:t xml:space="preserve"> or the application of the </w:t>
      </w:r>
      <w:r>
        <w:rPr>
          <w:rFonts w:ascii="arial" w:eastAsia="arial" w:hAnsi="arial" w:cs="arial"/>
          <w:i/>
          <w:color w:val="000000"/>
          <w:sz w:val="20"/>
          <w:lang w:val="en-US" w:eastAsia="en-US" w:bidi="ar-SA"/>
        </w:rPr>
        <w:t>cy-près</w:t>
      </w:r>
      <w:r>
        <w:rPr>
          <w:rFonts w:ascii="arial" w:eastAsia="arial" w:hAnsi="arial" w:cs="arial"/>
          <w:color w:val="000000"/>
          <w:sz w:val="20"/>
          <w:lang w:val="en-US" w:eastAsia="en-US" w:bidi="ar-SA"/>
        </w:rPr>
        <w:t xml:space="preserve"> doctrine. TLC says that contributing to and improving "the education ... of the general public ... by the promotion and encouragement of the protection, preservation, restoration, beneficial use and management of" TLC's properties is "consistent with" (as required by the </w:t>
      </w:r>
      <w:r>
        <w:rPr>
          <w:rFonts w:ascii="arial" w:eastAsia="arial" w:hAnsi="arial" w:cs="arial"/>
          <w:i/>
          <w:color w:val="000000"/>
          <w:sz w:val="20"/>
          <w:lang w:val="en-US" w:eastAsia="en-US" w:bidi="ar-SA"/>
        </w:rPr>
        <w:t>CPPA</w:t>
      </w:r>
      <w:r>
        <w:rPr>
          <w:rFonts w:ascii="arial" w:eastAsia="arial" w:hAnsi="arial" w:cs="arial"/>
          <w:color w:val="000000"/>
          <w:sz w:val="20"/>
          <w:lang w:val="en-US" w:eastAsia="en-US" w:bidi="ar-SA"/>
        </w:rPr>
        <w:t xml:space="preserve">) and "close to" or </w:t>
      </w:r>
      <w:r>
        <w:rPr>
          <w:rFonts w:ascii="arial" w:eastAsia="arial" w:hAnsi="arial" w:cs="arial"/>
          <w:i/>
          <w:color w:val="000000"/>
          <w:sz w:val="20"/>
          <w:lang w:val="en-US" w:eastAsia="en-US" w:bidi="ar-SA"/>
        </w:rPr>
        <w:t>cy-près</w:t>
      </w:r>
      <w:r>
        <w:rPr>
          <w:rFonts w:ascii="arial" w:eastAsia="arial" w:hAnsi="arial" w:cs="arial"/>
          <w:color w:val="000000"/>
          <w:sz w:val="20"/>
          <w:lang w:val="en-US" w:eastAsia="en-US" w:bidi="ar-SA"/>
        </w:rPr>
        <w:t xml:space="preserve"> (as required by common law) to the discrete purpose, namely "historical purposes with a view to educating the public and commemorating the site" per the Deed of Gift. It says that this is particularly so given the current circumstances that the Binning House will be preserved by a private owner in a manner that, to date it has not been and will not be, in the not-for-profit domain. TLC therefore submits that it should be allowed to use the proceeds of sale in accordance with TLC's general purposes to fund these </w:t>
      </w:r>
      <w:r>
        <w:rPr>
          <w:rFonts w:ascii="arial" w:eastAsia="arial" w:hAnsi="arial" w:cs="arial"/>
          <w:i/>
          <w:color w:val="000000"/>
          <w:sz w:val="20"/>
          <w:lang w:val="en-US" w:eastAsia="en-US" w:bidi="ar-SA"/>
        </w:rPr>
        <w:t>CCAA</w:t>
      </w:r>
      <w:r>
        <w:rPr>
          <w:rFonts w:ascii="arial" w:eastAsia="arial" w:hAnsi="arial" w:cs="arial"/>
          <w:color w:val="000000"/>
          <w:sz w:val="20"/>
          <w:lang w:val="en-US" w:eastAsia="en-US" w:bidi="ar-SA"/>
        </w:rPr>
        <w:t xml:space="preserve"> proceedings and enable TLC to restructure and continue to fulfill its general purposes.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290</w:t>
      </w:r>
      <w:r>
        <w:rPr>
          <w:rFonts w:ascii="arial" w:eastAsia="arial" w:hAnsi="arial" w:cs="arial"/>
          <w:color w:val="000000"/>
          <w:sz w:val="20"/>
          <w:lang w:val="en-US" w:eastAsia="en-US" w:bidi="ar-SA"/>
        </w:rPr>
        <w:t>  I appreciate that there is some urgency in TLC's request and that its ability to survive and restructure in these proceedings demands that matters be addressed on an expedited basis. However, as I stated above, a determination of this issue affects not only the fate of TLC but almost certainly the fate of the Binning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291</w:t>
      </w:r>
      <w:r>
        <w:rPr>
          <w:rFonts w:ascii="arial" w:eastAsia="arial" w:hAnsi="arial" w:cs="arial"/>
          <w:color w:val="000000"/>
          <w:sz w:val="20"/>
          <w:lang w:val="en-US" w:eastAsia="en-US" w:bidi="ar-SA"/>
        </w:rPr>
        <w:t>  In my view, it is not possible to decide at this time and on the basis of the current evidence whether such an order is appropriate. Further evidence is required as to efforts by TLC to find another trustee to take on the Binning House, if possible, as discussed above. In particular, it cannot be determined whether someone else will take over to advance the discrete purpose of preserving Binning House into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292</w:t>
      </w:r>
      <w:r>
        <w:rPr>
          <w:rFonts w:ascii="arial" w:eastAsia="arial" w:hAnsi="arial" w:cs="arial"/>
          <w:color w:val="000000"/>
          <w:sz w:val="20"/>
          <w:lang w:val="en-US" w:eastAsia="en-US" w:bidi="ar-SA"/>
        </w:rPr>
        <w:t>  If there is no such person, or if someone is only willing to accept the trust on a modified basis, those would be very relevant considerations for the court to consider. In that respect, I will repeat again that no one, save for Mr. Wall, has yet stepped forward to take over the Binning House, with that person having the financial wherewithal to finance the substantial monetary obligations for structural repairs and ongoing maintenance for the Binning House in perpetuity. Good intentions are one thing, but they must, at least in this case, be married to a cheque book.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293</w:t>
      </w:r>
      <w:r>
        <w:rPr>
          <w:rFonts w:ascii="arial" w:eastAsia="arial" w:hAnsi="arial" w:cs="arial"/>
          <w:color w:val="000000"/>
          <w:sz w:val="20"/>
          <w:lang w:val="en-US" w:eastAsia="en-US" w:bidi="ar-SA"/>
        </w:rPr>
        <w:t>  If TLC is not able to sell the Binning House on trust and no one else emerges, then what is to become of the Binning House? The generosity of the District in granting tax exemptions might continue but no doubt other ongoing operational costs must be paid for, as with any old house. Is the court to require that TLC pay these costs and if so, on what basis and with what and whose money? If these costs are not incurred, then this cultural gem will be endangered perhaps beyond repair, despite the heritage status and the Bylaws.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294</w:t>
      </w:r>
      <w:r>
        <w:rPr>
          <w:rFonts w:ascii="arial" w:eastAsia="arial" w:hAnsi="arial" w:cs="arial"/>
          <w:color w:val="000000"/>
          <w:sz w:val="20"/>
          <w:lang w:val="en-US" w:eastAsia="en-US" w:bidi="ar-SA"/>
        </w:rPr>
        <w:t xml:space="preserve">  As TLC points out, if there is a specific purpose trust requiring TLC to retain the Binning House that will, somewhat ironically, likely ensure that the specific purpose imposed by BHPS is </w:t>
      </w:r>
      <w:r>
        <w:rPr>
          <w:rFonts w:ascii="arial" w:eastAsia="arial" w:hAnsi="arial" w:cs="arial"/>
          <w:i/>
          <w:color w:val="000000"/>
          <w:sz w:val="20"/>
          <w:lang w:val="en-US" w:eastAsia="en-US" w:bidi="ar-SA"/>
        </w:rPr>
        <w:t>not</w:t>
      </w:r>
      <w:r>
        <w:rPr>
          <w:rFonts w:ascii="arial" w:eastAsia="arial" w:hAnsi="arial" w:cs="arial"/>
          <w:color w:val="000000"/>
          <w:sz w:val="20"/>
          <w:lang w:val="en-US" w:eastAsia="en-US" w:bidi="ar-SA"/>
        </w:rPr>
        <w:t xml:space="preserve"> fulfilled and that the testamentary wishes of Jessie Binning are </w:t>
      </w:r>
      <w:r>
        <w:rPr>
          <w:rFonts w:ascii="arial" w:eastAsia="arial" w:hAnsi="arial" w:cs="arial"/>
          <w:i/>
          <w:color w:val="000000"/>
          <w:sz w:val="20"/>
          <w:lang w:val="en-US" w:eastAsia="en-US" w:bidi="ar-SA"/>
        </w:rPr>
        <w:t>not</w:t>
      </w:r>
      <w:r>
        <w:rPr>
          <w:rFonts w:ascii="arial" w:eastAsia="arial" w:hAnsi="arial" w:cs="arial"/>
          <w:color w:val="000000"/>
          <w:sz w:val="20"/>
          <w:lang w:val="en-US" w:eastAsia="en-US" w:bidi="ar-SA"/>
        </w:rPr>
        <w:t xml:space="preserve"> fulfilled. Here, TLC argues that serious damage will be incurred to both TLC and the Binning House in these circumstances by reason of its inability to finance restoration and maintenance of the Binning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295</w:t>
      </w:r>
      <w:r>
        <w:rPr>
          <w:rFonts w:ascii="arial" w:eastAsia="arial" w:hAnsi="arial" w:cs="arial"/>
          <w:color w:val="000000"/>
          <w:sz w:val="20"/>
          <w:lang w:val="en-US" w:eastAsia="en-US" w:bidi="ar-SA"/>
        </w:rPr>
        <w:t xml:space="preserve">  These are all valid arguments but, as discussed above, I decline to address them at this time on the basis of either </w:t>
      </w:r>
      <w:r>
        <w:rPr>
          <w:rFonts w:ascii="arial" w:eastAsia="arial" w:hAnsi="arial" w:cs="arial"/>
          <w:i/>
          <w:color w:val="000000"/>
          <w:sz w:val="20"/>
          <w:lang w:val="en-US" w:eastAsia="en-US" w:bidi="ar-SA"/>
        </w:rPr>
        <w:t>cy-près</w:t>
      </w:r>
      <w:r>
        <w:rPr>
          <w:rFonts w:ascii="arial" w:eastAsia="arial" w:hAnsi="arial" w:cs="arial"/>
          <w:color w:val="000000"/>
          <w:sz w:val="20"/>
          <w:lang w:val="en-US" w:eastAsia="en-US" w:bidi="ar-SA"/>
        </w:rPr>
        <w:t xml:space="preserve"> or the </w:t>
      </w:r>
      <w:r>
        <w:rPr>
          <w:rFonts w:ascii="arial" w:eastAsia="arial" w:hAnsi="arial" w:cs="arial"/>
          <w:i/>
          <w:color w:val="000000"/>
          <w:sz w:val="20"/>
          <w:lang w:val="en-US" w:eastAsia="en-US" w:bidi="ar-SA"/>
        </w:rPr>
        <w:t>CPPA</w:t>
      </w:r>
      <w:r>
        <w:rPr>
          <w:rFonts w:ascii="arial" w:eastAsia="arial" w:hAnsi="arial" w:cs="arial"/>
          <w:color w:val="000000"/>
          <w:sz w:val="20"/>
          <w:lang w:val="en-US" w:eastAsia="en-US" w:bidi="ar-SA"/>
        </w:rPr>
        <w:t>, s. 3(4) without a full evidentiary record regarding efforts of TLC to find a substitute trustee and the practical consequences of any failure to find such a trustee.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296</w:t>
      </w:r>
      <w:r>
        <w:rPr>
          <w:rFonts w:ascii="arial" w:eastAsia="arial" w:hAnsi="arial" w:cs="arial"/>
          <w:color w:val="000000"/>
          <w:sz w:val="20"/>
          <w:lang w:val="en-US" w:eastAsia="en-US" w:bidi="ar-SA"/>
        </w:rPr>
        <w:t xml:space="preserve">  On a final note, TLC has taken the position that it is an appropriate exercise of the Court's inherent and </w:t>
      </w:r>
      <w:r>
        <w:rPr>
          <w:rFonts w:ascii="arial" w:eastAsia="arial" w:hAnsi="arial" w:cs="arial"/>
          <w:i/>
          <w:color w:val="000000"/>
          <w:sz w:val="20"/>
          <w:lang w:val="en-US" w:eastAsia="en-US" w:bidi="ar-SA"/>
        </w:rPr>
        <w:t>CCAA</w:t>
      </w:r>
      <w:r>
        <w:rPr>
          <w:rFonts w:ascii="arial" w:eastAsia="arial" w:hAnsi="arial" w:cs="arial"/>
          <w:color w:val="000000"/>
          <w:sz w:val="20"/>
          <w:lang w:val="en-US" w:eastAsia="en-US" w:bidi="ar-SA"/>
        </w:rPr>
        <w:t xml:space="preserve"> jurisdiction to allow the Binning House to be held by TLC in trust for its general purposes and to authorize the sale of the Binning House through the </w:t>
      </w:r>
      <w:r>
        <w:rPr>
          <w:rFonts w:ascii="arial" w:eastAsia="arial" w:hAnsi="arial" w:cs="arial"/>
          <w:i/>
          <w:color w:val="000000"/>
          <w:sz w:val="20"/>
          <w:lang w:val="en-US" w:eastAsia="en-US" w:bidi="ar-SA"/>
        </w:rPr>
        <w:t>CCAA</w:t>
      </w:r>
      <w:r>
        <w:rPr>
          <w:rFonts w:ascii="arial" w:eastAsia="arial" w:hAnsi="arial" w:cs="arial"/>
          <w:color w:val="000000"/>
          <w:sz w:val="20"/>
          <w:lang w:val="en-US" w:eastAsia="en-US" w:bidi="ar-SA"/>
        </w:rPr>
        <w:t xml:space="preserve"> process, even in the face of trust obligations that may apply to those assets. TLC argues that this court should exercise its broad jurisdiction under the </w:t>
      </w:r>
      <w:r>
        <w:rPr>
          <w:rFonts w:ascii="arial" w:eastAsia="arial" w:hAnsi="arial" w:cs="arial"/>
          <w:i/>
          <w:color w:val="000000"/>
          <w:sz w:val="20"/>
          <w:lang w:val="en-US" w:eastAsia="en-US" w:bidi="ar-SA"/>
        </w:rPr>
        <w:t>CCAA</w:t>
      </w:r>
      <w:r>
        <w:rPr>
          <w:rFonts w:ascii="arial" w:eastAsia="arial" w:hAnsi="arial" w:cs="arial"/>
          <w:color w:val="000000"/>
          <w:sz w:val="20"/>
          <w:lang w:val="en-US" w:eastAsia="en-US" w:bidi="ar-SA"/>
        </w:rPr>
        <w:t>, s. 11 to "make any order that it considers appropriate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297</w:t>
      </w:r>
      <w:r>
        <w:rPr>
          <w:rFonts w:ascii="arial" w:eastAsia="arial" w:hAnsi="arial" w:cs="arial"/>
          <w:color w:val="000000"/>
          <w:sz w:val="20"/>
          <w:lang w:val="en-US" w:eastAsia="en-US" w:bidi="ar-SA"/>
        </w:rPr>
        <w:t xml:space="preserve">  As I stated earlier, no issue of paramountcy arises in this case. The issues raised on this application are largely not matters of discretion, whether relating to the issue of advancing the policy objectives of the </w:t>
      </w:r>
      <w:r>
        <w:rPr>
          <w:rFonts w:ascii="arial" w:eastAsia="arial" w:hAnsi="arial" w:cs="arial"/>
          <w:i/>
          <w:color w:val="000000"/>
          <w:sz w:val="20"/>
          <w:lang w:val="en-US" w:eastAsia="en-US" w:bidi="ar-SA"/>
        </w:rPr>
        <w:t>CCAA</w:t>
      </w:r>
      <w:r>
        <w:rPr>
          <w:rFonts w:ascii="arial" w:eastAsia="arial" w:hAnsi="arial" w:cs="arial"/>
          <w:color w:val="000000"/>
          <w:sz w:val="20"/>
          <w:lang w:val="en-US" w:eastAsia="en-US" w:bidi="ar-SA"/>
        </w:rPr>
        <w:t xml:space="preserve"> or otherwise: </w:t>
      </w:r>
      <w:r>
        <w:rPr>
          <w:rFonts w:ascii="arial" w:eastAsia="arial" w:hAnsi="arial" w:cs="arial"/>
          <w:i/>
          <w:color w:val="000000"/>
          <w:sz w:val="20"/>
          <w:lang w:val="en-US" w:eastAsia="en-US" w:bidi="ar-SA"/>
        </w:rPr>
        <w:t>Century Services Inc. v. Canada (Attorney General)</w:t>
      </w:r>
      <w:r>
        <w:rPr>
          <w:rFonts w:ascii="arial" w:eastAsia="arial" w:hAnsi="arial" w:cs="arial"/>
          <w:color w:val="000000"/>
          <w:sz w:val="20"/>
          <w:lang w:val="en-US" w:eastAsia="en-US" w:bidi="ar-SA"/>
        </w:rPr>
        <w:t xml:space="preserve">, </w:t>
      </w:r>
      <w:hyperlink r:id="rId372" w:history="1">
        <w:r>
          <w:rPr>
            <w:rFonts w:ascii="arial" w:eastAsia="arial" w:hAnsi="arial" w:cs="arial"/>
            <w:i/>
            <w:color w:val="0077CC"/>
            <w:sz w:val="20"/>
            <w:u w:val="single"/>
            <w:shd w:val="clear" w:color="auto" w:fill="FFFFFF"/>
            <w:lang w:val="en-US" w:eastAsia="en-US" w:bidi="ar-SA"/>
          </w:rPr>
          <w:t>2010 SCC 60</w:t>
        </w:r>
      </w:hyperlink>
      <w:r>
        <w:rPr>
          <w:rFonts w:ascii="arial" w:eastAsia="arial" w:hAnsi="arial" w:cs="arial"/>
          <w:color w:val="000000"/>
          <w:sz w:val="20"/>
          <w:lang w:val="en-US" w:eastAsia="en-US" w:bidi="ar-SA"/>
        </w:rPr>
        <w:t xml:space="preserve"> at para. 70. Rather, they are matters of determining the rights of TLC and other stakeholders in the Binning House. As such, the issues are to be decided based on the law that applies generally.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298</w:t>
      </w:r>
      <w:r>
        <w:rPr>
          <w:rFonts w:ascii="arial" w:eastAsia="arial" w:hAnsi="arial" w:cs="arial"/>
          <w:color w:val="000000"/>
          <w:sz w:val="20"/>
          <w:lang w:val="en-US" w:eastAsia="en-US" w:bidi="ar-SA"/>
        </w:rPr>
        <w:t xml:space="preserve">  In respect of the trust issues, in my view the matters are to be decided on the basis of the law already cited to me, whether under the </w:t>
      </w:r>
      <w:r>
        <w:rPr>
          <w:rFonts w:ascii="arial" w:eastAsia="arial" w:hAnsi="arial" w:cs="arial"/>
          <w:i/>
          <w:color w:val="000000"/>
          <w:sz w:val="20"/>
          <w:lang w:val="en-US" w:eastAsia="en-US" w:bidi="ar-SA"/>
        </w:rPr>
        <w:t>cy-près</w:t>
      </w:r>
      <w:r>
        <w:rPr>
          <w:rFonts w:ascii="arial" w:eastAsia="arial" w:hAnsi="arial" w:cs="arial"/>
          <w:color w:val="000000"/>
          <w:sz w:val="20"/>
          <w:lang w:val="en-US" w:eastAsia="en-US" w:bidi="ar-SA"/>
        </w:rPr>
        <w:t xml:space="preserve"> doctrine or under the </w:t>
      </w:r>
      <w:r>
        <w:rPr>
          <w:rFonts w:ascii="arial" w:eastAsia="arial" w:hAnsi="arial" w:cs="arial"/>
          <w:i/>
          <w:color w:val="000000"/>
          <w:sz w:val="20"/>
          <w:lang w:val="en-US" w:eastAsia="en-US" w:bidi="ar-SA"/>
        </w:rPr>
        <w:t>CPPA</w:t>
      </w:r>
      <w:r>
        <w:rPr>
          <w:rFonts w:ascii="arial" w:eastAsia="arial" w:hAnsi="arial" w:cs="arial"/>
          <w:color w:val="000000"/>
          <w:sz w:val="20"/>
          <w:lang w:val="en-US" w:eastAsia="en-US" w:bidi="ar-SA"/>
        </w:rPr>
        <w:t xml:space="preserve">. In respect of either or both the </w:t>
      </w:r>
      <w:r>
        <w:rPr>
          <w:rFonts w:ascii="arial" w:eastAsia="arial" w:hAnsi="arial" w:cs="arial"/>
          <w:i/>
          <w:color w:val="000000"/>
          <w:sz w:val="20"/>
          <w:lang w:val="en-US" w:eastAsia="en-US" w:bidi="ar-SA"/>
        </w:rPr>
        <w:t>cy-près</w:t>
      </w:r>
      <w:r>
        <w:rPr>
          <w:rFonts w:ascii="arial" w:eastAsia="arial" w:hAnsi="arial" w:cs="arial"/>
          <w:color w:val="000000"/>
          <w:sz w:val="20"/>
          <w:lang w:val="en-US" w:eastAsia="en-US" w:bidi="ar-SA"/>
        </w:rPr>
        <w:t xml:space="preserve"> doctrine and the </w:t>
      </w:r>
      <w:r>
        <w:rPr>
          <w:rFonts w:ascii="arial" w:eastAsia="arial" w:hAnsi="arial" w:cs="arial"/>
          <w:i/>
          <w:color w:val="000000"/>
          <w:sz w:val="20"/>
          <w:lang w:val="en-US" w:eastAsia="en-US" w:bidi="ar-SA"/>
        </w:rPr>
        <w:t>CPPA</w:t>
      </w:r>
      <w:r>
        <w:rPr>
          <w:rFonts w:ascii="arial" w:eastAsia="arial" w:hAnsi="arial" w:cs="arial"/>
          <w:color w:val="000000"/>
          <w:sz w:val="20"/>
          <w:lang w:val="en-US" w:eastAsia="en-US" w:bidi="ar-SA"/>
        </w:rPr>
        <w:t xml:space="preserve">, s. 3(4), it may be the case that any decision or discretion to be exercised in favour of TLC will be consonant with the policy objectives of the </w:t>
      </w:r>
      <w:r>
        <w:rPr>
          <w:rFonts w:ascii="arial" w:eastAsia="arial" w:hAnsi="arial" w:cs="arial"/>
          <w:i/>
          <w:color w:val="000000"/>
          <w:sz w:val="20"/>
          <w:lang w:val="en-US" w:eastAsia="en-US" w:bidi="ar-SA"/>
        </w:rPr>
        <w:t>CCAA</w:t>
      </w:r>
      <w:r>
        <w:rPr>
          <w:rFonts w:ascii="arial" w:eastAsia="arial" w:hAnsi="arial" w:cs="arial"/>
          <w:color w:val="000000"/>
          <w:sz w:val="20"/>
          <w:lang w:val="en-US" w:eastAsia="en-US" w:bidi="ar-SA"/>
        </w:rPr>
        <w:t>, but that remains to be seen.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299</w:t>
      </w:r>
      <w:r>
        <w:rPr>
          <w:rFonts w:ascii="arial" w:eastAsia="arial" w:hAnsi="arial" w:cs="arial"/>
          <w:color w:val="000000"/>
          <w:sz w:val="20"/>
          <w:lang w:val="en-US" w:eastAsia="en-US" w:bidi="ar-SA"/>
        </w:rPr>
        <w:t xml:space="preserve">  Accordingly, in these circumstances, TLC's application to approve the sale to BJW is adjourned generally, with liberty to reset the application with further evidence in respect of the potential application of either the </w:t>
      </w:r>
      <w:r>
        <w:rPr>
          <w:rFonts w:ascii="arial" w:eastAsia="arial" w:hAnsi="arial" w:cs="arial"/>
          <w:i/>
          <w:color w:val="000000"/>
          <w:sz w:val="20"/>
          <w:lang w:val="en-US" w:eastAsia="en-US" w:bidi="ar-SA"/>
        </w:rPr>
        <w:t>cy-près</w:t>
      </w:r>
      <w:r>
        <w:rPr>
          <w:rFonts w:ascii="arial" w:eastAsia="arial" w:hAnsi="arial" w:cs="arial"/>
          <w:color w:val="000000"/>
          <w:sz w:val="20"/>
          <w:lang w:val="en-US" w:eastAsia="en-US" w:bidi="ar-SA"/>
        </w:rPr>
        <w:t xml:space="preserve"> doctrine or the </w:t>
      </w:r>
      <w:r>
        <w:rPr>
          <w:rFonts w:ascii="arial" w:eastAsia="arial" w:hAnsi="arial" w:cs="arial"/>
          <w:i/>
          <w:color w:val="000000"/>
          <w:sz w:val="20"/>
          <w:lang w:val="en-US" w:eastAsia="en-US" w:bidi="ar-SA"/>
        </w:rPr>
        <w:t>CPPA</w:t>
      </w:r>
      <w:r>
        <w:rPr>
          <w:rFonts w:ascii="arial" w:eastAsia="arial" w:hAnsi="arial" w:cs="arial"/>
          <w:color w:val="000000"/>
          <w:sz w:val="20"/>
          <w:lang w:val="en-US" w:eastAsia="en-US" w:bidi="ar-SA"/>
        </w:rPr>
        <w:t>, s. 3(4).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858"/>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(iii)</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In any event, is the Binning House exigible by TLC's creditors?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300</w:t>
      </w:r>
      <w:r>
        <w:rPr>
          <w:rFonts w:ascii="arial" w:eastAsia="arial" w:hAnsi="arial" w:cs="arial"/>
          <w:color w:val="000000"/>
          <w:sz w:val="20"/>
          <w:lang w:val="en-US" w:eastAsia="en-US" w:bidi="ar-SA"/>
        </w:rPr>
        <w:t>  TLC submits that the Binning House is exigible to TLC's creditors, including the DIP Lenders, and thus it must be available to TLC to be sold so as to facilitate a restructuring that is in part aimed at benefiting TLC's creditors.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301</w:t>
      </w:r>
      <w:r>
        <w:rPr>
          <w:rFonts w:ascii="arial" w:eastAsia="arial" w:hAnsi="arial" w:cs="arial"/>
          <w:color w:val="000000"/>
          <w:sz w:val="20"/>
          <w:lang w:val="en-US" w:eastAsia="en-US" w:bidi="ar-SA"/>
        </w:rPr>
        <w:t xml:space="preserve">  Firstly, TLC relies on the reasoning of the Ontario Court of Appeal in the </w:t>
      </w:r>
      <w:r>
        <w:rPr>
          <w:rFonts w:ascii="arial" w:eastAsia="arial" w:hAnsi="arial" w:cs="arial"/>
          <w:i/>
          <w:color w:val="000000"/>
          <w:sz w:val="20"/>
          <w:lang w:val="en-US" w:eastAsia="en-US" w:bidi="ar-SA"/>
        </w:rPr>
        <w:t>Christian Brothers</w:t>
      </w:r>
      <w:r>
        <w:rPr>
          <w:rFonts w:ascii="arial" w:eastAsia="arial" w:hAnsi="arial" w:cs="arial"/>
          <w:color w:val="000000"/>
          <w:sz w:val="20"/>
          <w:lang w:val="en-US" w:eastAsia="en-US" w:bidi="ar-SA"/>
        </w:rPr>
        <w:t xml:space="preserve"> litigation. I have already discussed this issue earlier in these reasons and I have referred to the opinion of Braidwood J.A. in </w:t>
      </w:r>
      <w:r>
        <w:rPr>
          <w:rFonts w:ascii="arial" w:eastAsia="arial" w:hAnsi="arial" w:cs="arial"/>
          <w:i/>
          <w:color w:val="000000"/>
          <w:sz w:val="20"/>
          <w:lang w:val="en-US" w:eastAsia="en-US" w:bidi="ar-SA"/>
        </w:rPr>
        <w:t>Rowland</w:t>
      </w:r>
      <w:r>
        <w:rPr>
          <w:rFonts w:ascii="arial" w:eastAsia="arial" w:hAnsi="arial" w:cs="arial"/>
          <w:color w:val="000000"/>
          <w:sz w:val="20"/>
          <w:lang w:val="en-US" w:eastAsia="en-US" w:bidi="ar-SA"/>
        </w:rPr>
        <w:t xml:space="preserve">. In addition, having found that the Binning House was given to TLC under a specific purpose trust or a "discrete purpose charitable property" per the </w:t>
      </w:r>
      <w:r>
        <w:rPr>
          <w:rFonts w:ascii="arial" w:eastAsia="arial" w:hAnsi="arial" w:cs="arial"/>
          <w:i/>
          <w:color w:val="000000"/>
          <w:sz w:val="20"/>
          <w:lang w:val="en-US" w:eastAsia="en-US" w:bidi="ar-SA"/>
        </w:rPr>
        <w:t>CPPA</w:t>
      </w:r>
      <w:r>
        <w:rPr>
          <w:rFonts w:ascii="arial" w:eastAsia="arial" w:hAnsi="arial" w:cs="arial"/>
          <w:color w:val="000000"/>
          <w:sz w:val="20"/>
          <w:lang w:val="en-US" w:eastAsia="en-US" w:bidi="ar-SA"/>
        </w:rPr>
        <w:t>, s. 3(3) and (4), the comments of the Ontario Court of Appeal are of no assistance to TLC on this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302</w:t>
      </w:r>
      <w:r>
        <w:rPr>
          <w:rFonts w:ascii="arial" w:eastAsia="arial" w:hAnsi="arial" w:cs="arial"/>
          <w:color w:val="000000"/>
          <w:sz w:val="20"/>
          <w:lang w:val="en-US" w:eastAsia="en-US" w:bidi="ar-SA"/>
        </w:rPr>
        <w:t>  Secondly, TLC submits that there are additional legislative and policy considerations when the subject matter of an alleged trust is real property and there could be mortgagees or others who granted credit to a debtor company on the basis of an apparent and registered legal and beneficial title.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303</w:t>
      </w:r>
      <w:r>
        <w:rPr>
          <w:rFonts w:ascii="arial" w:eastAsia="arial" w:hAnsi="arial" w:cs="arial"/>
          <w:color w:val="000000"/>
          <w:sz w:val="20"/>
          <w:lang w:val="en-US" w:eastAsia="en-US" w:bidi="ar-SA"/>
        </w:rPr>
        <w:t xml:space="preserve">  In British Columbia, land registration is completed on the basis of the Torrens system. Section 23 of the </w:t>
      </w:r>
      <w:r>
        <w:rPr>
          <w:rFonts w:ascii="arial" w:eastAsia="arial" w:hAnsi="arial" w:cs="arial"/>
          <w:i/>
          <w:color w:val="000000"/>
          <w:sz w:val="20"/>
          <w:lang w:val="en-US" w:eastAsia="en-US" w:bidi="ar-SA"/>
        </w:rPr>
        <w:t>Land Title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250</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LTA</w:t>
      </w:r>
      <w:r>
        <w:rPr>
          <w:rFonts w:ascii="arial" w:eastAsia="arial" w:hAnsi="arial" w:cs="arial"/>
          <w:color w:val="000000"/>
          <w:sz w:val="20"/>
          <w:lang w:val="en-US" w:eastAsia="en-US" w:bidi="ar-SA"/>
        </w:rPr>
        <w:t>") provides for the effect of land registration subject to certain exceptions, none of which apply here: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23 (2) An indefeasible title, as long as it remains in force and uncancelled, is conclusive evidence at law and in equity, as against the Crown and all other persons, that the person named in the title as registered owner is indefeasibly entitled to an estate in fee simple to the land described in the indefeasible title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304</w:t>
      </w:r>
      <w:r>
        <w:rPr>
          <w:rFonts w:ascii="arial" w:eastAsia="arial" w:hAnsi="arial" w:cs="arial"/>
          <w:color w:val="000000"/>
          <w:sz w:val="20"/>
          <w:lang w:val="en-US" w:eastAsia="en-US" w:bidi="ar-SA"/>
        </w:rPr>
        <w:t xml:space="preserve">  Section 23(2) of the </w:t>
      </w:r>
      <w:r>
        <w:rPr>
          <w:rFonts w:ascii="arial" w:eastAsia="arial" w:hAnsi="arial" w:cs="arial"/>
          <w:i/>
          <w:color w:val="000000"/>
          <w:sz w:val="20"/>
          <w:lang w:val="en-US" w:eastAsia="en-US" w:bidi="ar-SA"/>
        </w:rPr>
        <w:t>LTA</w:t>
      </w:r>
      <w:r>
        <w:rPr>
          <w:rFonts w:ascii="arial" w:eastAsia="arial" w:hAnsi="arial" w:cs="arial"/>
          <w:color w:val="000000"/>
          <w:sz w:val="20"/>
          <w:lang w:val="en-US" w:eastAsia="en-US" w:bidi="ar-SA"/>
        </w:rPr>
        <w:t xml:space="preserve"> provides for a statutory presumption that registered title is conclusive evidence of the ownership of legal and beneficial interests. However, the presumption can be rebutted in some circumstances, such as by the operation of a resulting trust; where there is an agreement between the parties that is contrary to the registered title; or to take account of the underlying equitable interests between parties: </w:t>
      </w:r>
      <w:r>
        <w:rPr>
          <w:rFonts w:ascii="arial" w:eastAsia="arial" w:hAnsi="arial" w:cs="arial"/>
          <w:i/>
          <w:color w:val="000000"/>
          <w:sz w:val="20"/>
          <w:lang w:val="en-US" w:eastAsia="en-US" w:bidi="ar-SA"/>
        </w:rPr>
        <w:t>Bajwa v. Pannu</w:t>
      </w:r>
      <w:r>
        <w:rPr>
          <w:rFonts w:ascii="arial" w:eastAsia="arial" w:hAnsi="arial" w:cs="arial"/>
          <w:color w:val="000000"/>
          <w:sz w:val="20"/>
          <w:lang w:val="en-US" w:eastAsia="en-US" w:bidi="ar-SA"/>
        </w:rPr>
        <w:t xml:space="preserve">, </w:t>
      </w:r>
      <w:hyperlink r:id="rId373" w:history="1">
        <w:r>
          <w:rPr>
            <w:rFonts w:ascii="arial" w:eastAsia="arial" w:hAnsi="arial" w:cs="arial"/>
            <w:i/>
            <w:color w:val="0077CC"/>
            <w:sz w:val="20"/>
            <w:u w:val="single"/>
            <w:shd w:val="clear" w:color="auto" w:fill="FFFFFF"/>
            <w:lang w:val="en-US" w:eastAsia="en-US" w:bidi="ar-SA"/>
          </w:rPr>
          <w:t>2007 BCCA 260</w:t>
        </w:r>
      </w:hyperlink>
      <w:r>
        <w:rPr>
          <w:rFonts w:ascii="arial" w:eastAsia="arial" w:hAnsi="arial" w:cs="arial"/>
          <w:color w:val="000000"/>
          <w:sz w:val="20"/>
          <w:lang w:val="en-US" w:eastAsia="en-US" w:bidi="ar-SA"/>
        </w:rPr>
        <w:t xml:space="preserve"> at paras. 9-10, 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Gill v. Bucholtz</w:t>
      </w:r>
      <w:r>
        <w:rPr>
          <w:rFonts w:ascii="arial" w:eastAsia="arial" w:hAnsi="arial" w:cs="arial"/>
          <w:color w:val="000000"/>
          <w:sz w:val="20"/>
          <w:lang w:val="en-US" w:eastAsia="en-US" w:bidi="ar-SA"/>
        </w:rPr>
        <w:t xml:space="preserve">, </w:t>
      </w:r>
      <w:hyperlink r:id="rId374" w:history="1">
        <w:r>
          <w:rPr>
            <w:rFonts w:ascii="arial" w:eastAsia="arial" w:hAnsi="arial" w:cs="arial"/>
            <w:i/>
            <w:color w:val="0077CC"/>
            <w:sz w:val="20"/>
            <w:u w:val="single"/>
            <w:shd w:val="clear" w:color="auto" w:fill="FFFFFF"/>
            <w:lang w:val="en-US" w:eastAsia="en-US" w:bidi="ar-SA"/>
          </w:rPr>
          <w:t>2009 BCCA 137</w:t>
        </w:r>
      </w:hyperlink>
      <w:r>
        <w:rPr>
          <w:rFonts w:ascii="arial" w:eastAsia="arial" w:hAnsi="arial" w:cs="arial"/>
          <w:color w:val="000000"/>
          <w:sz w:val="20"/>
          <w:lang w:val="en-US" w:eastAsia="en-US" w:bidi="ar-SA"/>
        </w:rPr>
        <w:t xml:space="preserve">, the Court considered the presumption in s. 23(2) of the </w:t>
      </w:r>
      <w:r>
        <w:rPr>
          <w:rFonts w:ascii="arial" w:eastAsia="arial" w:hAnsi="arial" w:cs="arial"/>
          <w:i/>
          <w:color w:val="000000"/>
          <w:sz w:val="20"/>
          <w:lang w:val="en-US" w:eastAsia="en-US" w:bidi="ar-SA"/>
        </w:rPr>
        <w:t>LTA</w:t>
      </w:r>
      <w:r>
        <w:rPr>
          <w:rFonts w:ascii="arial" w:eastAsia="arial" w:hAnsi="arial" w:cs="arial"/>
          <w:color w:val="000000"/>
          <w:sz w:val="20"/>
          <w:lang w:val="en-US" w:eastAsia="en-US" w:bidi="ar-SA"/>
        </w:rPr>
        <w:t xml:space="preserve"> in the context of a fraudulent transfer of the property and the subsequent granting of a mortgage to a </w:t>
      </w:r>
      <w:r>
        <w:rPr>
          <w:rFonts w:ascii="arial" w:eastAsia="arial" w:hAnsi="arial" w:cs="arial"/>
          <w:i/>
          <w:color w:val="000000"/>
          <w:sz w:val="20"/>
          <w:lang w:val="en-US" w:eastAsia="en-US" w:bidi="ar-SA"/>
        </w:rPr>
        <w:t>bona fide</w:t>
      </w:r>
      <w:r>
        <w:rPr>
          <w:rFonts w:ascii="arial" w:eastAsia="arial" w:hAnsi="arial" w:cs="arial"/>
          <w:color w:val="000000"/>
          <w:sz w:val="20"/>
          <w:lang w:val="en-US" w:eastAsia="en-US" w:bidi="ar-SA"/>
        </w:rPr>
        <w:t xml:space="preserve"> lender. However, in considering that section and others in the </w:t>
      </w:r>
      <w:r>
        <w:rPr>
          <w:rFonts w:ascii="arial" w:eastAsia="arial" w:hAnsi="arial" w:cs="arial"/>
          <w:i/>
          <w:color w:val="000000"/>
          <w:sz w:val="20"/>
          <w:lang w:val="en-US" w:eastAsia="en-US" w:bidi="ar-SA"/>
        </w:rPr>
        <w:t>LTA</w:t>
      </w:r>
      <w:r>
        <w:rPr>
          <w:rFonts w:ascii="arial" w:eastAsia="arial" w:hAnsi="arial" w:cs="arial"/>
          <w:color w:val="000000"/>
          <w:sz w:val="20"/>
          <w:lang w:val="en-US" w:eastAsia="en-US" w:bidi="ar-SA"/>
        </w:rPr>
        <w:t xml:space="preserve">, including s. 25.1(1) and 26, the Court found that the </w:t>
      </w:r>
      <w:r>
        <w:rPr>
          <w:rFonts w:ascii="arial" w:eastAsia="arial" w:hAnsi="arial" w:cs="arial"/>
          <w:i/>
          <w:color w:val="000000"/>
          <w:sz w:val="20"/>
          <w:lang w:val="en-US" w:eastAsia="en-US" w:bidi="ar-SA"/>
        </w:rPr>
        <w:t>LTA</w:t>
      </w:r>
      <w:r>
        <w:rPr>
          <w:rFonts w:ascii="arial" w:eastAsia="arial" w:hAnsi="arial" w:cs="arial"/>
          <w:color w:val="000000"/>
          <w:sz w:val="20"/>
          <w:lang w:val="en-US" w:eastAsia="en-US" w:bidi="ar-SA"/>
        </w:rPr>
        <w:t xml:space="preserve"> preserved the principle of </w:t>
      </w:r>
      <w:r>
        <w:rPr>
          <w:rFonts w:ascii="arial" w:eastAsia="arial" w:hAnsi="arial" w:cs="arial"/>
          <w:i/>
          <w:color w:val="000000"/>
          <w:sz w:val="20"/>
          <w:lang w:val="en-US" w:eastAsia="en-US" w:bidi="ar-SA"/>
        </w:rPr>
        <w:t>nemo dat quod non habet</w:t>
      </w:r>
      <w:r>
        <w:rPr>
          <w:rFonts w:ascii="arial" w:eastAsia="arial" w:hAnsi="arial" w:cs="arial"/>
          <w:color w:val="000000"/>
          <w:sz w:val="20"/>
          <w:lang w:val="en-US" w:eastAsia="en-US" w:bidi="ar-SA"/>
        </w:rPr>
        <w:t xml:space="preserve"> in relation to registered interests less than fee simple, such as charges: paras. 5, 19, 21 and 26.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306</w:t>
      </w:r>
      <w:r>
        <w:rPr>
          <w:rFonts w:ascii="arial" w:eastAsia="arial" w:hAnsi="arial" w:cs="arial"/>
          <w:color w:val="000000"/>
          <w:sz w:val="20"/>
          <w:lang w:val="en-US" w:eastAsia="en-US" w:bidi="ar-SA"/>
        </w:rPr>
        <w:t xml:space="preserve">  TLC refers to </w:t>
      </w:r>
      <w:r>
        <w:rPr>
          <w:rFonts w:ascii="arial" w:eastAsia="arial" w:hAnsi="arial" w:cs="arial"/>
          <w:i/>
          <w:color w:val="000000"/>
          <w:sz w:val="20"/>
          <w:lang w:val="en-US" w:eastAsia="en-US" w:bidi="ar-SA"/>
        </w:rPr>
        <w:t>Taylor Ventures Ltd. (Trustee) v. High Meadow Holdings Ltd.</w:t>
      </w:r>
      <w:r>
        <w:rPr>
          <w:rFonts w:ascii="arial" w:eastAsia="arial" w:hAnsi="arial" w:cs="arial"/>
          <w:color w:val="000000"/>
          <w:sz w:val="20"/>
          <w:lang w:val="en-US" w:eastAsia="en-US" w:bidi="ar-SA"/>
        </w:rPr>
        <w:t xml:space="preserve">, </w:t>
      </w:r>
      <w:hyperlink r:id="rId375" w:history="1">
        <w:r>
          <w:rPr>
            <w:rFonts w:ascii="arial" w:eastAsia="arial" w:hAnsi="arial" w:cs="arial"/>
            <w:i/>
            <w:color w:val="0077CC"/>
            <w:sz w:val="20"/>
            <w:u w:val="single"/>
            <w:shd w:val="clear" w:color="auto" w:fill="FFFFFF"/>
            <w:lang w:val="en-US" w:eastAsia="en-US" w:bidi="ar-SA"/>
          </w:rPr>
          <w:t>2006 BCSC 1095</w:t>
        </w:r>
      </w:hyperlink>
      <w:r>
        <w:rPr>
          <w:rFonts w:ascii="arial" w:eastAsia="arial" w:hAnsi="arial" w:cs="arial"/>
          <w:color w:val="000000"/>
          <w:sz w:val="20"/>
          <w:lang w:val="en-US" w:eastAsia="en-US" w:bidi="ar-SA"/>
        </w:rPr>
        <w:t xml:space="preserve"> at para. 34, aff'd </w:t>
      </w:r>
      <w:hyperlink r:id="rId376" w:history="1">
        <w:r>
          <w:rPr>
            <w:rFonts w:ascii="arial" w:eastAsia="arial" w:hAnsi="arial" w:cs="arial"/>
            <w:i/>
            <w:color w:val="0077CC"/>
            <w:sz w:val="20"/>
            <w:u w:val="single"/>
            <w:shd w:val="clear" w:color="auto" w:fill="FFFFFF"/>
            <w:lang w:val="en-US" w:eastAsia="en-US" w:bidi="ar-SA"/>
          </w:rPr>
          <w:t>2008 BCCA 80</w:t>
        </w:r>
      </w:hyperlink>
      <w:r>
        <w:rPr>
          <w:rFonts w:ascii="arial" w:eastAsia="arial" w:hAnsi="arial" w:cs="arial"/>
          <w:color w:val="000000"/>
          <w:sz w:val="20"/>
          <w:lang w:val="en-US" w:eastAsia="en-US" w:bidi="ar-SA"/>
        </w:rPr>
        <w:t xml:space="preserve">, leave to appeal to SCC refused, </w:t>
      </w:r>
      <w:hyperlink r:id="rId377" w:history="1">
        <w:r>
          <w:rPr>
            <w:rFonts w:ascii="arial" w:eastAsia="arial" w:hAnsi="arial" w:cs="arial"/>
            <w:i/>
            <w:color w:val="0077CC"/>
            <w:sz w:val="20"/>
            <w:u w:val="single"/>
            <w:shd w:val="clear" w:color="auto" w:fill="FFFFFF"/>
            <w:lang w:val="en-US" w:eastAsia="en-US" w:bidi="ar-SA"/>
          </w:rPr>
          <w:t>[2008] S.C.C.A. No. 159</w:t>
        </w:r>
      </w:hyperlink>
      <w:r>
        <w:rPr>
          <w:rFonts w:ascii="arial" w:eastAsia="arial" w:hAnsi="arial" w:cs="arial"/>
          <w:color w:val="000000"/>
          <w:sz w:val="20"/>
          <w:lang w:val="en-US" w:eastAsia="en-US" w:bidi="ar-SA"/>
        </w:rPr>
        <w:t xml:space="preserve"> as standing for the proposition that as against a mortgagee in good faith, where no fraud on the part of the mortgagee has been shown, a mortgagee has the ability to enforce a loan as against property held in trust where the loan was made on the basis of who is registered on title. However, the facts in that case were markedly different that those here in that the transfer to the trustee was later set aside and declared void pursuant to fraudulent conveyance legislation.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307</w:t>
      </w:r>
      <w:r>
        <w:rPr>
          <w:rFonts w:ascii="arial" w:eastAsia="arial" w:hAnsi="arial" w:cs="arial"/>
          <w:color w:val="000000"/>
          <w:sz w:val="20"/>
          <w:lang w:val="en-US" w:eastAsia="en-US" w:bidi="ar-SA"/>
        </w:rPr>
        <w:t>  In my view, this argument can be disposed of on the basis that, at all times, it was well known by the DIP Lenders that trust issues had arisen in relation to TLC's assets generally and would be, if necessary, decided in the course of the restructuring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308</w:t>
      </w:r>
      <w:r>
        <w:rPr>
          <w:rFonts w:ascii="arial" w:eastAsia="arial" w:hAnsi="arial" w:cs="arial"/>
          <w:color w:val="000000"/>
          <w:sz w:val="20"/>
          <w:lang w:val="en-US" w:eastAsia="en-US" w:bidi="ar-SA"/>
        </w:rPr>
        <w:t>  The evidence before the court on the initial hearing of the petition included:</w:t>
      </w:r>
      <w:r>
        <w:rPr>
          <w:rFonts w:ascii="arial" w:eastAsia="arial" w:hAnsi="arial" w:cs="arial"/>
          <w:sz w:val="20"/>
          <w:lang w:val="en-US" w:eastAsia="en-US" w:bidi="ar-SA"/>
        </w:rPr>
        <w:cr/>
      </w:r>
    </w:p>
    <w:p>
      <w:pPr>
        <w:numPr>
          <w:numId w:val="7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Affidavit of Briony Penn sworn October 4, 2013 which referred to:</w:t>
      </w:r>
    </w:p>
    <w:p>
      <w:pPr>
        <w:numPr>
          <w:numId w:val="77"/>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identification of several properties being candidates for immediate disposition (which did not appear to include the Binning House) having ... "no or only limited restrictions under trust law or the CPPA" (para. 50); and</w:t>
      </w:r>
    </w:p>
    <w:p>
      <w:pPr>
        <w:numPr>
          <w:numId w:val="78"/>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potential prejudice to the creditors of TLC and the entire stakeholder group arising from "unique issues with respect to the trust conditions attaching to its properties, and the effects of the CPPA" (para. 76), and</w:t>
      </w:r>
    </w:p>
    <w:p>
      <w:pPr>
        <w:numPr>
          <w:numId w:val="79"/>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report dated October 4, 2013 of Wolrige Mahon Limited, as the proposed Monitor, which stated:</w:t>
      </w:r>
    </w:p>
    <w:p>
      <w:pPr>
        <w:numPr>
          <w:numId w:val="8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i/>
          <w:color w:val="000000"/>
          <w:sz w:val="20"/>
          <w:lang w:val="en-US" w:eastAsia="en-US" w:bidi="ar-SA"/>
        </w:rPr>
        <w:t>CPPA</w:t>
      </w:r>
      <w:r>
        <w:rPr>
          <w:rFonts w:ascii="arial" w:eastAsia="arial" w:hAnsi="arial" w:cs="arial"/>
          <w:color w:val="000000"/>
          <w:sz w:val="20"/>
          <w:lang w:val="en-US" w:eastAsia="en-US" w:bidi="ar-SA"/>
        </w:rPr>
        <w:t xml:space="preserve"> that specified "conditions that apply to any potential disposition or transfer of the Properties owned by TLC" (para. 2.2);</w:t>
      </w:r>
    </w:p>
    <w:p>
      <w:pPr>
        <w:numPr>
          <w:numId w:val="81"/>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[b]y design, the ... CPPA hamper/prevent "TLC from divesting itself of Properties to inappropriate parties or using them for inappropriate purposes" (para. 3.1); and</w:t>
      </w:r>
    </w:p>
    <w:p>
      <w:pPr>
        <w:numPr>
          <w:numId w:val="8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"disposition or transfer of the Properties will be hampered or precluded by ... Restrictions on certain Properties donated to TLC on the condition they could not be sold or transferred (specified intent of donor)" (para. 3.2.4).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309</w:t>
      </w:r>
      <w:r>
        <w:rPr>
          <w:rFonts w:ascii="arial" w:eastAsia="arial" w:hAnsi="arial" w:cs="arial"/>
          <w:color w:val="000000"/>
          <w:sz w:val="20"/>
          <w:lang w:val="en-US" w:eastAsia="en-US" w:bidi="ar-SA"/>
        </w:rPr>
        <w:t>  In addition, the relief sought by TLC and the DIP Lenders and granted in the Initial Order on October 7, 2013 also confirm that in no way was it intended that the DIP Lenders' Charge would obtain priority save in respect of TLC's beneficial interests in its assets and the rights flowing from any such beneficial interests. In paragraph 4 of the Initial Order, TLC was to "remain in possession and control of their current and future assets, undertakings and properties of every nature and kind whatsoever" (defined as the "Property"). Pursuant to paras. 33 and 37 of that Order, the DIP Lenders' Charge only attached to and become "effective" as against the Property. While the definition of "Property" subject to the charges granted in the Order, including the DIP Lenders' Charge, was further clarified as being those assets listed in Schedule "B" to the Initial Order (which did reference the Binning House), that reference did not have the effect of expanding the rights of the DIP Lenders with respect to assets not beneficially owned by TLC.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310</w:t>
      </w:r>
      <w:r>
        <w:rPr>
          <w:rFonts w:ascii="arial" w:eastAsia="arial" w:hAnsi="arial" w:cs="arial"/>
          <w:color w:val="000000"/>
          <w:sz w:val="20"/>
          <w:lang w:val="en-US" w:eastAsia="en-US" w:bidi="ar-SA"/>
        </w:rPr>
        <w:t>  Neither TLC nor the DIP Lenders made any submissions against the proposition that they knew or had the means to easily discern that trust issues were potentially arising in respect of many of TLC's properties, including the Binning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311</w:t>
      </w:r>
      <w:r>
        <w:rPr>
          <w:rFonts w:ascii="arial" w:eastAsia="arial" w:hAnsi="arial" w:cs="arial"/>
          <w:color w:val="000000"/>
          <w:sz w:val="20"/>
          <w:lang w:val="en-US" w:eastAsia="en-US" w:bidi="ar-SA"/>
        </w:rPr>
        <w:t xml:space="preserve">  In these circumstances, the DIP Lenders are not in a position to argue that they are </w:t>
      </w:r>
      <w:r>
        <w:rPr>
          <w:rFonts w:ascii="arial" w:eastAsia="arial" w:hAnsi="arial" w:cs="arial"/>
          <w:i/>
          <w:color w:val="000000"/>
          <w:sz w:val="20"/>
          <w:lang w:val="en-US" w:eastAsia="en-US" w:bidi="ar-SA"/>
        </w:rPr>
        <w:t>bona fide</w:t>
      </w:r>
      <w:r>
        <w:rPr>
          <w:rFonts w:ascii="arial" w:eastAsia="arial" w:hAnsi="arial" w:cs="arial"/>
          <w:color w:val="000000"/>
          <w:sz w:val="20"/>
          <w:lang w:val="en-US" w:eastAsia="en-US" w:bidi="ar-SA"/>
        </w:rPr>
        <w:t xml:space="preserve"> lenders without notice, which was a fundamental finding in </w:t>
      </w:r>
      <w:r>
        <w:rPr>
          <w:rFonts w:ascii="arial" w:eastAsia="arial" w:hAnsi="arial" w:cs="arial"/>
          <w:i/>
          <w:color w:val="000000"/>
          <w:sz w:val="20"/>
          <w:lang w:val="en-US" w:eastAsia="en-US" w:bidi="ar-SA"/>
        </w:rPr>
        <w:t>Gill</w:t>
      </w:r>
      <w:r>
        <w:rPr>
          <w:rFonts w:ascii="arial" w:eastAsia="arial" w:hAnsi="arial" w:cs="arial"/>
          <w:color w:val="000000"/>
          <w:sz w:val="20"/>
          <w:lang w:val="en-US" w:eastAsia="en-US" w:bidi="ar-SA"/>
        </w:rPr>
        <w:t xml:space="preserve"> (para. 26) and </w:t>
      </w:r>
      <w:r>
        <w:rPr>
          <w:rFonts w:ascii="arial" w:eastAsia="arial" w:hAnsi="arial" w:cs="arial"/>
          <w:i/>
          <w:color w:val="000000"/>
          <w:sz w:val="20"/>
          <w:lang w:val="en-US" w:eastAsia="en-US" w:bidi="ar-SA"/>
        </w:rPr>
        <w:t>Taylor Ventures</w:t>
      </w:r>
      <w:r>
        <w:rPr>
          <w:rFonts w:ascii="arial" w:eastAsia="arial" w:hAnsi="arial" w:cs="arial"/>
          <w:color w:val="000000"/>
          <w:sz w:val="20"/>
          <w:lang w:val="en-US" w:eastAsia="en-US" w:bidi="ar-SA"/>
        </w:rPr>
        <w:t xml:space="preserve"> (BCSC, paras. 35, 36). I do not mean to imply in any way that the DIP Lenders acted inappropriately in this respect. Rather, they came into these proceedings with their eyes open and made a calculated business decision to advance the DIP funds even in light of the uncertainty regarding TLC's ownership interests and the consequent risks involved. Such is the lot of many DIP lenders but they take on those risks given the substantial returns that they stand to gain through the proceedings and their priority status under the court orders.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312</w:t>
      </w:r>
      <w:r>
        <w:rPr>
          <w:rFonts w:ascii="arial" w:eastAsia="arial" w:hAnsi="arial" w:cs="arial"/>
          <w:color w:val="000000"/>
          <w:sz w:val="20"/>
          <w:lang w:val="en-US" w:eastAsia="en-US" w:bidi="ar-SA"/>
        </w:rPr>
        <w:t xml:space="preserve">  I also wish to return to certain fundamental propositions in relation to TLC's renewed arguments under this heading that the jurisdiction of the court under s. 11 of the </w:t>
      </w:r>
      <w:r>
        <w:rPr>
          <w:rFonts w:ascii="arial" w:eastAsia="arial" w:hAnsi="arial" w:cs="arial"/>
          <w:i/>
          <w:color w:val="000000"/>
          <w:sz w:val="20"/>
          <w:lang w:val="en-US" w:eastAsia="en-US" w:bidi="ar-SA"/>
        </w:rPr>
        <w:t>CCAA</w:t>
      </w:r>
      <w:r>
        <w:rPr>
          <w:rFonts w:ascii="arial" w:eastAsia="arial" w:hAnsi="arial" w:cs="arial"/>
          <w:color w:val="000000"/>
          <w:sz w:val="20"/>
          <w:lang w:val="en-US" w:eastAsia="en-US" w:bidi="ar-SA"/>
        </w:rPr>
        <w:t xml:space="preserve"> allows the court to grant "appropriate" relief so as allow this charitable property to be subject to the payment of TLC's creditors.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313</w:t>
      </w:r>
      <w:r>
        <w:rPr>
          <w:rFonts w:ascii="arial" w:eastAsia="arial" w:hAnsi="arial" w:cs="arial"/>
          <w:color w:val="000000"/>
          <w:sz w:val="20"/>
          <w:lang w:val="en-US" w:eastAsia="en-US" w:bidi="ar-SA"/>
        </w:rPr>
        <w:t xml:space="preserve">  Consistent with the </w:t>
      </w:r>
      <w:r>
        <w:rPr>
          <w:rFonts w:ascii="arial" w:eastAsia="arial" w:hAnsi="arial" w:cs="arial"/>
          <w:i/>
          <w:color w:val="000000"/>
          <w:sz w:val="20"/>
          <w:lang w:val="en-US" w:eastAsia="en-US" w:bidi="ar-SA"/>
        </w:rPr>
        <w:t>BIA</w:t>
      </w:r>
      <w:r>
        <w:rPr>
          <w:rFonts w:ascii="arial" w:eastAsia="arial" w:hAnsi="arial" w:cs="arial"/>
          <w:color w:val="000000"/>
          <w:sz w:val="20"/>
          <w:lang w:val="en-US" w:eastAsia="en-US" w:bidi="ar-SA"/>
        </w:rPr>
        <w:t xml:space="preserve"> provision quoted above, in </w:t>
      </w:r>
      <w:r>
        <w:rPr>
          <w:rFonts w:ascii="arial" w:eastAsia="arial" w:hAnsi="arial" w:cs="arial"/>
          <w:i/>
          <w:color w:val="000000"/>
          <w:sz w:val="20"/>
          <w:lang w:val="en-US" w:eastAsia="en-US" w:bidi="ar-SA"/>
        </w:rPr>
        <w:t>Heffner v. Price Waterhouse Ltd.</w:t>
      </w:r>
      <w:r>
        <w:rPr>
          <w:rFonts w:ascii="arial" w:eastAsia="arial" w:hAnsi="arial" w:cs="arial"/>
          <w:color w:val="000000"/>
          <w:sz w:val="20"/>
          <w:lang w:val="en-US" w:eastAsia="en-US" w:bidi="ar-SA"/>
        </w:rPr>
        <w:t xml:space="preserve"> </w:t>
      </w:r>
      <w:hyperlink r:id="rId378" w:history="1">
        <w:r>
          <w:rPr>
            <w:rFonts w:ascii="arial" w:eastAsia="arial" w:hAnsi="arial" w:cs="arial"/>
            <w:i/>
            <w:color w:val="0077CC"/>
            <w:sz w:val="20"/>
            <w:u w:val="single"/>
            <w:shd w:val="clear" w:color="auto" w:fill="FFFFFF"/>
            <w:lang w:val="en-US" w:eastAsia="en-US" w:bidi="ar-SA"/>
          </w:rPr>
          <w:t>(1986), 10 B.C.L.R. (2d) 50</w:t>
        </w:r>
      </w:hyperlink>
      <w:r>
        <w:rPr>
          <w:rFonts w:ascii="arial" w:eastAsia="arial" w:hAnsi="arial" w:cs="arial"/>
          <w:color w:val="000000"/>
          <w:sz w:val="20"/>
          <w:lang w:val="en-US" w:eastAsia="en-US" w:bidi="ar-SA"/>
        </w:rPr>
        <w:t xml:space="preserve"> (C.A.), </w:t>
      </w:r>
      <w:hyperlink r:id="rId378" w:history="1">
        <w:r>
          <w:rPr>
            <w:rFonts w:ascii="arial" w:eastAsia="arial" w:hAnsi="arial" w:cs="arial"/>
            <w:i/>
            <w:color w:val="0077CC"/>
            <w:sz w:val="20"/>
            <w:u w:val="single"/>
            <w:shd w:val="clear" w:color="auto" w:fill="FFFFFF"/>
            <w:lang w:val="en-US" w:eastAsia="en-US" w:bidi="ar-SA"/>
          </w:rPr>
          <w:t>[1986] B.C.J. No. 1363</w:t>
        </w:r>
      </w:hyperlink>
      <w:r>
        <w:rPr>
          <w:rFonts w:ascii="arial" w:eastAsia="arial" w:hAnsi="arial" w:cs="arial"/>
          <w:color w:val="000000"/>
          <w:sz w:val="20"/>
          <w:lang w:val="en-US" w:eastAsia="en-US" w:bidi="ar-SA"/>
        </w:rPr>
        <w:t xml:space="preserve">, the court upheld the fundamental principle that claims of creditors may only be advanced against the interests of the bankrupt. In that case, even though the bankrupt was the registered owner of certain real property, the </w:t>
      </w:r>
      <w:r>
        <w:rPr>
          <w:rFonts w:ascii="arial" w:eastAsia="arial" w:hAnsi="arial" w:cs="arial"/>
          <w:i/>
          <w:color w:val="000000"/>
          <w:sz w:val="20"/>
          <w:lang w:val="en-US" w:eastAsia="en-US" w:bidi="ar-SA"/>
        </w:rPr>
        <w:t>LTA</w:t>
      </w:r>
      <w:r>
        <w:rPr>
          <w:rFonts w:ascii="arial" w:eastAsia="arial" w:hAnsi="arial" w:cs="arial"/>
          <w:color w:val="000000"/>
          <w:sz w:val="20"/>
          <w:lang w:val="en-US" w:eastAsia="en-US" w:bidi="ar-SA"/>
        </w:rPr>
        <w:t>, s. 23 statutory presumption did not prevent the true beneficial owners of that property from asserting their claim against the trustee in bankruptcy.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314</w:t>
      </w:r>
      <w:r>
        <w:rPr>
          <w:rFonts w:ascii="arial" w:eastAsia="arial" w:hAnsi="arial" w:cs="arial"/>
          <w:color w:val="000000"/>
          <w:sz w:val="20"/>
          <w:lang w:val="en-US" w:eastAsia="en-US" w:bidi="ar-SA"/>
        </w:rPr>
        <w:t xml:space="preserve">  As the AG argues, it would be anomalous indeed if a trustee could unilaterally obtain beneficial interest in trust property comprising real property simply by registered its interest under the </w:t>
      </w:r>
      <w:r>
        <w:rPr>
          <w:rFonts w:ascii="arial" w:eastAsia="arial" w:hAnsi="arial" w:cs="arial"/>
          <w:i/>
          <w:color w:val="000000"/>
          <w:sz w:val="20"/>
          <w:lang w:val="en-US" w:eastAsia="en-US" w:bidi="ar-SA"/>
        </w:rPr>
        <w:t>LTA</w:t>
      </w:r>
      <w:r>
        <w:rPr>
          <w:rFonts w:ascii="arial" w:eastAsia="arial" w:hAnsi="arial" w:cs="arial"/>
          <w:color w:val="000000"/>
          <w:sz w:val="20"/>
          <w:lang w:val="en-US" w:eastAsia="en-US" w:bidi="ar-SA"/>
        </w:rPr>
        <w:t xml:space="preserve"> without any notation as to the trust interests.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315</w:t>
      </w:r>
      <w:r>
        <w:rPr>
          <w:rFonts w:ascii="arial" w:eastAsia="arial" w:hAnsi="arial" w:cs="arial"/>
          <w:color w:val="000000"/>
          <w:sz w:val="20"/>
          <w:lang w:val="en-US" w:eastAsia="en-US" w:bidi="ar-SA"/>
        </w:rPr>
        <w:t xml:space="preserve">  Although the </w:t>
      </w:r>
      <w:r>
        <w:rPr>
          <w:rFonts w:ascii="arial" w:eastAsia="arial" w:hAnsi="arial" w:cs="arial"/>
          <w:i/>
          <w:color w:val="000000"/>
          <w:sz w:val="20"/>
          <w:lang w:val="en-US" w:eastAsia="en-US" w:bidi="ar-SA"/>
        </w:rPr>
        <w:t>CCAA</w:t>
      </w:r>
      <w:r>
        <w:rPr>
          <w:rFonts w:ascii="arial" w:eastAsia="arial" w:hAnsi="arial" w:cs="arial"/>
          <w:color w:val="000000"/>
          <w:sz w:val="20"/>
          <w:lang w:val="en-US" w:eastAsia="en-US" w:bidi="ar-SA"/>
        </w:rPr>
        <w:t xml:space="preserve"> does not include a specific definition of "property", the Act is replete with references to the "property" of a "debtor company" or the "company". In particular, and relevant to the DIP Lenders' position in this case, the </w:t>
      </w:r>
      <w:r>
        <w:rPr>
          <w:rFonts w:ascii="arial" w:eastAsia="arial" w:hAnsi="arial" w:cs="arial"/>
          <w:i/>
          <w:color w:val="000000"/>
          <w:sz w:val="20"/>
          <w:lang w:val="en-US" w:eastAsia="en-US" w:bidi="ar-SA"/>
        </w:rPr>
        <w:t>CCAA</w:t>
      </w:r>
      <w:r>
        <w:rPr>
          <w:rFonts w:ascii="arial" w:eastAsia="arial" w:hAnsi="arial" w:cs="arial"/>
          <w:color w:val="000000"/>
          <w:sz w:val="20"/>
          <w:lang w:val="en-US" w:eastAsia="en-US" w:bidi="ar-SA"/>
        </w:rPr>
        <w:t xml:space="preserve">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Interim financing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11.2 (1) On application by a debtor company and on notice to the secured creditors who are likely to be affected by the security or charge, a court may make an order declaring that </w:t>
      </w:r>
      <w:r>
        <w:rPr>
          <w:rFonts w:ascii="arial" w:eastAsia="arial" w:hAnsi="arial" w:cs="arial"/>
          <w:color w:val="000000"/>
          <w:sz w:val="20"/>
          <w:u w:val="single"/>
          <w:lang w:val="en-US" w:eastAsia="en-US" w:bidi="ar-SA"/>
        </w:rPr>
        <w:t>all or part of the company's property is subject to a security or charge</w:t>
      </w:r>
      <w:r>
        <w:rPr>
          <w:rFonts w:ascii="arial" w:eastAsia="arial" w:hAnsi="arial" w:cs="arial"/>
          <w:color w:val="000000"/>
          <w:sz w:val="20"/>
          <w:lang w:val="en-US" w:eastAsia="en-US" w:bidi="ar-SA"/>
        </w:rPr>
        <w:t xml:space="preserve"> -- in an amount that the court considers appropriate -- in favour of a person specified in the order who agrees to lend to the company an amount approved by the court as being required by the company, having regard to its cash-flow statement. The security or charge may not secure an obligation that exists before the order is made.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316</w:t>
      </w:r>
      <w:r>
        <w:rPr>
          <w:rFonts w:ascii="arial" w:eastAsia="arial" w:hAnsi="arial" w:cs="arial"/>
          <w:color w:val="000000"/>
          <w:sz w:val="20"/>
          <w:lang w:val="en-US" w:eastAsia="en-US" w:bidi="ar-SA"/>
        </w:rPr>
        <w:t xml:space="preserve">  As the court noted in </w:t>
      </w:r>
      <w:r>
        <w:rPr>
          <w:rFonts w:ascii="arial" w:eastAsia="arial" w:hAnsi="arial" w:cs="arial"/>
          <w:i/>
          <w:color w:val="000000"/>
          <w:sz w:val="20"/>
          <w:lang w:val="en-US" w:eastAsia="en-US" w:bidi="ar-SA"/>
        </w:rPr>
        <w:t>Century Services</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BIA</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CCAA</w:t>
      </w:r>
      <w:r>
        <w:rPr>
          <w:rFonts w:ascii="arial" w:eastAsia="arial" w:hAnsi="arial" w:cs="arial"/>
          <w:color w:val="000000"/>
          <w:sz w:val="20"/>
          <w:lang w:val="en-US" w:eastAsia="en-US" w:bidi="ar-SA"/>
        </w:rPr>
        <w:t xml:space="preserve"> share some commonalities: para. 22. In my view, another similarity is the intention to allow creditors of the insolvent/bankrupt person to recover their claims </w:t>
      </w:r>
      <w:r>
        <w:rPr>
          <w:rFonts w:ascii="arial" w:eastAsia="arial" w:hAnsi="arial" w:cs="arial"/>
          <w:i/>
          <w:color w:val="000000"/>
          <w:sz w:val="20"/>
          <w:lang w:val="en-US" w:eastAsia="en-US" w:bidi="ar-SA"/>
        </w:rPr>
        <w:t>only</w:t>
      </w:r>
      <w:r>
        <w:rPr>
          <w:rFonts w:ascii="arial" w:eastAsia="arial" w:hAnsi="arial" w:cs="arial"/>
          <w:color w:val="000000"/>
          <w:sz w:val="20"/>
          <w:lang w:val="en-US" w:eastAsia="en-US" w:bidi="ar-SA"/>
        </w:rPr>
        <w:t xml:space="preserve"> with respect to the legal </w:t>
      </w:r>
      <w:r>
        <w:rPr>
          <w:rFonts w:ascii="arial" w:eastAsia="arial" w:hAnsi="arial" w:cs="arial"/>
          <w:i/>
          <w:color w:val="000000"/>
          <w:sz w:val="20"/>
          <w:lang w:val="en-US" w:eastAsia="en-US" w:bidi="ar-SA"/>
        </w:rPr>
        <w:t>and</w:t>
      </w:r>
      <w:r>
        <w:rPr>
          <w:rFonts w:ascii="arial" w:eastAsia="arial" w:hAnsi="arial" w:cs="arial"/>
          <w:color w:val="000000"/>
          <w:sz w:val="20"/>
          <w:lang w:val="en-US" w:eastAsia="en-US" w:bidi="ar-SA"/>
        </w:rPr>
        <w:t xml:space="preserve"> beneficial interests of that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317</w:t>
      </w:r>
      <w:r>
        <w:rPr>
          <w:rFonts w:ascii="arial" w:eastAsia="arial" w:hAnsi="arial" w:cs="arial"/>
          <w:color w:val="000000"/>
          <w:sz w:val="20"/>
          <w:lang w:val="en-US" w:eastAsia="en-US" w:bidi="ar-SA"/>
        </w:rPr>
        <w:t xml:space="preserve">  The discretion afforded to the court under s. 11 of the </w:t>
      </w:r>
      <w:r>
        <w:rPr>
          <w:rFonts w:ascii="arial" w:eastAsia="arial" w:hAnsi="arial" w:cs="arial"/>
          <w:i/>
          <w:color w:val="000000"/>
          <w:sz w:val="20"/>
          <w:lang w:val="en-US" w:eastAsia="en-US" w:bidi="ar-SA"/>
        </w:rPr>
        <w:t>CCAA</w:t>
      </w:r>
      <w:r>
        <w:rPr>
          <w:rFonts w:ascii="arial" w:eastAsia="arial" w:hAnsi="arial" w:cs="arial"/>
          <w:color w:val="000000"/>
          <w:sz w:val="20"/>
          <w:lang w:val="en-US" w:eastAsia="en-US" w:bidi="ar-SA"/>
        </w:rPr>
        <w:t xml:space="preserve"> is a wide one, and as stated above, is intended to allow the court considerable latitude in furthering the objectives of the </w:t>
      </w:r>
      <w:r>
        <w:rPr>
          <w:rFonts w:ascii="arial" w:eastAsia="arial" w:hAnsi="arial" w:cs="arial"/>
          <w:i/>
          <w:color w:val="000000"/>
          <w:sz w:val="20"/>
          <w:lang w:val="en-US" w:eastAsia="en-US" w:bidi="ar-SA"/>
        </w:rPr>
        <w:t>CCAA</w:t>
      </w:r>
      <w:r>
        <w:rPr>
          <w:rFonts w:ascii="arial" w:eastAsia="arial" w:hAnsi="arial" w:cs="arial"/>
          <w:color w:val="000000"/>
          <w:sz w:val="20"/>
          <w:lang w:val="en-US" w:eastAsia="en-US" w:bidi="ar-SA"/>
        </w:rPr>
        <w:t xml:space="preserve"> towards avoiding the social and economic losses arising from a failed or failing business. That discretion is, however, not limitless (</w:t>
      </w:r>
      <w:r>
        <w:rPr>
          <w:rFonts w:ascii="arial" w:eastAsia="arial" w:hAnsi="arial" w:cs="arial"/>
          <w:i/>
          <w:color w:val="000000"/>
          <w:sz w:val="20"/>
          <w:lang w:val="en-US" w:eastAsia="en-US" w:bidi="ar-SA"/>
        </w:rPr>
        <w:t>Stelco Inc. (Re)</w:t>
      </w:r>
      <w:r>
        <w:rPr>
          <w:rFonts w:ascii="arial" w:eastAsia="arial" w:hAnsi="arial" w:cs="arial"/>
          <w:color w:val="000000"/>
          <w:sz w:val="20"/>
          <w:lang w:val="en-US" w:eastAsia="en-US" w:bidi="ar-SA"/>
        </w:rPr>
        <w:t xml:space="preserve"> </w:t>
      </w:r>
      <w:hyperlink r:id="rId379" w:history="1">
        <w:r>
          <w:rPr>
            <w:rFonts w:ascii="arial" w:eastAsia="arial" w:hAnsi="arial" w:cs="arial"/>
            <w:i/>
            <w:color w:val="0077CC"/>
            <w:sz w:val="20"/>
            <w:u w:val="single"/>
            <w:shd w:val="clear" w:color="auto" w:fill="FFFFFF"/>
            <w:lang w:val="en-US" w:eastAsia="en-US" w:bidi="ar-SA"/>
          </w:rPr>
          <w:t>(2005), 75 O.R. (3d) 5</w:t>
        </w:r>
      </w:hyperlink>
      <w:r>
        <w:rPr>
          <w:rFonts w:ascii="arial" w:eastAsia="arial" w:hAnsi="arial" w:cs="arial"/>
          <w:color w:val="000000"/>
          <w:sz w:val="20"/>
          <w:lang w:val="en-US" w:eastAsia="en-US" w:bidi="ar-SA"/>
        </w:rPr>
        <w:t xml:space="preserve"> (C.A.), </w:t>
      </w:r>
      <w:hyperlink r:id="rId380" w:history="1">
        <w:r>
          <w:rPr>
            <w:rFonts w:ascii="arial" w:eastAsia="arial" w:hAnsi="arial" w:cs="arial"/>
            <w:i/>
            <w:color w:val="0077CC"/>
            <w:sz w:val="20"/>
            <w:u w:val="single"/>
            <w:shd w:val="clear" w:color="auto" w:fill="FFFFFF"/>
            <w:lang w:val="en-US" w:eastAsia="en-US" w:bidi="ar-SA"/>
          </w:rPr>
          <w:t>[2005] O.J. No. 1171</w:t>
        </w:r>
      </w:hyperlink>
      <w:r>
        <w:rPr>
          <w:rFonts w:ascii="arial" w:eastAsia="arial" w:hAnsi="arial" w:cs="arial"/>
          <w:color w:val="000000"/>
          <w:sz w:val="20"/>
          <w:lang w:val="en-US" w:eastAsia="en-US" w:bidi="ar-SA"/>
        </w:rPr>
        <w:t xml:space="preserve"> at para. 44); rather it must be exercised on a principled basis and the appropriateness of the order relates to not only the purpose of the order but also the means it employs: </w:t>
      </w:r>
      <w:r>
        <w:rPr>
          <w:rFonts w:ascii="arial" w:eastAsia="arial" w:hAnsi="arial" w:cs="arial"/>
          <w:i/>
          <w:color w:val="000000"/>
          <w:sz w:val="20"/>
          <w:lang w:val="en-US" w:eastAsia="en-US" w:bidi="ar-SA"/>
        </w:rPr>
        <w:t>Century Services</w:t>
      </w:r>
      <w:r>
        <w:rPr>
          <w:rFonts w:ascii="arial" w:eastAsia="arial" w:hAnsi="arial" w:cs="arial"/>
          <w:color w:val="000000"/>
          <w:sz w:val="20"/>
          <w:lang w:val="en-US" w:eastAsia="en-US" w:bidi="ar-SA"/>
        </w:rPr>
        <w:t xml:space="preserve"> at para. 70. Nevertheless, I am not aware of any case authority by which that statutory jurisdiction under the </w:t>
      </w:r>
      <w:r>
        <w:rPr>
          <w:rFonts w:ascii="arial" w:eastAsia="arial" w:hAnsi="arial" w:cs="arial"/>
          <w:i/>
          <w:color w:val="000000"/>
          <w:sz w:val="20"/>
          <w:lang w:val="en-US" w:eastAsia="en-US" w:bidi="ar-SA"/>
        </w:rPr>
        <w:t>CCAA</w:t>
      </w:r>
      <w:r>
        <w:rPr>
          <w:rFonts w:ascii="arial" w:eastAsia="arial" w:hAnsi="arial" w:cs="arial"/>
          <w:color w:val="000000"/>
          <w:sz w:val="20"/>
          <w:lang w:val="en-US" w:eastAsia="en-US" w:bidi="ar-SA"/>
        </w:rPr>
        <w:t xml:space="preserve"> has been used to essentially expropriate the beneficial title of others for the benefit of the restructuring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318</w:t>
      </w:r>
      <w:r>
        <w:rPr>
          <w:rFonts w:ascii="arial" w:eastAsia="arial" w:hAnsi="arial" w:cs="arial"/>
          <w:color w:val="000000"/>
          <w:sz w:val="20"/>
          <w:lang w:val="en-US" w:eastAsia="en-US" w:bidi="ar-SA"/>
        </w:rPr>
        <w:t xml:space="preserve">  Again, I have no doubt as to the </w:t>
      </w:r>
      <w:r>
        <w:rPr>
          <w:rFonts w:ascii="arial" w:eastAsia="arial" w:hAnsi="arial" w:cs="arial"/>
          <w:i/>
          <w:color w:val="000000"/>
          <w:sz w:val="20"/>
          <w:lang w:val="en-US" w:eastAsia="en-US" w:bidi="ar-SA"/>
        </w:rPr>
        <w:t>bona fides</w:t>
      </w:r>
      <w:r>
        <w:rPr>
          <w:rFonts w:ascii="arial" w:eastAsia="arial" w:hAnsi="arial" w:cs="arial"/>
          <w:color w:val="000000"/>
          <w:sz w:val="20"/>
          <w:lang w:val="en-US" w:eastAsia="en-US" w:bidi="ar-SA"/>
        </w:rPr>
        <w:t xml:space="preserve"> of TLC in these proceedings and its urgent need to restructure so that it can hopefully survive, in some fashion, to continue making its positive and significant contributions to conservancy. Many people involved in TLC have devoted countless volunteer hours in the past and they continue to do so even today in furtherance of this worthy cause and in these difficult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319</w:t>
      </w:r>
      <w:r>
        <w:rPr>
          <w:rFonts w:ascii="arial" w:eastAsia="arial" w:hAnsi="arial" w:cs="arial"/>
          <w:color w:val="000000"/>
          <w:sz w:val="20"/>
          <w:lang w:val="en-US" w:eastAsia="en-US" w:bidi="ar-SA"/>
        </w:rPr>
        <w:t xml:space="preserve">  However, I do not consider that the </w:t>
      </w:r>
      <w:r>
        <w:rPr>
          <w:rFonts w:ascii="arial" w:eastAsia="arial" w:hAnsi="arial" w:cs="arial"/>
          <w:i/>
          <w:color w:val="000000"/>
          <w:sz w:val="20"/>
          <w:lang w:val="en-US" w:eastAsia="en-US" w:bidi="ar-SA"/>
        </w:rPr>
        <w:t>CCAA</w:t>
      </w:r>
      <w:r>
        <w:rPr>
          <w:rFonts w:ascii="arial" w:eastAsia="arial" w:hAnsi="arial" w:cs="arial"/>
          <w:color w:val="000000"/>
          <w:sz w:val="20"/>
          <w:lang w:val="en-US" w:eastAsia="en-US" w:bidi="ar-SA"/>
        </w:rPr>
        <w:t xml:space="preserve"> allows me to simply disregard the property interests of others in furtherance of this cause. Therefore, I reject TLC's contention that even if it has no beneficial interest in the Binning House because of the application of trust law and the </w:t>
      </w:r>
      <w:r>
        <w:rPr>
          <w:rFonts w:ascii="arial" w:eastAsia="arial" w:hAnsi="arial" w:cs="arial"/>
          <w:i/>
          <w:color w:val="000000"/>
          <w:sz w:val="20"/>
          <w:lang w:val="en-US" w:eastAsia="en-US" w:bidi="ar-SA"/>
        </w:rPr>
        <w:t>CPPA</w:t>
      </w:r>
      <w:r>
        <w:rPr>
          <w:rFonts w:ascii="arial" w:eastAsia="arial" w:hAnsi="arial" w:cs="arial"/>
          <w:color w:val="000000"/>
          <w:sz w:val="20"/>
          <w:lang w:val="en-US" w:eastAsia="en-US" w:bidi="ar-SA"/>
        </w:rPr>
        <w:t xml:space="preserve">, it is within my jurisdiction, whether under the </w:t>
      </w:r>
      <w:r>
        <w:rPr>
          <w:rFonts w:ascii="arial" w:eastAsia="arial" w:hAnsi="arial" w:cs="arial"/>
          <w:i/>
          <w:color w:val="000000"/>
          <w:sz w:val="20"/>
          <w:lang w:val="en-US" w:eastAsia="en-US" w:bidi="ar-SA"/>
        </w:rPr>
        <w:t>LTA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CCAA</w:t>
      </w:r>
      <w:r>
        <w:rPr>
          <w:rFonts w:ascii="arial" w:eastAsia="arial" w:hAnsi="arial" w:cs="arial"/>
          <w:color w:val="000000"/>
          <w:sz w:val="20"/>
          <w:lang w:val="en-US" w:eastAsia="en-US" w:bidi="ar-SA"/>
        </w:rPr>
        <w:t xml:space="preserve"> or otherwise, to allow the DIP Lenders to seek payment from the sale of the Binning House. This is so whether or not the Binning House has, at least notionally, been made been subject to the DIP Lenders' Charge under the Initial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320</w:t>
      </w:r>
      <w:r>
        <w:rPr>
          <w:rFonts w:ascii="arial" w:eastAsia="arial" w:hAnsi="arial" w:cs="arial"/>
          <w:color w:val="000000"/>
          <w:sz w:val="20"/>
          <w:lang w:val="en-US" w:eastAsia="en-US" w:bidi="ar-SA"/>
        </w:rPr>
        <w:t>  UBC's application (its converted petition) for certain declaratory relief in relation to its "fraud on powers" argument is dismissed, with costs payable by UBC in favour of TLC.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321</w:t>
      </w:r>
      <w:r>
        <w:rPr>
          <w:rFonts w:ascii="arial" w:eastAsia="arial" w:hAnsi="arial" w:cs="arial"/>
          <w:color w:val="000000"/>
          <w:sz w:val="20"/>
          <w:lang w:val="en-US" w:eastAsia="en-US" w:bidi="ar-SA"/>
        </w:rPr>
        <w:t>  TLC's application for approval of the sale of the Binning House to BJW/Mr. Wall is adjourned generally. TLC will have liberty to reset its application with further evidence or it may file an amended application in respect of any other relief that may be sought in respect of the Binning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S.C. FITZPATRICK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14" style="position:absolute;z-index:25185484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81"/>
          <w:headerReference w:type="default" r:id="rId382"/>
          <w:footerReference w:type="even" r:id="rId383"/>
          <w:footerReference w:type="default" r:id="rId384"/>
          <w:headerReference w:type="first" r:id="rId385"/>
          <w:footerReference w:type="first" r:id="rId38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87" w:history="1">
        <w:r>
          <w:rPr>
            <w:rFonts w:ascii="arial" w:eastAsia="arial" w:hAnsi="arial" w:cs="arial"/>
            <w:b/>
            <w:bCs/>
            <w:i/>
            <w:color w:val="0077CC"/>
            <w:kern w:val="32"/>
            <w:sz w:val="28"/>
            <w:szCs w:val="32"/>
            <w:u w:val="single"/>
            <w:shd w:val="clear" w:color="auto" w:fill="FFFFFF"/>
            <w:lang w:val="en-US" w:eastAsia="en-US" w:bidi="ar-SA"/>
          </w:rPr>
          <w:t>Tsai v. Li, [2018] B.C.J. No. 653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N.P. Kent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11 and 12, February 22 and 23,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11,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S158797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[2018] B.C.J. No. 653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2018 BCSC 582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Wen Hsien Tsai, Plaintiff, and Zhixiang Li, Sincere Real Estate Services Ltd., Yi Zhang a.k.a. Leo Zhang, 1035566 B.C. Ltd., Arsalan Mahboub and Bahaiedin Naemi,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15" style="position:absolute;z-index:2516766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19" w:name="Keywords_17"/>
      <w:bookmarkEnd w:id="119"/>
      <w:r>
        <w:rPr>
          <w:rFonts w:ascii="arial" w:eastAsia="arial" w:hAnsi="arial" w:cs="arial"/>
          <w:b/>
          <w:color w:val="000000"/>
          <w:sz w:val="20"/>
          <w:lang w:val="en-US" w:eastAsia="en-US" w:bidi="ar-SA"/>
        </w:rPr>
        <w:t>Civil litigation — Civil procedure — Judgments and orders — Summary judgments — To dismiss claim — Application by defendants Li, Sincere Real Estate and Zhang, for summary trial dismissing action dismissed — Plaintiff alleged Li (purchaser) and Zhang and Sincere (brokers) conspired to induce him to sell property below market value so they could re-sell it for profit — There were significant conflicts between sworn evidence of plaintiff and some of affidavit evidence produced on behalf of defendants — It would be unjust to decide case by summary trial — Full trial was necessary so parties could testify and be cross-examined and court could determine credibility, reliability and probative value of evidence.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20" w:name="Case Summary_16"/>
            <w:bookmarkEnd w:id="12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defendants Li, Sincere Real Estate and Zhang, for summary trial dismissing the action. The plaintiff signed a contract of purchase and sale for his home pursuant to which he agreed to sell the property to Li for $5.1 million. Zhang of Sincere was the broker for the transaction. On the same date, the plaintiff signed a listing contract with Sincere pursuant to which he agreed to pay a commission of $100,000 and a limited dual agency agreement. Li later assigned the contract to a numbered company for $600,000. The plaintiff signed an addendum extending the possession and adjustment date for the transaction. The addendum also contained a clause reserving Li's right to assign a contract to a third party without notice to the plaintiff. The contract was later assigned for a purchase price of $6.3 million. After the plaintiff learned of the additional assignment, he refused to complete the sale of the property. He accused Li and Zhang of conspiring to induce him to sell the property below market value so that they could re-sell it for profit. He commenced a claim in conspiracy, breach of fiduciary duty, breach of contract and misrepresentation. He sought rescission of the contract of purchase and sale or damages. The defendants denied any wrongful conduct. They applied for a summary determination of the claim. The plaintiff opposed any summary trial procedure. He argued that the facts necessary to determine the matter could not be decided on the evidence before the court on the application and that it would be unjust to do so.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21" w:name="Holdings of Court_12"/>
            <w:bookmarkEnd w:id="121"/>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There were significant conflicts between the sworn evidence of the plaintiff and some of the affidavit evidence produced on behalf of the defendants. It would be unjust to decide the case by summary trial. A full trial was necessary so that the parties could testify and be cross-examined and the court could determine the credibility, reliability and probative value of their evidence.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22" w:name="Legislation Cited_17"/>
      <w:bookmarkEnd w:id="12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16" style="position:absolute;z-index:2517278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Supreme Court Civil Rules, </w:t>
      </w:r>
      <w:r>
        <w:rPr>
          <w:rFonts w:ascii="arial" w:eastAsia="arial" w:hAnsi="arial" w:cs="arial"/>
          <w:i/>
          <w:color w:val="000000"/>
          <w:sz w:val="20"/>
          <w:lang w:val="en-US" w:eastAsia="en-US" w:bidi="ar-SA"/>
        </w:rPr>
        <w:t>B.C. Reg. 168/2009, Rule 9-7</w:t>
      </w:r>
      <w:r>
        <w:rPr>
          <w:rFonts w:ascii="arial" w:eastAsia="arial" w:hAnsi="arial" w:cs="arial"/>
          <w:color w:val="000000"/>
          <w:sz w:val="20"/>
          <w:lang w:val="en-US" w:eastAsia="en-US" w:bidi="ar-SA"/>
        </w:rPr>
        <w:t>(15)</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23" w:name="Counsel_17"/>
      <w:bookmarkEnd w:id="123"/>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17" style="position:absolute;z-index:2517790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Wallace M. Wong, R. Lo (A/S), K. Ma (A/S).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Zhixiang Li and Yi Zhang aka Leo Zhang: Stephen A. Mellows.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Sincere Real Estate Services Ltd.: Kelly A. Murray, Romany K. Benham-Parker.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24" w:name="Judgment_17"/>
      <w:bookmarkEnd w:id="124"/>
      <w:r>
        <w:pict>
          <v:line id="_x0000_s1118" style="position:absolute;z-index:251830272" from="0,12pt" to="512pt,12pt" strokecolor="#009ddb" strokeweight="1.5pt">
            <v:stroke linestyle="single"/>
          </v:line>
        </w:pic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ÝEditor's note: A correction was released by the Court April 16, 2018; the changes have been made to the text and the corrigenda are appended to this document.¨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 AND OVERVIEW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 PLEADINGS AND APPLICATION MATERIALS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SUITABILITY FOR SUMMARY TRIAL</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0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25" w:name="N.P. KENT J."/>
            <w:bookmarkEnd w:id="125"/>
            <w:r>
              <w:rPr>
                <w:rFonts w:ascii="arial" w:eastAsia="arial" w:hAnsi="arial" w:cs="arial"/>
                <w:b/>
                <w:color w:val="000000"/>
                <w:sz w:val="30"/>
                <w:lang w:val="en-US" w:eastAsia="en-US" w:bidi="ar-SA"/>
              </w:rPr>
              <w:t>N.P. KENT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 and OVERVIEW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defendants Zhixiang Li, Sincere Real Estate Services Ltd. ("Sincere"), and Yi Zhang aka Leo Zhang apply for summary trial of the liability issues in this case and seek dismissal of the action with costs. The action against the other three named defendants was dismissed by consent shortly before the hearing of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Mr. Tsai opposes any summary trial procedure. He claims that the facts necessary to decide the issues in this case cannot and ought not be decided on the evidence before the Court on this application and that, indeed, it would unjust to do so. He claims that this is a case involving deception and fraud perpetrated against an elderly and unsophisticated plaintiff for whom English is a second language and that there are critical issues of credibility on key matters that require cross-examination and observation of the parties and other witnesses at a conventional trial in order that justice can fairly be done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For the reasons that follow, I conclude it would be unjust to decide the issues of fact and law in this summary trial application and I direct that the matter proceed to a full trial at the earliest possible opportunity.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 PLEADINGS and APPLICATION MATERIALS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basic factual framework is largely uncontested:</w:t>
      </w:r>
      <w:r>
        <w:rPr>
          <w:rFonts w:ascii="arial" w:eastAsia="arial" w:hAnsi="arial" w:cs="arial"/>
          <w:sz w:val="20"/>
          <w:lang w:val="en-US" w:eastAsia="en-US" w:bidi="ar-SA"/>
        </w:rPr>
        <w:cr/>
      </w:r>
    </w:p>
    <w:p>
      <w:pPr>
        <w:numPr>
          <w:numId w:val="10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May 16, 2015 the plaintiff signed a Contract of Purchase and Sale respecting his home at 1028 Eyremont Drive, West Vancouver (the "Property"), and pursuant to which he agreed to sell the Property to Mr. Li for $5.1 million.</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broker for the transaction was Mr. Zhang of Sincere.</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the same date, and at the same time, May 16, 2015, Mr. Tsai signed an Exclusive Listing Contract with Sincere pursuant to which Mr. Tsai agreed to pay a gross commission of $100,000, and a Limited Dual Agency Agreement authorizing Mr. Zhang to act as agent for both the buyer and the seller in respect of the transaction.</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Two months later, on July 14, 2015, Mr. Li formally assigned his Contract of Purchase and Sale to 1035566 B.C. Ltd. for a consideration of $600,000, representing a total purchase price for the Property to the assignee of $5.7 million.</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July 15, 2015 Mr. Tsai signed an Addendum to the Contract of Purchase and Sale extending the possession and adjustment date for the transaction from October 31, 2015 to December 1, 2015. That Addendum contained a clause expressly reserving Mr. Li's right to assign the Contract to any third party without notice to Mr. Tsai.</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Zhang of Sincere acted as Mr. Li's broker for the purpose of the assignment and also secured Mr. Tsai's signature on the Addendum the following day.</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Tsai was provided a cheque for $5,000 dated July 15. It was drawn on the bank account of 1035566 B.C. Ltd. It bore the notation, "For the extension of completion from Oct 30 to Nov 30".</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August 11, 2015 the Contract of Purchase and Sale was further assigned by 1035566 B.C. Ltd. to Mr. Lian Zhang (no relation to Mr. Zhang of Sincere) for the purchase price of $6.3 million.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Tsai claims to have been unaware of the assignment transactions until mid-October 2015. He issued this lawsuit on October 23, 2015. He also refused to complete the sale of the Property on November 30,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In his Notice of Civil Claim, Mr. Tsai accuses Messrs. Li and Zhang of scheming and conspiring to induce Mr. Tsai to sell his Property below market value so they could re-sell it for profit at the expense of the plaintiff. The action against Mr. Li is framed in conspiracy and tort. The action against Mr. Zhang and Sincere is framed in conspiracy,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breach of fiduciary duty, breach of contract, and misrepresentation. The relief sought by Mr. Tsai is rescission of the Contract of Purchase and Sale and in the alternative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defendants deny any conspiracy or other wrongful conduct. Mr. Li alleges in his Response to Civil Claim that he and his wife listed their own residence for sale with the intention that the sale proceeds would be used to assist funding the closing of the Tsai transaction. He alleges he was unable to obtain the desired sales price for his home, therefore he cancelled the listing and instructed Mr. Zhang to broker an assignment of the Tsai contract, with the latter being fully informed at the time. He has issued a counterclaim against Mr. Tsai alleging that the refusal to complete the sale was a wrongful and malicious attempt to "usurp to himself" the profit Mr. Li would otherwise have made on the first assignment. Punitive and compensatory damages are claimed.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Zhang and Sincere filed their summary trial application on September 20, 2016. Mr. Li filed his summary trial application on March 14, 2017.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Application Record provided to the Court, as more recently supplemented by all parties, contains some 13 affidavits, spanning March 8, 2016 through February 15, 2018. Mr. Tsai has sworn four affidavits, Mr. Li three and Mr. Zhang three. Four of those affidavits were sworn after commencement of the summary trial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Tsai was examined for discovery on May 3 and 4, 2016. Mr. Zhang was examined for discovery on August 12, 2016 and again on October 26, 2017. Mr. Li was examined for discovery on September 14, 2016 and again on October 31, 2017.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Two expert reports have been provided to the Court respecting the estimated market value of the Property as at May 16, 2015. Mr. Brent McLaren of Grover Elliott &amp; Co. appraises that value within the range of $5 to $5.3 million. Another professional appraiser, Mr. Steven Wong, places the value at $5.645 million.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SUITABILITY FOR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Rule 9-7(15)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168/2009</w:t>
      </w:r>
      <w:r>
        <w:rPr>
          <w:rFonts w:ascii="arial" w:eastAsia="arial" w:hAnsi="arial" w:cs="arial"/>
          <w:color w:val="000000"/>
          <w:sz w:val="20"/>
          <w:lang w:val="en-US" w:eastAsia="en-US" w:bidi="ar-SA"/>
        </w:rPr>
        <w:t>,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Judgment</w:t>
      </w:r>
    </w:p>
    <w:p>
      <w:pPr>
        <w:numPr>
          <w:numId w:val="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the hearing of a summary trial application, the court may</w:t>
      </w:r>
    </w:p>
    <w:p>
      <w:pPr>
        <w:numPr>
          <w:numId w:val="1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grant judgment in favour of any party, either on an issue or generally, unless</w:t>
      </w:r>
    </w:p>
    <w:p>
      <w:pPr>
        <w:numPr>
          <w:numId w:val="11"/>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is unable, on the whole of the evidence before the court on the application, to find the facts necessary to decide the issues of fact or law, or</w:t>
      </w:r>
    </w:p>
    <w:p>
      <w:pPr>
        <w:numPr>
          <w:numId w:val="12"/>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is of the opinion that it would be unjust to decide the issues on the application,</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impose terms respecting enforcement of the judgment, including a stay of execution, and</w:t>
      </w:r>
    </w:p>
    <w:p>
      <w:pPr>
        <w:numPr>
          <w:numId w:val="1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award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defendants acknowledge significant conflicts exist between the sworn evidence of Mr. Tsai and some of the affidavit evidence produced on behalf of the defendants. They urge that any credibility conflict relates to matters of little consequence and should in any event be resolved against Mr. Tsai given the contradictory and illogical nature of some of his evidence. The defendants submit the following surgical analysis militates in favour of dismissing the action:</w:t>
      </w:r>
      <w:r>
        <w:rPr>
          <w:rFonts w:ascii="arial" w:eastAsia="arial" w:hAnsi="arial" w:cs="arial"/>
          <w:sz w:val="20"/>
          <w:lang w:val="en-US" w:eastAsia="en-US" w:bidi="ar-SA"/>
        </w:rPr>
        <w:cr/>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critical legal issue between the parties relates to the formation of the sale contract on May 16, 2015.</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While Mr. Tsai alleges a scheme or conspiracy between Mr. Zhang and Mr. Li to purchase Mr. Tsai's Property below market value, he has produced no evidence corroborating the existence of any such scheme.</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fact that Mr. Zhang and Mr. Li knew each other and were friends before this transaction does not and cannot give rise to any reasonable inference of conspiracy.</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Tsai approached Sincere, not the other way around, and told Mr. Zhang he would sell the Property with the first realtor to bring him a cash, no-subject offer for $5 million.</w:t>
      </w:r>
    </w:p>
    <w:p>
      <w:pPr>
        <w:numPr>
          <w:numId w:val="1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Mr. Zhang produced Mr. Li's $5.1 million offer, he was not acting as Mr. Tsai's real estate agent and owed no duty of care nor any fiduciary duty to the latter;</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 evidence the sale price of $5.1 million was below then-market value for the Property.</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Tsai did not rely upon any advice from Mr. Zhang regarding price, and any assertion by him to the contrary is unreasonable in the circumstances and contradicts his admissions on discovery.</w:t>
      </w:r>
    </w:p>
    <w:p>
      <w:pPr>
        <w:numPr>
          <w:numId w:val="2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As a matter of law, the Contract of Purchase and Sale was assignable by Mr. Li immediately upon execution and without the requirement of any consent beforehand from Mr. Tsai.</w:t>
      </w:r>
    </w:p>
    <w:p>
      <w:pPr>
        <w:numPr>
          <w:numId w:val="24"/>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any event, there was nothing legally improper about the first Assignment from Mr. Li to 1035566 B.C. Ltd.</w:t>
      </w:r>
    </w:p>
    <w:p>
      <w:pPr>
        <w:numPr>
          <w:numId w:val="25"/>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Tsai has produced no (expert) evidence establishing the standard of care owed by a real estate agent in the circumstances of this case, let alone that Mr. Zhang's conduct in any way fell below the requisite standard of care.</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This case is simply one of "vendor's remorse" and involves no illegal conduct of any sort (except Mr. Tsai's own breach of contract and failing to complete the sale of the Property to the ultimate assignee).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defendants present strong arguments. They may very well prevail at the end of the day and Mr. Tsai may very well be confronting liability for significant legal costs as a consequence of any unsubstantiated allegations of dishonesty that he is making.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But some cases, and this is one of them, cry out for a traditional trial rather than a summary determination based on affidavits prepared by a party's legal counsel and which may obscure the affiant's authentic voice. In some cases, decontextualized affidavit and transcript evidence has the potential for substantive unfairness of a sort that would not likely occur in a full trial where the trial judge sees and hears it all. This is especially so where the cause of action (conspiracy) alleges concealed conduct difficult to prove and which in large measure will depend upon an assessment of the credibility and reliability of witnesses' testimony and inferences to be drawn from all of the evidence as a whole.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this case, the "optics" arguably engender skepticism, if not suspicion. Shortly after the Contract in this case was executed, significant changes were made in the real estate industry to address the controversial practice of "shadow flipping" and alleged misconduct on the part of real estate agents, including misleading advertising and predatory sales strategies designed to take advantage of consumers. If the flipping transactions in this case had occurred two years later, Mr. Tsai would have benefitted to the tune of some $1.2 million over and above the purchase price set out in the May 16, 2015 Agreement. The Limited Dual Agency Agreement would not have been signed and Mr. Zhang would not have been able to represent both vendor and purchaser.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This does not in any way mean that Mr. Zhang's conduct was illegal or inappropriate at the time of his dealings with Mr. Tsai in May 2015. The surgical analysis urged by his counsel may very well prevail at the end of the day, and Mr. Zhang (and, of course, Mr. Li) may be completely exonerated of all alleged wrongdoing.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Certain documents claimed by the plaintiff to be critical to his case, and which were colourfully labelled by his counsel as "smoking guns", are various "WeChat messages" exchanged between Mr. Li and Mr. Zhang between March and December 2015. Some of this material was produced for the first time in December 2017. During some of these multiple exchanges, Mr. Li and Mr. Zhang refer to themselves as "brother" or "bro". Some exchanges relate to the Property that is the subject matter of the present litigation, as well as to over 40 other properties.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Most of the "smoking guns" relied upon by Mr. Tsai's counsel are exchanges that occurred after the execution of the May 16, 2015 Contract of Purchase and Sale. All of them may very well bear the completely innocent meaning ascribed to them in the more recently filed affidavits of the parties and the submissions of their counsel. The fact that Mr. Li and Mr. Zhang may have been friends before the transaction with Mr. Tsai may have no legal significance whatsoever. In the context of a dual agency scenario, however, skeptics might suggest otherwise.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And it must not be overlooked that Mr. Tsai has sworn under oath that he was effectively deceived by Mr. Zhang. First, he portrays himself as an elderly, retired gentleman with a poor command of the English language and whose cataracts make reading difficult for him in any event. While he acknowledges he wanted to know about the value of his Property, he says he did not ask Mr. Zhang to sell the Property, to solicit offers, or to bring him a buyer. He says he was "stunned" when Mr. Zhang told him he had a buyer for $5 million and that he rejected the offer. He describes Mr. Zhang calling back with a higher offer combined with a reduced commission: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told me to hurry to sign the deal because my property was not worth that much, but today I was lucky that someone wanted to purchase my property and I would get $5 million. He urged me to seize the opportunity, saying I would not get a better offer. I believed him so I went to his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Tsai swears that when he arrived at Mr. Zhang's office he was presented with the Contract of Purchase and Sale already signed, an Exclusive Listing Agreement and a Limited Dual Agency Agreement. He says Mr. Zhang only reviewed with him the sale price, the deposit amount, his commission fee, the completion date and the Property Disclosure Statement. He expressly swears that Mr. Zhang did not discuss independent legal advice, the concept of assignment, and did not explain the Listing and Dual Agency Agreements with him. He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Had I known the difference in duties of a realtor between a regular agency agreement and a dual agency agreement, I would have found another realtor.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Tsai and Mr. Zhang relate completely different version of events respecting the execution in mid-July of an Addendum to the Contract of Purchase and Sale. Mr. Tsai denies being advised of the assignment by Mr. Li to the numbered company. He acknowledges receiving $5,000 to extend the completion date by a month at the request of Mr. Li. He claims Mr. Zhang covered up part of the Addendum and simply asked Mr. Tsai to sign (which he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Tsai's counsel had produced expert evidence purporting to establish the value of Mr. Tsai's home at $5.645 million at the time the Contract of Purchase and Sale for $5.1 million was signed on May 16, 2015. That appraisal is, of course, challenged but if sustained at trial, any such $500,000 difference between the sale price and the fair market value may contribute to negative inferences against Mr. Zhang (and possibly Mr. Li) when all of the evidence is considered as a whole.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Insofar as shortcomings respecting expert evidence on a realtor's professional standards of conduct are concerned, counsel for Mr. Tsai apologetically acknowledges fault for its absence and asks that this not be allowed to result in judgment being granted against Mr. Tsai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Combining all of these considerations leads me to conclude that it would be unjust to decide this case by way of a summary trial and that, instead, a full trial is required where the parties can testify in their own words and be cross-examined before the Court to determine the credibility, reliability and probative value of their evidence. I also reject Mr. Li's suggestion that the (unproved) allegation of conspiracy against him be dismissed at this time and only the balance of the lawsuit against the realtors proceed. I am sympathetic to his plight, but such "litigation in slices" would be unwise. In my view, all of these claims must be determined at the same time and based on the same evidence as a whole.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The parties no doubt recall the observations of Mr. Justice Savage at para. 36 of </w:t>
      </w:r>
      <w:r>
        <w:rPr>
          <w:rFonts w:ascii="arial" w:eastAsia="arial" w:hAnsi="arial" w:cs="arial"/>
          <w:i/>
          <w:color w:val="000000"/>
          <w:sz w:val="20"/>
          <w:lang w:val="en-US" w:eastAsia="en-US" w:bidi="ar-SA"/>
        </w:rPr>
        <w:t>Zhang v. Tsai</w:t>
      </w:r>
      <w:r>
        <w:rPr>
          <w:rFonts w:ascii="arial" w:eastAsia="arial" w:hAnsi="arial" w:cs="arial"/>
          <w:color w:val="000000"/>
          <w:sz w:val="20"/>
          <w:lang w:val="en-US" w:eastAsia="en-US" w:bidi="ar-SA"/>
        </w:rPr>
        <w:t xml:space="preserve">, </w:t>
      </w:r>
      <w:hyperlink r:id="rId388" w:history="1">
        <w:r>
          <w:rPr>
            <w:rFonts w:ascii="arial" w:eastAsia="arial" w:hAnsi="arial" w:cs="arial"/>
            <w:i/>
            <w:color w:val="0077CC"/>
            <w:sz w:val="20"/>
            <w:u w:val="single"/>
            <w:shd w:val="clear" w:color="auto" w:fill="FFFFFF"/>
            <w:lang w:val="en-US" w:eastAsia="en-US" w:bidi="ar-SA"/>
          </w:rPr>
          <w:t>2017 BCCA 371</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view, the Rescission and Misrepresentation Action and the Specific Performance Action should be tried together, or sequentially, as originally contemplated by the Procedural Order. Arguably, in order to determine whether Mr. Lian Zhang is entitled to specific performance it must be determined whether Mr. Tsai is entitled to rescission. Moreover, the issues are so interwoven as to make separate trials at different times before different judges fraught with problems including potentially inconsistent findings.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It appears a procedural order has been issued by Master Taylor ordering that this action be tried at the same time or consecutively with the parallel Specific Performance Action initiated by the ultimate assignee of Mr. Tsai's Contract of Purchase and Sale. That order presumably remains in place and steps should be taken by all parties in both actions to set this matter down for trial at the earliest possible date so this long-outstanding drama can be brought to a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costs of this summary trial application will be in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N.P. KENT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Released: April 16, 2018</w:t>
      </w:r>
      <w:r>
        <w:rPr>
          <w:rFonts w:ascii="arial" w:eastAsia="arial" w:hAnsi="arial" w:cs="arial"/>
          <w:sz w:val="20"/>
          <w:lang w:val="en-US" w:eastAsia="en-US" w:bidi="ar-SA"/>
        </w:rPr>
        <w:cr/>
      </w:r>
    </w:p>
    <w:p>
      <w:pPr>
        <w:numPr>
          <w:numId w:val="27"/>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7"/>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Paragraph 3 has been moved to before the heading entitled Background, Pleadings and Application Materials.</w:t>
      </w:r>
    </w:p>
    <w:p>
      <w:pPr>
        <w:numPr>
          <w:numId w:val="27"/>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Paragraph 9 has been corrected to read:</w:t>
      </w:r>
    </w:p>
    <w:p>
      <w:pPr>
        <w:numPr>
          <w:numId w:val="28"/>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Application Record provided to the Court, as more recently supplemented by all parties, contains some 13 affidavits, spanning March 8, 2016 through February 15, 2018. Mr. Tsai has sworn four affidavits, Mr. Li three and Mr. Zhang three. Four of those affidavits were sworn after commencement of the summary trial </w:t>
      </w:r>
      <w:r>
        <w:rPr>
          <w:rFonts w:ascii="arial" w:eastAsia="arial" w:hAnsi="arial" w:cs="arial"/>
          <w:color w:val="000000"/>
          <w:sz w:val="20"/>
          <w:u w:val="single"/>
          <w:lang w:val="en-US" w:eastAsia="en-US" w:bidi="ar-SA"/>
        </w:rPr>
        <w:t>hearing</w:t>
      </w:r>
      <w:r>
        <w:rPr>
          <w:rFonts w:ascii="arial" w:eastAsia="arial" w:hAnsi="arial" w:cs="arial"/>
          <w:color w:val="000000"/>
          <w:sz w:val="20"/>
          <w:lang w:val="en-US" w:eastAsia="en-US" w:bidi="ar-SA"/>
        </w:rPr>
        <w:t>.</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first bullet in paragraph 13 has been corrected to read:</w:t>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color w:val="000000"/>
          <w:sz w:val="20"/>
          <w:u w:val="single"/>
          <w:lang w:val="en-US" w:eastAsia="en-US" w:bidi="ar-SA"/>
        </w:rPr>
        <w:t>critical legal</w:t>
      </w:r>
      <w:r>
        <w:rPr>
          <w:rFonts w:ascii="arial" w:eastAsia="arial" w:hAnsi="arial" w:cs="arial"/>
          <w:color w:val="000000"/>
          <w:sz w:val="20"/>
          <w:lang w:val="en-US" w:eastAsia="en-US" w:bidi="ar-SA"/>
        </w:rPr>
        <w:t xml:space="preserve"> issue between the parties relates to the formation of the sale contract on May 16, 2015.</w:t>
      </w:r>
    </w:p>
    <w:p>
      <w:pPr>
        <w:numPr>
          <w:numId w:val="30"/>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Paragraph 20 has been corrected to read:</w:t>
      </w:r>
    </w:p>
    <w:p>
      <w:pPr>
        <w:numPr>
          <w:numId w:val="3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And it must not be overlooked that Mr. Tsai has sworn under oath that he was effectively deceived by Mr. Zhang. First, he portrays himself as an elderly, retired gentleman with a poor command of the English language and whose cataracts make reading difficult for him in any event. While he acknowledges he wanted to know about the value of his Property, he says he did not ask Mr. Zhang to sell the Property, to solicit offers, or to bring him a buyer. He says he was "stunned" when Mr. Zhang told him he had a buyer for $5 million and that he rejected the offer. He describes Mr. Zhang Ý"as" struck out¨ calling back with a higher offer combined with a reduced commission:</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19" style="position:absolute;z-index:25185587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89"/>
          <w:headerReference w:type="default" r:id="rId390"/>
          <w:footerReference w:type="even" r:id="rId391"/>
          <w:footerReference w:type="default" r:id="rId392"/>
          <w:headerReference w:type="first" r:id="rId393"/>
          <w:footerReference w:type="first" r:id="rId39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95" w:history="1">
        <w:r>
          <w:rPr>
            <w:rFonts w:ascii="arial" w:eastAsia="arial" w:hAnsi="arial" w:cs="arial"/>
            <w:b/>
            <w:bCs/>
            <w:i/>
            <w:color w:val="0077CC"/>
            <w:kern w:val="32"/>
            <w:sz w:val="28"/>
            <w:szCs w:val="32"/>
            <w:u w:val="single"/>
            <w:shd w:val="clear" w:color="auto" w:fill="FFFFFF"/>
            <w:lang w:val="en-US" w:eastAsia="en-US" w:bidi="ar-SA"/>
          </w:rPr>
          <w:t>Varner v. John Doe, [2009] B.C.J. No. 489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W. Ehrcke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February 26,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S032834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[2009] B.C.J. No. 489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BCSC 333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176 A.C.W.S. (3d) 253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Gary Varner, Plaintiff, and "John Doe" and "Richard Roe" and the City of Vancouver,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20" style="position:absolute;z-index:2516776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26" w:name="Keywords_18"/>
      <w:bookmarkEnd w:id="126"/>
      <w:r>
        <w:rPr>
          <w:rFonts w:ascii="arial" w:eastAsia="arial" w:hAnsi="arial" w:cs="arial"/>
          <w:b/>
          <w:color w:val="000000"/>
          <w:sz w:val="20"/>
          <w:lang w:val="en-US" w:eastAsia="en-US" w:bidi="ar-SA"/>
        </w:rPr>
        <w:t>Municipal law — Actions by and against — Actions against municipality — Bringing action — Limitation period — The plaintiff's claim against the City of Vancouver, seeking damages after he was bitten by a police dog, was dismissed — There was no reasonable excuse for the plaintiff's failure to give the City notice of his claim within the two-month time period required by the Vancouver Charter — The plaintiff did not appear so the trial proceeded in his absence — Vancouver Charter, s. 294(2).</w:t>
      </w:r>
    </w:p>
    <w:p>
      <w:pPr>
        <w:jc w:val="both"/>
        <w:rPr>
          <w:rFonts w:ascii="arial" w:eastAsia="arial" w:hAnsi="arial" w:cs="arial"/>
          <w:sz w:val="20"/>
          <w:lang w:val="en-US" w:eastAsia="en-US" w:bidi="ar-SA"/>
        </w:rPr>
      </w:pPr>
      <w:bookmarkStart w:id="127" w:name="Legislation Cited_18"/>
      <w:bookmarkEnd w:id="12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21" style="position:absolute;z-index:2517288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Criminal Code of Canada, </w:t>
      </w:r>
      <w:hyperlink r:id="rId231" w:history="1">
        <w:r>
          <w:rPr>
            <w:rFonts w:ascii="arial" w:eastAsia="arial" w:hAnsi="arial" w:cs="arial"/>
            <w:i/>
            <w:color w:val="0077CC"/>
            <w:sz w:val="20"/>
            <w:u w:val="single"/>
            <w:shd w:val="clear" w:color="auto" w:fill="FFFFFF"/>
            <w:lang w:val="en-US" w:eastAsia="en-US" w:bidi="ar-SA"/>
          </w:rPr>
          <w:t>R.S.C. 1985, c. C-46, s. 25</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Police Act, </w:t>
      </w:r>
      <w:hyperlink r:id="rId232" w:history="1">
        <w:r>
          <w:rPr>
            <w:rFonts w:ascii="arial" w:eastAsia="arial" w:hAnsi="arial" w:cs="arial"/>
            <w:i/>
            <w:color w:val="0077CC"/>
            <w:sz w:val="20"/>
            <w:u w:val="single"/>
            <w:shd w:val="clear" w:color="auto" w:fill="FFFFFF"/>
            <w:lang w:val="en-US" w:eastAsia="en-US" w:bidi="ar-SA"/>
          </w:rPr>
          <w:t>RSBC 1996, CHAPTER 367, s. 20</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Supreme Court Rules, Rule 39(33)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Vancouver Charter, </w:t>
      </w:r>
      <w:hyperlink r:id="rId396" w:history="1">
        <w:r>
          <w:rPr>
            <w:rFonts w:ascii="arial" w:eastAsia="arial" w:hAnsi="arial" w:cs="arial"/>
            <w:i/>
            <w:color w:val="0077CC"/>
            <w:sz w:val="20"/>
            <w:u w:val="single"/>
            <w:shd w:val="clear" w:color="auto" w:fill="FFFFFF"/>
            <w:lang w:val="en-US" w:eastAsia="en-US" w:bidi="ar-SA"/>
          </w:rPr>
          <w:t>SBC 1953, CHAPTER 55, s. 294</w:t>
        </w:r>
      </w:hyperlink>
      <w:r>
        <w:rPr>
          <w:rFonts w:ascii="arial" w:eastAsia="arial" w:hAnsi="arial" w:cs="arial"/>
          <w:color w:val="000000"/>
          <w:sz w:val="20"/>
          <w:lang w:val="en-US" w:eastAsia="en-US" w:bidi="ar-SA"/>
        </w:rPr>
        <w:t>(2)</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28" w:name="Counsel_18"/>
      <w:bookmarkEnd w:id="128"/>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22" style="position:absolute;z-index:2517800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No one appearing.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Defendants: K.F.W. Liang.</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29" w:name="Judgment_18"/>
      <w:bookmarkEnd w:id="129"/>
      <w:r>
        <w:pict>
          <v:line id="_x0000_s1123" style="position:absolute;z-index:25183129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Oral 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4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30" w:name="W. EHRCKE J. (orally)"/>
            <w:bookmarkEnd w:id="130"/>
            <w:r>
              <w:rPr>
                <w:rFonts w:ascii="arial" w:eastAsia="arial" w:hAnsi="arial" w:cs="arial"/>
                <w:b/>
                <w:color w:val="000000"/>
                <w:sz w:val="30"/>
                <w:lang w:val="en-US" w:eastAsia="en-US" w:bidi="ar-SA"/>
              </w:rPr>
              <w:t>W. EHRCKE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in his statement of claim seeks damages arising out of an incident in which he was bitten by a police dog on July 31,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trial was set to commence on Monday, February 23, 2009. The plaintiff was not present in court at that time, but his counsel, Mr. Kent-Snowsell, was, and he applied for leave to withdraw as counsel. That application was granted, and the commencement of the trial was adjourned to Wednesday, February 25, 2009. Mr. Kent-Snowsell had the entered order delivered by courier to the plaintiff's residence, which is now his address for service. The entered order showed that Mr. Kent-Snowsell was no longer counsel and showed that the trial would commence on February 25, 2009, at 10:00 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When the case was called on February 25, 2009, no one appeared for the plaintiff. At the request of the City of Vancouver (the "City"), the trial proceeded in the plaintiff's absence pursuant to Rule 39(33), which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39(33) If a party is not in attendance when the trial of an action is called, the court may proceed with the trial, including hearing a counterclaim, in the absence of that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trial accordingly commenced, and no evidence was called on behalf of the plaintiff. That circumstance would ordinarily be sufficient for the City to seek judgment dismissing the plaintiff's claim, and indeed much of the plaintiff's claim could be dismissed on that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Paragraphs 4 through 12 of the statement of claim set out the basis on which the plaintiff claims relief:</w:t>
      </w:r>
      <w:r>
        <w:rPr>
          <w:rFonts w:ascii="arial" w:eastAsia="arial" w:hAnsi="arial" w:cs="arial"/>
          <w:sz w:val="20"/>
          <w:lang w:val="en-US" w:eastAsia="en-US" w:bidi="ar-SA"/>
        </w:rPr>
        <w:cr/>
      </w:r>
    </w:p>
    <w:p>
      <w:pPr>
        <w:numPr>
          <w:numId w:val="10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Defendant, City of Vancouver (herein after called the "City"), is a municipal corporation duly incorporated under the Vancouver Charter and has a municipal hall at 453 West 12th Avenue, in the City of Vancouver, in the Province of British Columbia. The City is joined as a Defendant in this action pursuant to s. 21(4) of the </w:t>
      </w:r>
      <w:r>
        <w:rPr>
          <w:rFonts w:ascii="arial" w:eastAsia="arial" w:hAnsi="arial" w:cs="arial"/>
          <w:i/>
          <w:color w:val="000000"/>
          <w:sz w:val="20"/>
          <w:lang w:val="en-US" w:eastAsia="en-US" w:bidi="ar-SA"/>
        </w:rPr>
        <w:t>Police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1953, C. 55</w:t>
      </w:r>
      <w:r>
        <w:rPr>
          <w:rFonts w:ascii="arial" w:eastAsia="arial" w:hAnsi="arial" w:cs="arial"/>
          <w:color w:val="000000"/>
          <w:sz w:val="20"/>
          <w:lang w:val="en-US" w:eastAsia="en-US" w:bidi="ar-SA"/>
        </w:rPr>
        <w:t xml:space="preserve"> and amendments thereto. The City is also joined as a Defendant in this action pursuant to s. 294 of the Vancouver Charter, R.S.B.C. 1979, C. 553. The City employs the individual Defendants set out herein as police officers and as such is vicariously liable for the acts of those officers and the Plaintiff specifically pleads and relies upon s. 21(4) of the </w:t>
      </w:r>
      <w:r>
        <w:rPr>
          <w:rFonts w:ascii="arial" w:eastAsia="arial" w:hAnsi="arial" w:cs="arial"/>
          <w:i/>
          <w:color w:val="000000"/>
          <w:sz w:val="20"/>
          <w:lang w:val="en-US" w:eastAsia="en-US" w:bidi="ar-SA"/>
        </w:rPr>
        <w:t>Police Act</w:t>
      </w:r>
      <w:r>
        <w:rPr>
          <w:rFonts w:ascii="arial" w:eastAsia="arial" w:hAnsi="arial" w:cs="arial"/>
          <w:color w:val="000000"/>
          <w:sz w:val="20"/>
          <w:lang w:val="en-US" w:eastAsia="en-US" w:bidi="ar-SA"/>
        </w:rPr>
        <w:t>.</w:t>
      </w:r>
    </w:p>
    <w:p>
      <w:pPr>
        <w:numPr>
          <w:numId w:val="10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or about the 31st day of July, 2002, the Defendants came upon the Plaintiff in the City of Vancouver, in the Province of British Columbia, and there wrongfully and intentionally assaulted and committed battery upon the Plaintiff, which included, but is not limited to, directing the police service dog under the care and control of one or both of the Defendants to attack the Plaintiff.</w:t>
      </w:r>
    </w:p>
    <w:p>
      <w:pPr>
        <w:numPr>
          <w:numId w:val="10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and each of them handcuffed the Plaintiff and wrongfully detained the Plaintiff.</w:t>
      </w:r>
    </w:p>
    <w:p>
      <w:pPr>
        <w:numPr>
          <w:numId w:val="10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no time was there a legal justification for the detention of the Plaintiff by the Defendants.</w:t>
      </w:r>
    </w:p>
    <w:p>
      <w:pPr>
        <w:numPr>
          <w:numId w:val="10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By reason of the wrongful arrest and detention, the Plaintiff was deprived of his liberty.</w:t>
      </w:r>
    </w:p>
    <w:p>
      <w:pPr>
        <w:numPr>
          <w:numId w:val="10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Alternatively, the Defendants and each of them, were negligent in failing to use reasonable care to ensure the safety and well-being of the Plaintiff including, but not limited to, the negligent handling, care and control of the Defendants' police service dog and were negligent in applying excessive force to the Plaintiff resulting in personal injury to the Plaintiff.</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Defendants, and each of them, breached their duty of care to the plaintiff pursuant to the provisions of the </w:t>
      </w:r>
      <w:r>
        <w:rPr>
          <w:rFonts w:ascii="arial" w:eastAsia="arial" w:hAnsi="arial" w:cs="arial"/>
          <w:i/>
          <w:color w:val="000000"/>
          <w:sz w:val="20"/>
          <w:lang w:val="en-US" w:eastAsia="en-US" w:bidi="ar-SA"/>
        </w:rPr>
        <w:t>Police Act</w:t>
      </w:r>
      <w:r>
        <w:rPr>
          <w:rFonts w:ascii="arial" w:eastAsia="arial" w:hAnsi="arial" w:cs="arial"/>
          <w:color w:val="000000"/>
          <w:sz w:val="20"/>
          <w:lang w:val="en-US" w:eastAsia="en-US" w:bidi="ar-SA"/>
        </w:rPr>
        <w:t xml:space="preserve"> and the Criminal Code of Canada and the statutory onus falling on the Defendants pursuant thereto in that they failed to act in their capacity as police officers to protect the Plaintiff from unlawful assault and battery.</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Alternatively, the Defendants, and each of them, were negligent in the execution of their duties and the result of such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harm to the Plaintiff.</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Defendants, and each of them, breached the Plaintiff's rights not to be subjected to any cruel or unusual treatment, not to be arbitrarily detained or imprisoned, and failed to inform the Plaintiff upon his detention of the reasons therefore in contravention of s. 7, 8, 9, 10 and 12 of the Canadian Charter of Rights and Freedoms, </w:t>
      </w:r>
      <w:r>
        <w:rPr>
          <w:rFonts w:ascii="arial" w:eastAsia="arial" w:hAnsi="arial" w:cs="arial"/>
          <w:i/>
          <w:color w:val="000000"/>
          <w:sz w:val="20"/>
          <w:lang w:val="en-US" w:eastAsia="en-US" w:bidi="ar-SA"/>
        </w:rPr>
        <w:t>Constitution Act</w:t>
      </w:r>
      <w:r>
        <w:rPr>
          <w:rFonts w:ascii="arial" w:eastAsia="arial" w:hAnsi="arial" w:cs="arial"/>
          <w:color w:val="000000"/>
          <w:sz w:val="20"/>
          <w:lang w:val="en-US" w:eastAsia="en-US" w:bidi="ar-SA"/>
        </w:rPr>
        <w:t>, 1982.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Paragraphs 13 to 14 allege that the plaintiff sustained injuries and special damages as a result. Paragraph 15 claims punitive damages on the basis of alleged willful and malicious conduct. Paragraph 16 claims aggravated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With respect to most of the claims, the onus of proof is on the plaintiff, and since he failed to adduce any evidence, the City would be entitled to have the claims dismissed. Counsel for the City, however, very fairly points out that in paragraph 3 of its amended statement of defence, the City admits that the plaintiff was bitten by a police service dog on the date claimed by the plaintiff and that pursuant to s. 20 of the </w:t>
      </w:r>
      <w:r>
        <w:rPr>
          <w:rFonts w:ascii="arial" w:eastAsia="arial" w:hAnsi="arial" w:cs="arial"/>
          <w:b/>
          <w:i/>
          <w:color w:val="000000"/>
          <w:sz w:val="20"/>
          <w:lang w:val="en-US" w:eastAsia="en-US" w:bidi="ar-SA"/>
        </w:rPr>
        <w:t>Police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367</w:t>
      </w:r>
      <w:r>
        <w:rPr>
          <w:rFonts w:ascii="arial" w:eastAsia="arial" w:hAnsi="arial" w:cs="arial"/>
          <w:color w:val="000000"/>
          <w:sz w:val="20"/>
          <w:lang w:val="en-US" w:eastAsia="en-US" w:bidi="ar-SA"/>
        </w:rPr>
        <w:t>, the City is jointly and severally liable for any torts committed against the plaintiff by the constable, who is a municipal police constable with the Vancouver Police Department, who was acting in the performance of his duties, and who was the officer responsible for the police dog that bit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Section 20 of the </w:t>
      </w:r>
      <w:r>
        <w:rPr>
          <w:rFonts w:ascii="arial" w:eastAsia="arial" w:hAnsi="arial" w:cs="arial"/>
          <w:b/>
          <w:i/>
          <w:color w:val="000000"/>
          <w:sz w:val="20"/>
          <w:lang w:val="en-US" w:eastAsia="en-US" w:bidi="ar-SA"/>
        </w:rPr>
        <w:t>Police Act</w:t>
      </w:r>
      <w:r>
        <w:rPr>
          <w:rFonts w:ascii="arial" w:eastAsia="arial" w:hAnsi="arial" w:cs="arial"/>
          <w:color w:val="000000"/>
          <w:sz w:val="20"/>
          <w:lang w:val="en-US" w:eastAsia="en-US" w:bidi="ar-SA"/>
        </w:rPr>
        <w:t xml:space="preserve"> provides the only possible route to liability on the part of the City. The City has denied in its pleadings, and the plaintiff has not proved, that the constable is an employee of the City, and therefore there can be no vicarious liability based on a master/servant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Counsel for the City submits that in light of the admissions in the amended statement of defence there is one and only one claim advanced by the plaintiff on which the City bears the burden of proof, and that is the claim of an intentional assault and battery as set out in paragraph 5 of the statement of claim. Counsel for the City submits that the tort of intentional assault and battery is actionable without proof of damages, and having admitted in its amended statement of defence that there was a dog bite, the City bears the burden of advancing evidence to support a defence for this tort.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The City was prepared to call the officer in support of a defence under s. 25 of the </w:t>
      </w:r>
      <w:r>
        <w:rPr>
          <w:rFonts w:ascii="arial" w:eastAsia="arial" w:hAnsi="arial" w:cs="arial"/>
          <w:b/>
          <w:i/>
          <w:color w:val="000000"/>
          <w:sz w:val="20"/>
          <w:lang w:val="en-US" w:eastAsia="en-US" w:bidi="ar-SA"/>
        </w:rPr>
        <w:t>Criminal Code of Canada</w:t>
      </w:r>
      <w:r>
        <w:rPr>
          <w:rFonts w:ascii="arial" w:eastAsia="arial" w:hAnsi="arial" w:cs="arial"/>
          <w:color w:val="000000"/>
          <w:sz w:val="20"/>
          <w:lang w:val="en-US" w:eastAsia="en-US" w:bidi="ar-SA"/>
        </w:rPr>
        <w:t xml:space="preserve">, but counsel submitted that there is another basis upon which the entire statement of claim ought to be dismissed, and that relates to a lack of notice under s. 294(2) of the </w:t>
      </w:r>
      <w:r>
        <w:rPr>
          <w:rFonts w:ascii="arial" w:eastAsia="arial" w:hAnsi="arial" w:cs="arial"/>
          <w:b/>
          <w:i/>
          <w:color w:val="000000"/>
          <w:sz w:val="20"/>
          <w:lang w:val="en-US" w:eastAsia="en-US" w:bidi="ar-SA"/>
        </w:rPr>
        <w:t>Vancouver Charter</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1953 c. 55</w:t>
      </w:r>
      <w:r>
        <w:rPr>
          <w:rFonts w:ascii="arial" w:eastAsia="arial" w:hAnsi="arial" w:cs="arial"/>
          <w:color w:val="000000"/>
          <w:sz w:val="20"/>
          <w:lang w:val="en-US" w:eastAsia="en-US" w:bidi="ar-SA"/>
        </w:rPr>
        <w:t xml:space="preserve">. The City specifically pleaded that defence in paragraph 2 of its amended statement of claim. Section 294(2) of the </w:t>
      </w:r>
      <w:r>
        <w:rPr>
          <w:rFonts w:ascii="arial" w:eastAsia="arial" w:hAnsi="arial" w:cs="arial"/>
          <w:b/>
          <w:i/>
          <w:color w:val="000000"/>
          <w:sz w:val="20"/>
          <w:lang w:val="en-US" w:eastAsia="en-US" w:bidi="ar-SA"/>
        </w:rPr>
        <w:t>Vancouver Charter</w:t>
      </w:r>
      <w:r>
        <w:rPr>
          <w:rFonts w:ascii="arial" w:eastAsia="arial" w:hAnsi="arial" w:cs="arial"/>
          <w:color w:val="000000"/>
          <w:sz w:val="20"/>
          <w:lang w:val="en-US" w:eastAsia="en-US" w:bidi="ar-SA"/>
        </w:rPr>
        <w:t xml:space="preserve"> provides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city is in no case liable for damages unless notice in writing, setting forth the time, place, and manner in which such damage has been sustained, shall be left and filed with the City Clerk within two months from and after the date on which such damage was sustained; provided that in case of the death of a person injured the want of a notice required by this subsection is not a bar to the maintenance of the action. The want or insufficiency of the notice required by this subsection is not a bar to the maintenance of an action if the Court or Judge before whom such action is tried or, in the case of an appeal, the Court of Appeal is of the opinion that there was reasonable excuse for the want or insufficiency and that the city has not been thereby prejudiced in its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The plaintiff's statement of claim was filed on May 26, 2003. It alleges damages sustained on July 31, 2002. Section 294(2) of the </w:t>
      </w:r>
      <w:r>
        <w:rPr>
          <w:rFonts w:ascii="arial" w:eastAsia="arial" w:hAnsi="arial" w:cs="arial"/>
          <w:b/>
          <w:i/>
          <w:color w:val="000000"/>
          <w:sz w:val="20"/>
          <w:lang w:val="en-US" w:eastAsia="en-US" w:bidi="ar-SA"/>
        </w:rPr>
        <w:t>Vancouver Charter</w:t>
      </w:r>
      <w:r>
        <w:rPr>
          <w:rFonts w:ascii="arial" w:eastAsia="arial" w:hAnsi="arial" w:cs="arial"/>
          <w:color w:val="000000"/>
          <w:sz w:val="20"/>
          <w:lang w:val="en-US" w:eastAsia="en-US" w:bidi="ar-SA"/>
        </w:rPr>
        <w:t xml:space="preserve"> required that the plaintiff provide written notice of the claim to the City by October 1, 2002. Ms. Kathy Bengston, a correspondence clerk with the City Clerks department for the City of Vancouver, testified that she searched the City's files and determined that no written notice of the plaintiff's claim was given to the City during the period from July 31, 2002, to July 31, 2003. Counsel for the City also read in a number of questions and answers from the plaintiff's examination for discovery in which he admitted that he did not give written notice to the City. He said he was not aware of the requirement to do so. In question 579 he was asked, "Do you know why no notice was provided to the city?" And he answered, "I don't know. It's the one and only time I've ever gone to court against the police."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Section 294(2) of the </w:t>
      </w:r>
      <w:r>
        <w:rPr>
          <w:rFonts w:ascii="arial" w:eastAsia="arial" w:hAnsi="arial" w:cs="arial"/>
          <w:b/>
          <w:i/>
          <w:color w:val="000000"/>
          <w:sz w:val="20"/>
          <w:lang w:val="en-US" w:eastAsia="en-US" w:bidi="ar-SA"/>
        </w:rPr>
        <w:t>Vancouver Charter</w:t>
      </w:r>
      <w:r>
        <w:rPr>
          <w:rFonts w:ascii="arial" w:eastAsia="arial" w:hAnsi="arial" w:cs="arial"/>
          <w:color w:val="000000"/>
          <w:sz w:val="20"/>
          <w:lang w:val="en-US" w:eastAsia="en-US" w:bidi="ar-SA"/>
        </w:rPr>
        <w:t xml:space="preserve"> gives the court a discretion to grant relief from the notice requirement if there is a reasonable excuse for the want or insufficiency of the required written notice and the City has not been prejudiced in its defence. Counsel for the City concedes that the City has not been prejudiced in its defence. However, as the British Columbia Court of Appeal held with respect to a similarly worded section, the discretion to relieve against the notice requirement has two elements that are conjunctive, not disjunctive. In </w:t>
      </w:r>
      <w:r>
        <w:rPr>
          <w:rFonts w:ascii="arial" w:eastAsia="arial" w:hAnsi="arial" w:cs="arial"/>
          <w:b/>
          <w:i/>
          <w:color w:val="000000"/>
          <w:sz w:val="20"/>
          <w:lang w:val="en-US" w:eastAsia="en-US" w:bidi="ar-SA"/>
        </w:rPr>
        <w:t>Schmidt v. Prince Rupert (City)</w:t>
      </w:r>
      <w:r>
        <w:rPr>
          <w:rFonts w:ascii="arial" w:eastAsia="arial" w:hAnsi="arial" w:cs="arial"/>
          <w:color w:val="000000"/>
          <w:sz w:val="20"/>
          <w:lang w:val="en-US" w:eastAsia="en-US" w:bidi="ar-SA"/>
        </w:rPr>
        <w:t xml:space="preserve"> </w:t>
      </w:r>
      <w:hyperlink r:id="rId397" w:history="1">
        <w:r>
          <w:rPr>
            <w:rFonts w:ascii="arial" w:eastAsia="arial" w:hAnsi="arial" w:cs="arial"/>
            <w:i/>
            <w:color w:val="0077CC"/>
            <w:sz w:val="20"/>
            <w:u w:val="single"/>
            <w:shd w:val="clear" w:color="auto" w:fill="FFFFFF"/>
            <w:lang w:val="en-US" w:eastAsia="en-US" w:bidi="ar-SA"/>
          </w:rPr>
          <w:t>(1960), 24 D.L.R. (2d) 443</w:t>
        </w:r>
      </w:hyperlink>
      <w:r>
        <w:rPr>
          <w:rFonts w:ascii="arial" w:eastAsia="arial" w:hAnsi="arial" w:cs="arial"/>
          <w:color w:val="000000"/>
          <w:sz w:val="20"/>
          <w:lang w:val="en-US" w:eastAsia="en-US" w:bidi="ar-SA"/>
        </w:rPr>
        <w:t xml:space="preserve"> (B.C.C.A.), the court held at page 445: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study of the section points up that the elements of "reasonable excuse" and "no prejudice in defence" are essential ingredients to be proven in order to escape the bar to the maintenance of the action. These two essential ingredients must exist together. The word "and" is used; the word "or" is not used; and in the context "and" must necessarily be construed as meaning "and" and not "or"; in short if one of the two essential ingredients is found not to exist then, with deference, the action must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court went on to say at page 448: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already indicated this Court cannot escape the conclusion that the intractable language of s. 736 requires that a reasonable excuse for failure to give the 2-months' notice must be established as an essential in the proof of the cause of action, and that the action must fail when this is not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the present case, counsel for the City submits that the plaintiff has not shown any reasonable excuse for the failure to give notice. The only excuse offered is that he was unaware of the requirement.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Teller v. Sunshine Coast (Regional District)</w:t>
      </w:r>
      <w:r>
        <w:rPr>
          <w:rFonts w:ascii="arial" w:eastAsia="arial" w:hAnsi="arial" w:cs="arial"/>
          <w:color w:val="000000"/>
          <w:sz w:val="20"/>
          <w:lang w:val="en-US" w:eastAsia="en-US" w:bidi="ar-SA"/>
        </w:rPr>
        <w:t xml:space="preserve"> </w:t>
      </w:r>
      <w:hyperlink r:id="rId398" w:history="1">
        <w:r>
          <w:rPr>
            <w:rFonts w:ascii="arial" w:eastAsia="arial" w:hAnsi="arial" w:cs="arial"/>
            <w:i/>
            <w:color w:val="0077CC"/>
            <w:sz w:val="20"/>
            <w:u w:val="single"/>
            <w:shd w:val="clear" w:color="auto" w:fill="FFFFFF"/>
            <w:lang w:val="en-US" w:eastAsia="en-US" w:bidi="ar-SA"/>
          </w:rPr>
          <w:t>(1990), 43 B.C.L.R. (2d) 376</w:t>
        </w:r>
      </w:hyperlink>
      <w:r>
        <w:rPr>
          <w:rFonts w:ascii="arial" w:eastAsia="arial" w:hAnsi="arial" w:cs="arial"/>
          <w:color w:val="000000"/>
          <w:sz w:val="20"/>
          <w:lang w:val="en-US" w:eastAsia="en-US" w:bidi="ar-SA"/>
        </w:rPr>
        <w:t xml:space="preserve"> (C.A.) Southin J.A. wrote at page 388: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ignorance of the law is a factor to be taken into account. So for that matter is knowledge of the law. But all matters put forward as constituting either singly or together a reasonable excuse must be considered.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Keen v. Surrey (City),</w:t>
      </w:r>
      <w:r>
        <w:rPr>
          <w:rFonts w:ascii="arial" w:eastAsia="arial" w:hAnsi="arial" w:cs="arial"/>
          <w:color w:val="000000"/>
          <w:sz w:val="20"/>
          <w:lang w:val="en-US" w:eastAsia="en-US" w:bidi="ar-SA"/>
        </w:rPr>
        <w:t xml:space="preserve"> </w:t>
      </w:r>
      <w:hyperlink r:id="rId399" w:history="1">
        <w:r>
          <w:rPr>
            <w:rFonts w:ascii="arial" w:eastAsia="arial" w:hAnsi="arial" w:cs="arial"/>
            <w:i/>
            <w:color w:val="0077CC"/>
            <w:sz w:val="20"/>
            <w:u w:val="single"/>
            <w:shd w:val="clear" w:color="auto" w:fill="FFFFFF"/>
            <w:lang w:val="en-US" w:eastAsia="en-US" w:bidi="ar-SA"/>
          </w:rPr>
          <w:t>2004 BCSC 1161</w:t>
        </w:r>
      </w:hyperlink>
      <w:r>
        <w:rPr>
          <w:rFonts w:ascii="arial" w:eastAsia="arial" w:hAnsi="arial" w:cs="arial"/>
          <w:color w:val="000000"/>
          <w:sz w:val="20"/>
          <w:lang w:val="en-US" w:eastAsia="en-US" w:bidi="ar-SA"/>
        </w:rPr>
        <w:t>, Burnyeat J. wrote at paragraph 22: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determining the issue of whether there was a reasonable excuse, British Columbia Courts have taken into account a number of other factors in addition to the knowledge of a claimant about the law. Those factors include whether there is uncertainty as to whether a municipality was involved or not, whether a potential plaintiff is incapacitated and not in a position to provide the notice, where the gravity of the injury did not become apparent until after the notice period had lapsed, the mental condition and age of the complainant, or whether the potential claimant has been lulled into a false sense of security as a result of actions or inactions on behalf of the municipality.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the present case the plaintiff has provided no explanation for his failure to give notice other than his ignorance of 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Griffiths v. New Westminster (City),</w:t>
      </w:r>
      <w:r>
        <w:rPr>
          <w:rFonts w:ascii="arial" w:eastAsia="arial" w:hAnsi="arial" w:cs="arial"/>
          <w:color w:val="000000"/>
          <w:sz w:val="20"/>
          <w:lang w:val="en-US" w:eastAsia="en-US" w:bidi="ar-SA"/>
        </w:rPr>
        <w:t xml:space="preserve"> </w:t>
      </w:r>
      <w:hyperlink r:id="rId400" w:history="1">
        <w:r>
          <w:rPr>
            <w:rFonts w:ascii="arial" w:eastAsia="arial" w:hAnsi="arial" w:cs="arial"/>
            <w:i/>
            <w:color w:val="0077CC"/>
            <w:sz w:val="20"/>
            <w:u w:val="single"/>
            <w:shd w:val="clear" w:color="auto" w:fill="FFFFFF"/>
            <w:lang w:val="en-US" w:eastAsia="en-US" w:bidi="ar-SA"/>
          </w:rPr>
          <w:t>2001 BCSC 1516</w:t>
        </w:r>
      </w:hyperlink>
      <w:r>
        <w:rPr>
          <w:rFonts w:ascii="arial" w:eastAsia="arial" w:hAnsi="arial" w:cs="arial"/>
          <w:color w:val="000000"/>
          <w:sz w:val="20"/>
          <w:lang w:val="en-US" w:eastAsia="en-US" w:bidi="ar-SA"/>
        </w:rPr>
        <w:t xml:space="preserve">, the court held at pages 48 to 49 in relation to the similarly worded provision of the </w:t>
      </w:r>
      <w:r>
        <w:rPr>
          <w:rFonts w:ascii="arial" w:eastAsia="arial" w:hAnsi="arial" w:cs="arial"/>
          <w:b/>
          <w:i/>
          <w:color w:val="000000"/>
          <w:sz w:val="20"/>
          <w:lang w:val="en-US" w:eastAsia="en-US" w:bidi="ar-SA"/>
        </w:rPr>
        <w:t>Local Government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323</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the time provisions set out in s. 286(1)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are to have any meaning at all then it cannot be the case that only ignorance of the section is sufficient excuse to bring into play the two fold test set out in s. 286(3)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The Legislature long ago decided that municipalities should be given notice of potential claims long prior to the expiry of the limitation periods for actions relating to those claims. That decision having been taken by the Legislature, it is not for the court to remove the effectiveness of the notice provisions where a plaintiff can only rely on his or her ignorance of s. 286. In the circumstances of this case, I am satisfied that Mr. Griffiths has not shown that he had reasonable excuse for not giving the notice within the required two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I am of the opinion that there was no reasonable excuse for the plaintiff's failure to give the required written notice of his claim to the city within the two-month time period. Section 294(2) of the </w:t>
      </w:r>
      <w:r>
        <w:rPr>
          <w:rFonts w:ascii="arial" w:eastAsia="arial" w:hAnsi="arial" w:cs="arial"/>
          <w:b/>
          <w:i/>
          <w:color w:val="000000"/>
          <w:sz w:val="20"/>
          <w:lang w:val="en-US" w:eastAsia="en-US" w:bidi="ar-SA"/>
        </w:rPr>
        <w:t>Vancouver Charter</w:t>
      </w:r>
      <w:r>
        <w:rPr>
          <w:rFonts w:ascii="arial" w:eastAsia="arial" w:hAnsi="arial" w:cs="arial"/>
          <w:color w:val="000000"/>
          <w:sz w:val="20"/>
          <w:lang w:val="en-US" w:eastAsia="en-US" w:bidi="ar-SA"/>
        </w:rPr>
        <w:t xml:space="preserve"> provides a complete defence to the City, and the plaintiff's claim is therefore dismissed in its entirety.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Ms. Liang, is your client seeking costs?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(SUBMISSIONS RE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COURT: In the ordinary case costs would follow the event, and you will be entitled to costs on scale B. There shall be such an order. You will draft the order for entry?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MS. LIANG: Yes, My Lord.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COURT: And it will not be necessary for you to obtain the plaintiff's endorsement as to form on the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MS. LIANG: Thank you.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COURT: Is there anything further?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REGISTRAR: My Lord, I have one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COURT: Yes.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REGISTRAR: A notice of trial was filed by Mr. Kent-Snowsell and whoever files the notice of trial has to pay for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COURT: Yes.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REGISTRAR: And we have had three days of trial, which comes to $936. Now, he is not counsel of record, so I am just wanting to know who do I bill for that or do we waive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COURT: Do you have any submissions on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MS. LIANG: No, I haven't even turned my mind to it. I have never been in this situation before.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COURT: I cannot see any reason why costs would be waived. He set down the trial. The trial proceeded.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REGISTRAR: So I will just bill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COURT: Is there anything further?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MS. LIANG: And delivery of the order be effected in accordance with the order that you granted on Monday, My Lord?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COURT: Yes. You have his current address for delivery which is set out in the order which was made on Monday.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 EHRCKE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24" style="position:absolute;z-index:25185689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01"/>
          <w:headerReference w:type="default" r:id="rId402"/>
          <w:footerReference w:type="even" r:id="rId403"/>
          <w:footerReference w:type="default" r:id="rId404"/>
          <w:headerReference w:type="first" r:id="rId405"/>
          <w:footerReference w:type="first" r:id="rId40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07" w:history="1">
        <w:r>
          <w:rPr>
            <w:rFonts w:ascii="arial" w:eastAsia="arial" w:hAnsi="arial" w:cs="arial"/>
            <w:b/>
            <w:bCs/>
            <w:i/>
            <w:color w:val="0077CC"/>
            <w:kern w:val="32"/>
            <w:sz w:val="28"/>
            <w:szCs w:val="32"/>
            <w:u w:val="single"/>
            <w:shd w:val="clear" w:color="auto" w:fill="FFFFFF"/>
            <w:lang w:val="en-US" w:eastAsia="en-US" w:bidi="ar-SA"/>
          </w:rPr>
          <w:t>Wiebe v. Gunderson, [2003] B.C.J. No. 1947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Williams Lake,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Parrett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July 5, 6, 9 - 13, 16 - 20, 23 - 27,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August 1, 2, and December 20,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August 19,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Williams Lake Registry No. 9912551</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[2003] B.C.J. No. 1947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2003 BCSC 1282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13 R.P.R. (4th) 78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126 A.C.W.S. (3d) 174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Linton Keith Wiebe and Linda Yvonne Wiebe, plaintiffs, and Donald Charles Gunderson and Arlene Faith Gunderson, Countrywide Videoview Realty Inc. and Maurice Alexandre, defendants, and Countrywide Videoview Realty Inc. and Maurice Alexandre,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(289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25" style="position:absolute;z-index:2516787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31" w:name="Keywords_19"/>
      <w:bookmarkEnd w:id="131"/>
      <w:r>
        <w:rPr>
          <w:rFonts w:ascii="arial" w:eastAsia="arial" w:hAnsi="arial" w:cs="arial"/>
          <w:b/>
          <w:color w:val="000000"/>
          <w:sz w:val="20"/>
          <w:lang w:val="en-US" w:eastAsia="en-US" w:bidi="ar-SA"/>
        </w:rPr>
        <w:t>Fraud and misrepresentation — Fraudulent misrepresentation (deceit) — What constitutes deceit or fraudulent misrepresentation — Elements — Remedies — Damages — Measure of damages — Assessment.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32" w:name="Case Summary_17"/>
            <w:bookmarkEnd w:id="13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Wiebe against Gunderson for damages for deceit. Gunderson was a sophisticated dealer in ranch properties. In 1990, he decided to sell a ranch, and told the real estate agent that the irrigated property would produce five tons per acre. He represented that the well on the land tested for 5,000 gallons per minute and used 2,100 gallons per minute for irrigation. Gunderson also represented that the well recently tested satisfactorily for water quality and volume. In fact, the most recent test had been done in 1982 and found that the water volume was 1,200 gallons per minute. Tests of the well warned of an appreciable sodium hazard. Wiebe made an offer for the land, but became concerned because an appraisal showed that the irrigation system covered less acreage than had been represented to him. The deal was cancelled. Wiebe subsequently decided to purchase the land for $950,000. The agreement provided that all representations, except those related to title, survived the closing and remained in full force. The addendum contained an exclusionary clause that excluded reliance on the representations. After the transaction closed, Wiebe discovered that the well did not produce as much water as promised. He learned about the sodium problem. The crop yields were not as represented. Gunderson argued that he did not intend for Wiebe to rely upon his representations, and that Wiebe did not prove that he was induced to buy the land by the representations.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33" w:name="Holdings of Court_13"/>
            <w:bookmarkEnd w:id="133"/>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Wiebe was awarded damages of $1,030,000. Gunderson knew that the information given to realtors was provided for the express purpose of it being made available to prospective purchasers. He could not rely upon the exclusionary clause. Wiebe was looking for an operating ranch with established prospects and good production. He was impressed by the ranch because of its production and the available water. The inducement that caused Wiebe to purchase the land was the information provided by Gunderson that he knew would attract purchasers. That information was false. The elements of deceit were therefore established. Although the deceit caused Wiebe to enter into a contract, the tortious measure of damages applied. Damages were awarded which placed Wiebe in the position he would have occupied if the statement had not been made. This was different from the position he would have been in if the statement was true. He was entitled to damages as of the date of the breach, which was the closing date. This amounted to $440,000. This was the difference between the value of the land alone, which was $750,000, and the discounted value that a purchaser would pay if he was informed of the water problem, which was $310,000. Wiebe was also entitled to $90,000 for out-of-pocket expenses, and $500,000 for loss of profits arising from Gunderson's deceit.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34" w:name="Counsel_19"/>
      <w:bookmarkEnd w:id="13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26" style="position:absolute;z-index:2517299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G.S. McAlister and M. Wolters, for the plaintiffs. A. McDonnell, Q.C. and A.P. Czepil, for the defendants.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35" w:name="Judgment_19"/>
      <w:bookmarkEnd w:id="135"/>
      <w:r>
        <w:pict>
          <v:line id="_x0000_s1127" style="position:absolute;z-index:251781120"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0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36" w:name="PARRETT J."/>
            <w:bookmarkEnd w:id="136"/>
            <w:r>
              <w:rPr>
                <w:rFonts w:ascii="arial" w:eastAsia="arial" w:hAnsi="arial" w:cs="arial"/>
                <w:b/>
                <w:color w:val="000000"/>
                <w:sz w:val="30"/>
                <w:lang w:val="en-US" w:eastAsia="en-US" w:bidi="ar-SA"/>
              </w:rPr>
              <w:t>PARRETT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In this action the plaintiffs seek damages from the defendants Donald Charles Gunderson and Arlene Faith Gunderson arising from their purchase of the Rocky Point Ranch from the Gundersons. The plaintiffs say that the Gundersons made a series of representations in connection with the ranch on which they relied in completing the purchase. The plaintiffs say that the representations were both material and false and that as a result they have suffered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present action, insofar as it involves the defendants and third parties, Countrywide Videoview Realty Inc. and Maurice Alexandre, was settled prior to the commencement of this trial. The agreement effecting that settlement is Exhibit 1 at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Rocky Point Ranch is a 586 acre farm property located 60 k. north of Williams Lake. It is made up of four adjoining parcels of land; three large parcels ranging from 160 acres to 225 acres, and a fourth parcel 23 acres in size. The property is an impressive looking ranch property located on three terraces; two of these are long narrow terraces along the banks of the Fraser River which forms the western and southerly boundaries of the property. The eastern portion of the ranch is crossed by both Highway 97 and the B.C. Railway right-of-way.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farm buildings are located at the south end of the property where it narrows between the river, to the west, and Highway 97, to the east.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defendants, Donald Charles Gunderson and Arlene Faith Gunderson ("the Gundersons"), offered to purchase the Rocky Point Ranch from the Toronto Dominion Bank February 13, 1986, for $200,000.00. They took title to the property on April 2, 1986.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At the time they acquired the ranch there were two wells located on the property; a small well that provided water for domestic needs and a 425' deep, 12" well which provided water for irrigation. It is this source of irrigation water that is central to the present lawsuit.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April of 1987, the Gundersons began installation of a large 360 [degrees] irrigation pivot in the large field at the north end of the ranch. This large irrigation pivot was installed and operational by June 15, 1987.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On September 7, 1990, the Gundersons ordered equipment for a smaller 180 [degrees] irrigation pivot to be installed to the south between the area covered by the large pivot and the ranch buildings. By October 16, 1990, this second pivot was in place but not yet operational. It was fully operational by May 8, 1991.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By this time, the Gundersons, who had begun efforts to sell the property in May of 1990, were increasing those efforts. On October 19, 1990, Mr. Gunderson met with Maurice Alexandre who was, at that time, with NRS Laketown Realty (1990) Inc. The following year, he met with another realtor in 108 Mile House, Len Monical. Mr. Monical ran advertisements offering the Rocky Point Ranch for sale in September of 1991.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On October 24, 1990, Maurice Alexandre and a colleague visited the ranch. Shortly after that visit he prepared an information sheet on the ranch from information provided to him by Mr. Gunderson during their meetings on October 19th and 24th.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At the time of trial the plaintiff Linton Keith Wiebe was 41 years of age and Linda Yvonne Wiebe was 39. They were married in 1980 and have four children ranging in age from 12 to 19. Linton Wiebe has a grade 7 education and last attended school at the age of 14. At the age of 15 he began working on a variety of farms and ranches in Saskatchewan, eventually moving to British Columbia and working on various ranches, farms and feedlots.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the spring of 1980 the Wiebes returned to Saskatchewan and, after obtaining some government funding, leased a section of land and began to build a dairy farm. At the start the property was essentially undeveloped. They moved a mobile home onto the property, built roads, put in power and built barns. By 1993 they had established a diary operation involving 200 to 250 head. They were also growing a variety of crops as feed for the herd. There were two wells established on the property; both drilled by a contractor hired by the Wiebes.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1992 or 1993, the Wiebes decided to sell their dairy operation and relocate to B.C. Their efforts to sell the operation as a going concern were unsuccessful and in the spring of 1993 they sold their dairy quota and cows. They sold the bulk of their machinery in the fall of the same year and Linton Wiebe's brother bought the 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the summer of 1993 the Wiebes began their search for a ranch property in B.C.; looking at several properties in the Cache Creek and Ashcroft area. Nothing they saw was suitable. The Wiebes were looking for a ranch operation which would, in addition to calf sales, allow them to grow and sell hay to provide additional cash flow. This was an important factor to them for, in their view, it added a level of financial stability.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October of 1992, Linton Wiebe had contacted Maurice Alexandre, of Countrywide Videoview Realty Inc., about another ranch property he was advertising. He eventually discussed properties in the Williams Lake area with Alexandre, who sent him some information. None of it related to the Rocky Point Ranch.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WIEBE PURCHASE OF THE ROCKY POINT RANCH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Wiebes were in the Williams Lake area in 1993 but were unsuccessful in their search and they returned to Saskatchewan. Shortly after their return to Saskatchewan, Alexandre telephoned them to advise them about the Rocky Point Ranch and on October 22, 1993, he wrote to them enclosing an information sheet and some maps.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On October 29, 1993, he wrote again. Accompanying this letter was a series of photographs. The Wiebes were impressed and Linton Wiebe and his brother Lorne travelled to Williams Lake. They met Alexandre in Williams Lake, and on November 13, 1993, they toured the ranch.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Linton Wiebe was very impressed with the property and shortly afterwards he offered to purchase the property for $900,000.00. Further discussions occurred, and on December 2, 1993, an interim agreement was completed with the Wiebes agreeing to purchase the property for $950,000.00.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With this agreement signed, the Wiebes proceeded to arrange bank financing. In the course of this an appraisal was prepared and a copy delivered to the Wiebes in January 1994. What caught Linton Wiebe's attention was a reference to the two pivots irrigating an estimated 260 acres. The information sheet with which he had been provided indicated that there were 320 acres under pivot. Linton Wiebe and his father calculated the area from information in the appraisal and confirmed the discrepancy. He then contacted Countrywide at their weekend phone number, spoke to Barb Leonard, one of the owners and the Real Estate nominee for Countrywide, and expressed his concern.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Ms. Leonard prepared and transmitted to the Wiebes, by facsimile transmission, an addendum to the interim agreement, advising him to sign both options, leaving it to the Gundersons to select one of the two options. Leonard neither sought legal advice herself nor did she suggest the Wiebes obtain advice.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Gundersons accepted the first of the options on the addendum and elected to collapse the transaction.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By the middle of January, the Wiebes had indicated that they wanted to "come back on the contract" and as a result the Gundersons indicated, through Alexandre, that although they wanted the same price they would now include all of the hay in the hayshed, which included 5,000 bales of top quality horse hay, worth $5.00 per bale. Wiebe considered the offer a fair compromise and on January 20, 1994, a second interim agreement was entered into.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transaction closed on February 14, 1994, and the Wiebes arrived to take possession on February 24, 1994.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REPRESENTATIONS RELIED UPON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For the most part, the representations the plaintiffs rely upon in the present action are found in an information sheet provided to them by the real estate agent, Maurice Alexandre. These representations are as follows:</w:t>
      </w:r>
      <w:r>
        <w:rPr>
          <w:rFonts w:ascii="arial" w:eastAsia="arial" w:hAnsi="arial" w:cs="arial"/>
          <w:sz w:val="20"/>
          <w:lang w:val="en-US" w:eastAsia="en-US" w:bidi="ar-SA"/>
        </w:rPr>
        <w:cr/>
      </w:r>
    </w:p>
    <w:p>
      <w:pPr>
        <w:numPr>
          <w:numId w:val="10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two pivots "cover about 320 acres".</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Those 320 acres produce "about 5 tons per acre with 2 crops".</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acreage under pivot "could put up about 1,650 tons of hay".</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1992, 150 calves, average weight 600 lbs., had been sold at $1.08 per lb. for a yield of $97,200.00.</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1992, approximately 16,000 bales of hay had been sold at $4.50 per bale for a yield of $72,000.00.</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1993, the vendor had sold his calves, average weight 590 -600 lbs. at $1.30 per lb.</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relation to the irrigation system:</w:t>
      </w:r>
    </w:p>
    <w:p>
      <w:pPr>
        <w:numPr>
          <w:numId w:val="8"/>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irrigation well had been "tested for 5,000 gal. per minute".</w:t>
      </w:r>
    </w:p>
    <w:p>
      <w:pPr>
        <w:numPr>
          <w:numId w:val="9"/>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"system uses 2,100 G.P.M.".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FALSITY OF THE REPRESENTATIONS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By agreement between counsel, the admissions made by Donald Charles Gunderson at his examination for discovery were binding on the defendant Arlene Faith Gunderson.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Leaving aside for the moment the issue of the source of the information set out in the information sheet prepared by Maurice Alexandre, and the other issues related to it, the plaintiffs initially read into evidence the defendant's, Donald Charles Gunderson, examination for discovery admissions concerning the various representations. Those admissions included the following:</w:t>
      </w:r>
      <w:r>
        <w:rPr>
          <w:rFonts w:ascii="arial" w:eastAsia="arial" w:hAnsi="arial" w:cs="arial"/>
          <w:sz w:val="20"/>
          <w:lang w:val="en-US" w:eastAsia="en-US" w:bidi="ar-SA"/>
        </w:rPr>
        <w:cr/>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for the two pivots covering about 320 acres, Mr. Gunderson admitted that was not true.</w:t>
      </w:r>
    </w:p>
    <w:p>
      <w:pPr>
        <w:numPr>
          <w:numId w:val="1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As for those 320 acres producing about 5 tons per acre with two crops, Mr. Gunderson admitted that this was not true.</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for the acreage under pivot being able to put up 1,650 tones of hay, Mr. Gunderson admitted that this was not true.</w:t>
      </w:r>
    </w:p>
    <w:p>
      <w:pPr>
        <w:numPr>
          <w:numId w:val="1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As for 150 calves being sold with an average weight of 600 lbs. at $1.08 per lb. for a yield of $97,200.00 in 1992, Mr. Gunderson admitted that there were only 147 sold, that the average weight was not true and that the revenue stated was " . . . definitely false."</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for 16,000 bales of hay being sold at $4.50 per bale for a yield in 1992 of $72,000.00, Mr. Gunderson admitted that both the number of bales and the stated revenue were false.</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for the suggestion he had sold his calves in 1993 for $1.30 per lb. and that they had an average weight of 590 lbs. to 600 lbs., he admitted that the stated weight was false.</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remaining representations relied upon by the plaintiffs were that the irrigation well had been "tested for 5,000 gal. per minute" and that the "system uses 2,100 G.P.M.". It is abundantly clear on the whole of the evidence that neither of these allegations was 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GUNDERSONS AND THEIR TIME ON THE ROCKY POINT RANCH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this action the credibility of the Gundersons was a highly contested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February of 1994, at the same time the sale of the ranch completed and as they moved from the Rocky Point Ranch, the Gundersons separated after 38 years of marriage. Arlene Gunderson moved to Quesnel, B.C., and Donald ("Duff") Charles Gunderson commenced a commonlaw relationship with Corrina Thompson.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Over some years the Gundersons had bought and sold a number of ranches, eventually amassing the capital used to acquire the Rocky Point Ranch in 1986.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Throughout the material times, Arlene Gunderson kept a meticulous diary recording events on a daily basis. These diaries (extracts of which are entered as Exhibit 55) represent an important part of the evidence in this case. In addition to her diary, Arlene Gunderson kept detailed books of accounts related to the farming operations, consisting of a handwritten ledger for each year as well as various statements of farming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At the time they purchased the Rocky Point Ranch the Gundersons were living on the Fort Alexanderia ranch on the west side of the Fraser River near the Rocky Point Ranch. Within two weeks of completing the purchase on April 11, 1986, Arlene Gunderson's diary noted: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Agric here. Looked at land here for frozen alphalpha [sic] &amp; they flew across river to check well and land samples.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Two Irrigation Water Analysis Reports, dated April 17, 1986, were produced from the defendants' files. While the analysis of the small domestic well was satisfactory, that of the larger irrigation well was not. The analysis showed a sodium reading of 6.0900 (compared to 0.8700 for the domestic well) and a sodium absorption ration (SAR) of 9.190 (compared to 2.105 for the domestic well). It also had the following warning printed on the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Will present an appreciable sodium hazard in fine-textured soils having high cation-exchange capacity, especially under low-leaching conditions unless gypsum is present in the soil. This water may be used on coarse-textured or organic soils with good permeability.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From 1986, when no hay was produced on the Rocky Point Ranch, until 1993, when the first interim agreement was signed with the Wiebes, the Gundersons records reflect the following results from their ranch operations: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Table 1. Operations</w:t>
      </w:r>
    </w:p>
    <w:p>
      <w:pPr>
        <w:spacing w:before="120" w:line="260" w:lineRule="atLeast"/>
        <w:rPr>
          <w:rFonts w:ascii="arial" w:eastAsia="arial" w:hAnsi="arial" w:cs="arial"/>
          <w:sz w:val="20"/>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28" type="#_x0000_t75" style="width:432.06pt;height:138.02pt">
            <v:imagedata r:id="rId408" o:title=""/>
          </v:shape>
        </w:pict>
      </w:r>
      <w:r>
        <w:rPr>
          <w:rFonts w:ascii="arial" w:eastAsia="arial" w:hAnsi="arial" w:cs="arial"/>
          <w:sz w:val="20"/>
          <w:lang w:val="en-US" w:eastAsia="en-US" w:bidi="ar-SA"/>
        </w:rPr>
        <w:t xml:space="preserv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It can readily be seen from this table not only that the Gundersons' hay sales in 1992 were not $72,000.00 as represented, but that in the Gundersons' entire time on the ranch from 1986 until 1993 their hay sales did not approach that number in total. Total hay sales over the whole period were $52,208.95 averaging $6,526.12 per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MARKETING OF THE ROCKY POINT RANCH AND THE REPRESENTATIONS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From September 2, 1991 to September 30, 1991, Len Monical, a real estate agent employed by Cariboo Realty at 108 Mile House, ran an advertisement in British Columbia Report. The ad appeared in the issues published on September 2, 1991, September 9, 1991, September 16, 1991, September 23, 1991, and September 30, 1991. In each case the following text appears under a photograph of the ranch:</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ROCKY POINT RANCH 585 acre deeded Fraser River bottom land with 335 under 2 pivot &amp; 1 wheel line irrigation system, 3 bedroom home, shop, barns, hay storage, bunk house. 5000 gal. per min. deep well. 3 crop area, averages 5 T./acre. $780,000.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Len Monical testified that he had heard "through the grapevine" that the Rocky Point Ranch was for sale and he dropped by to see if he could get a listing. He went on to testify that although he did not get a listing, Mr. Gunderson told him that if he found a buyer he would pay a commission.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On the same visit he took photographs of the ranch, one of which appears in the ads. He testified that the information about the ranch in the ads came from Mr. Gunderson and that, in particular, Gunderson told him that the well produced 5,000 gallons per minute.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Mr. Gunderson, when he testified at the trial, testified that he didn't know Len Monical and that he didn't even know him when he walked into the courtroom. He went on to testify that he did not tell him he would pay him a commission and he did not tell him the capacity of the well was 5,000 gallons per minute. Arlene Gunderson's diary records Len Monical visiting the Ranch on June 14, 1991.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Maurice Roy Alexandre was another witness called at this trial. Mr. Alexandre is a real estate agent who, in October 1990, was employed by NRS-Laketown Realty Ltd. in Williams Lake. In February 1993 he moved from that agency to Countrywide Videoview Realty Inc.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Mr. Alexandre testified that on October 19, 1990, the defendant, Duff Gunderson, came into his office in Williams Lake and asked him to sell his ranch. On October 24, 1990, he, in company with a colleague, Jeanette Rennie, visited the Rocky Point Ranch where they took photographs and spoke to the Gundersons for the express purpose of gathering information to enable them to market the property. Once again Arlene Gunderson's diary records "Morris to list the property" on October 19, 1990 and visiting the property on October 24, 1990.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Mr. Alexandre testified that he told the Gundersons he needed the information to pass on to prospective purchasers. He went on to testify that he compiled the information provided to him into an information sheet and that generally the information on that sheet was provided to him by the Gundersons. In particular, he testified that Mr. Gunderson advised him:</w:t>
      </w:r>
      <w:r>
        <w:rPr>
          <w:rFonts w:ascii="arial" w:eastAsia="arial" w:hAnsi="arial" w:cs="arial"/>
          <w:sz w:val="20"/>
          <w:lang w:val="en-US" w:eastAsia="en-US" w:bidi="ar-SA"/>
        </w:rPr>
        <w:cr/>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two pivots covered 320 acres;</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those 320 acres produced about 5 tons per acre with two crops;</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to the income information outlined in the information sheet;</w:t>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he sold approximately 16,000 bales at $5.00 per bale but that he wrote it down as $4.50 per bale to be on the safe side;</w:t>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deep well had been "tested for 5,000 gallons per minute";</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there had been a well test done by some firm from the coast and that the results showed 5,000 gallons per minute;</w:t>
      </w:r>
    </w:p>
    <w:p>
      <w:pPr>
        <w:numPr>
          <w:numId w:val="24"/>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system uses 2,100 gallons per minute in 12 inch, 10 inch and 6 inch lines; and</w:t>
      </w:r>
    </w:p>
    <w:p>
      <w:pPr>
        <w:numPr>
          <w:numId w:val="25"/>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they had just sold their calves which averaged 590 lbs. to 600 lbs. at $1.30 per pound.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Mr. Alexandre also testified that he had shown Mr. Gunderson the information sheet and that he explicitly remembered him reading it. He went on to testify that Mr. Gunderson came to his office once or twice a year and that on those occasions the Information Sheet would be reviewed and revised.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Mr. Gunderson, in his direct evidence, denied ever seeing the information sheet before January 17, 1994, the day the agreement collapsing the first interim agreement was signed. He went on to testify that on that day, Maurice Alexandre came to his ranch with the "collapse document" and that he read the information sheet and saw that the information on it was not right. He testified that he told Alexandre that day that the well was not tested and the calf weights were not right. He went on to testify that Alexandre just said it was void and put it back in his file.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Mr. Gunderson then was taken step-by-step through the information set out in Mr. Alexandre's information sheet and denied that he had given Mr. Alexandre each piece of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During the course of his cross-examination this evidence was touched on in very specific terms. This process began with Mr. Gunderson's sworn evidence from his examination for discovery of January 29 and 30, 1996, being put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30"/>
        <w:gridCol w:w="413"/>
        <w:gridCol w:w="516"/>
        <w:gridCol w:w="238"/>
        <w:gridCol w:w="7327"/>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59</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 never did. What did you tell Mr. Alexander [sic] about how much water this well produced per minute?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When I told him that was probably in the fall of '91.</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627"/>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60</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What did you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He came up to look at the ranch and there was just a discussion that I had heard, something that I had heard from around the neighbourhood that the well produced, had pumped 5,000 gallons a minute, which I believed to be true.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This seemingly simple evidence was then followed by Mr. Gunderson's sworn evidence at the continuation of his examination for discovery on January 17, 2001, where he gave the following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33"/>
        <w:gridCol w:w="309"/>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981</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Where did you get the information concerning 5,000 gallons per minute as being the capacity of that well?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 was hearsay on the people that were renting the house when I bought Rocky Point.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982 Q</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Renting which house?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ranch house, renting it off the Bank of Toronto Dominion. They had mentioned they pumped 5,000 gallons a minute which I didn't believe.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983 Q</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 didn't believe it?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Why would I believe 5,000 gallons a minute, I had no concerns about it.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33"/>
        <w:gridCol w:w="309"/>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984</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 have raised two issues. One is believing 5,000 gallons about it, one is having no concern about it. You said you didn't believe it when you were told it?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didn't have -- it didn't bother me at all, I didn't think too much about it.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985 Q</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 said you didn't believe it?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I didn't believe it.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986 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yet not believing it you passed that information on to Mr. Alexandre, didn't you?</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What I had heard, 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987 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Did you tell Mr. Alexandre you better not use this because you didn't believe it?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told him not to believe it because I didn't believe it.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988 Q</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 told him not to believe it?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Why would I tell him it was true.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989 Q</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Because it wasn't true, was it?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It was not true and I didn't believe it to be true.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33"/>
        <w:gridCol w:w="309"/>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990</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just want to see if I have this straight. You told Mr. Alexandre that he should not believe it because it wasn't true?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didn't guarantee that well would pump 5,000 --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33"/>
        <w:gridCol w:w="309"/>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991</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not what I asked you. My question was: Did you or did you not tell Mr. Alexandre you should not believe this because it is not true?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It is not true and it is just a word of talk around the river that it pumped 5,000 gallons a minute is all it was.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33"/>
        <w:gridCol w:w="309"/>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992</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When you first imparted that information to Mr. Alexandre you told him not to believe it because it wasn't true?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As this passage was put to Mr. Gunderson at trial he offered the explanation that these answers were not true and that at the discovery counsel had got him so upset that he couldn't even think what he was saying.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Mr. Gunderson then went on to testify that he had never told Mr. Alexandre that the 5,000 gallons per minute was not true 'because he had no reason not to believe it'. He then concluded by observing that 'everything I said about not believing the 5,000 gallons per minute was true on January 17, 2001, was not 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next sequence of the evidence of Mr. Gunderson that is of importance relates to the copy of the information sheet and the "collapse agreement", marked as Exhibit 54. The information sheet is a typed document on which there are certain hand written markings and notations. At the top of the document a price of $900,000.00 plus stock is typed, to the left of this notation the word 'void' has been written with an arrow pointing to the price.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Below there is a line which reads "185 Head Range Permit". A line has been drawn through the '85' in 185 and written next to it is the notation '135 head'. Further down in the document there appears the line 'Deep well tested for 5000 Gal. per min. System uses 2100 G.P.M. in 12", 10", and 6" lines. All underground and easily drained in winter.' A line has been drawn through the first part of this entry crossing out everything up to and including the '2100 G.P.M.'.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Mr. Gunderson was insistent that he first saw the information sheet the day he signed the "collapse agreement", January 17, 1994, and that he noticed the errors in it at that time and, in particular, he crossed out the details concerning the well. Whether or not that was the first time he saw the information sheet he went on to give the following evidence at his examination for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30"/>
        <w:gridCol w:w="413"/>
        <w:gridCol w:w="516"/>
        <w:gridCol w:w="238"/>
        <w:gridCol w:w="7327"/>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75</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When was the first time you saw a copy of this before amendments and so on or even with amendments, when is the first time you saw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 copy of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627"/>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76</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Was when Maurice Alexander came up, when Wiebes had, we signed off the deal, we backed out of the deal, he signed off and I did, that's when that was brought up and that's when I scratched that line on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30"/>
        <w:gridCol w:w="413"/>
        <w:gridCol w:w="516"/>
        <w:gridCol w:w="238"/>
        <w:gridCol w:w="7327"/>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77</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you say you never had seen a copy of this document.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never did.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30"/>
        <w:gridCol w:w="413"/>
        <w:gridCol w:w="516"/>
        <w:gridCol w:w="238"/>
        <w:gridCol w:w="7327"/>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78</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What was the date then that Mr. Alexander came and showed you this?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This paper?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627"/>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79</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don't know, beginning of January, end of January.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evidence continues: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30"/>
        <w:gridCol w:w="413"/>
        <w:gridCol w:w="516"/>
        <w:gridCol w:w="238"/>
        <w:gridCol w:w="7327"/>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86</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All right. And whose writing is void and an arrow pointing to the $900,000.00?</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I'm not sure. I'm not sure if it was Arlene or Maurice Alexander's.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30"/>
        <w:gridCol w:w="413"/>
        <w:gridCol w:w="516"/>
        <w:gridCol w:w="238"/>
        <w:gridCol w:w="7327"/>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87</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But you say it was you that stroked out and put a line through the deep well tested for 5,000 gallons per minute?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I did.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30"/>
        <w:gridCol w:w="413"/>
        <w:gridCol w:w="516"/>
        <w:gridCol w:w="238"/>
        <w:gridCol w:w="7327"/>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88</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that was when Mr. Alexander came to you?</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He came up to sign off the property for me to release it and the Wiebes to release it on the no sale.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30"/>
        <w:gridCol w:w="413"/>
        <w:gridCol w:w="516"/>
        <w:gridCol w:w="238"/>
        <w:gridCol w:w="7327"/>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95</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All right, once again you are saying the very first time you ever saw the first page of Exhibit 1 [Exhibit 54] was when the deal collapsed, the first deal collapsed?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During his examination for discovery on January 17, 2001, Mr. Gunderson described, in considerable detail, the discussions he says took place between he and Maurice Alexandre after he saw the information sheet on January 17, 1994: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33"/>
        <w:gridCol w:w="309"/>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928</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 as I understand what you did, and I'm going back to Exhibit 1 [54], when you saw that document and according to you what you did is scratched out the reference to deep-well tested and 5,000 gallons per minute, 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33"/>
        <w:gridCol w:w="309"/>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929</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What did you tell Mr. Alexandre about that being wrong? Did you say this was false, it was never deep-well tested?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said it was completely false.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930 Q</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what you told Mr. Alexandre?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Exactly what I told him. This stuff on here is false, the weight of the calves, the well, the amount of acreage on pivot.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33"/>
        <w:gridCol w:w="309"/>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934</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you are saying that when you first had this shown to you, you said to him this is all false, the weight of the calves, the price of the calves, the price of the hay, the fact of it being deep-well tested, you told him all of these things were false?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935 Q</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 told that to Mr. Alexandre?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Damn rights I told that to him.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936 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Who was in the room with you when you told this to Mr. Alexandre?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My wife was, Arlene was.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937 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What else did you tell Mr. Alexandre about the information sheet?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At that time when he came up, when this void was put on here, that was scratched out, what did I tell him?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938 Q</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Yeah?</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I told him not to use it for selling the ranch/ because it was false.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u w:val="single"/>
          <w:lang w:val="en-US" w:eastAsia="en-US" w:bidi="ar-SA"/>
        </w:rPr>
        <w:t>.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33"/>
        <w:gridCol w:w="309"/>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947</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You had this, according to you, you had this meeting with Mr. Alexandre and your wife and it was in the ranch house?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That's 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33"/>
        <w:gridCol w:w="309"/>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948</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And the way I hear you describe it, you were kind of shocked about all this information that was in the information sheet?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I was upset with it.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33"/>
        <w:gridCol w:w="309"/>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949</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And did you go to the Wiebes and say, by the way, I just want you to know that the information that was passed on to you as part of this information sheet is all false, did you do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No, I did not.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950 Q</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Why not?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Because I wasn't selling the ranch, Maurice Alexandre was, it was up to him to straighten out his mistakes.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33"/>
        <w:gridCol w:w="309"/>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951</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So you considered that despite the fact that you viewed all of this information on the information sheet as being false, you didn't have to say anything to the Wiebes?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Why should I have to say anything to the Wiebes. I wasn't dealing directly with the Wiebes, Maurice Alexandre was dealing with the Wiebes.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33"/>
        <w:gridCol w:w="309"/>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952</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He was dealing with the Wiebes, according to you, on your property and having provided information, according to you, that was false. So why didn't you consider letting the Wiebes know this was all false?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This information didn't come from me, it came from Maurice Alexandre. I did not state this stuff, it was wrong.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33"/>
        <w:gridCol w:w="309"/>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953</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But we have gone past that point, sir. We got to the point where you are sitting down with Maurice Alexandre, </w:t>
            </w:r>
            <w:r>
              <w:rPr>
                <w:rFonts w:ascii="arial" w:eastAsia="arial" w:hAnsi="arial" w:cs="arial"/>
                <w:color w:val="000000"/>
                <w:sz w:val="18"/>
                <w:u w:val="single"/>
                <w:lang w:val="en-US" w:eastAsia="en-US" w:bidi="ar-SA"/>
              </w:rPr>
              <w:t>according to you, and you identify the content of this information sheet as being substantially false, 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Yes</w:t>
            </w:r>
            <w:r>
              <w:rPr>
                <w:rFonts w:ascii="arial" w:eastAsia="arial" w:hAnsi="arial" w:cs="arial"/>
                <w:color w:val="000000"/>
                <w:sz w:val="18"/>
                <w:lang w:val="en-US" w:eastAsia="en-US" w:bidi="ar-SA"/>
              </w:rPr>
              <w: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954 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And this is before the second contract with the Wiebes is signed?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33"/>
        <w:gridCol w:w="309"/>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955</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So you sign the second contract with the Wiebes, according to you, at a time when you knew that all of the information that had been given to them was substantially false?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It was false, that's 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Mr. Gunderson, at trial, acknowledged being asked those questions and giving those answers at his examination for discovery, but went on to say that counsel had him so mixed up he didn't know what he was saying.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Mr. Gunderson testified that his answer to questions 934 and 935 were not true but that he did tell Mr. Alexandre not to use the information sheet because it was false.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In comparison, Linton Wiebe's evidence about these contacts was straightforward and consistent. After receiving a telephone call from Maurice Alexandre about the Rocky Point Ranch he received a letter from him dated October 22, 1993, which included the information sheet and some maps of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A week later Alexandre forwarded a second letter, including photographs of the ranch. The Wiebes were impressed both by the photographs and by the information in the information sheet. In particular they were impressed with the substantial fields "under pivot", the good hay production at 5 tons per acre, the amount of hay sales which represented to them an important source of cash flow, the tremendous volume of irrigation water, and the good calf weaning rates which, to them, indicated there was good pasture 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On November 13, 1993 Linton Wiebe and his brother, Lorne travelled to Williams Lake where they me Maurice Alexandre before touring the ranch. After completing the tour they spoke to Mr. Gunderson at the ranch house for half an hour or so while they had coffee. During this conversation Mr. Gunderson advised them that on his other ranch Fort Alexandria, he pumped water from the river and that the irrigation well water was much better and cleaner. Linton Wiebe testified that Mr. Gunderson then talked about the pump cavitating when both pivots were running, but that it was not a problem and it could be solved by lowering the pump 40 feet.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Wiebe then indicated he asked Gunderson if it was possible to leave the pump running while you turned one pivot off and the other on. He indicated that this was very hard on the pivot centre and that he could not "guarantee the pump" if that was done. He said this was the only mention of guarantee and that Gunderson at no time said he would not guarantee the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price the Gundersons were asking for the Rocky Point Ranch was substantial and would take virtually all of the Wiebes' capital, but the property appealed to him because of the cash flow from both calves and the hay crop. In addition, Linton Wiebe felt he could log the lower bench providing further revenue and turning that area into another 70 to 80 acres of arable land. The excess water supply from the well he felt would enable him to irrigate both the lower bench once it was logged and the "bluff" field on the east side of highway 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Wiebes' first offer of $900,000 to include all hay on the property was not accepted but the Gundersons counter-offered at $950,000 to include all the hay except that in the hayshed.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After seeking confirmation of the value of wood on the ranch and that Weldwood would pay $200,000 for the wood, the first interim agreement was signed on December 2, 1993.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COLLAPSE OF THE FIRST INTERIM AGREEMENT AND THE MAKING OF THE SECOND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With the interim agreement in place the Wiebes set about putting their bank financing in order. During this process an appraisal was completed for the bank by Ron Hume valuing the property "as at December 15, 1993."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Wiebes received a copy of the appraisal in January of 1994 and Linton Wiebe noted that on page 17 of the appraisal it was stated that the two pivots irrigated an "estimated 260 acres". He was surprised because the Information Sheet he had received indicated that there was 320 acres under pivot. He and his father utilizing the information in the appraisal report calculated the area and confirmed the apparent discrepancy.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Linton Wiebe telephoned the number he had for Countrywide and ended up speaking to Barbara Leonard, one of the owners. He advised her of the discrepancy and his concern that he had been lied to. In so far as Leonard's evidence differs from that of Linton Wiebe, I prefer and accept his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discrepancy is found in whether or not Ms. Leonard advised him that other things might be wrong and he should check them. I specifically find that she did not make this suggestion to Wiebe but rather reassured him that the discrepancy was an honest mistake.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Ms. Leonard set about drafting a form of agreement that protected her company, herself, her agent Alexandre and the Gundersons. The document was drafted as an addendum to the contract consisting of two options. In the first the Wiebes request the collapse of the agreement and the return of their deposit and release "the vendor, their salesperson and Countrywide Videoview Realty Inc. of any further obligations . . . ." The second option proposes a $50,000 abatement of the purchase and includes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Purchaser further agrees that he is fully aware that:</w:t>
      </w:r>
    </w:p>
    <w:p>
      <w:pPr>
        <w:numPr>
          <w:numId w:val="26"/>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acreage under pivot is 262+/-acres.</w:t>
      </w:r>
    </w:p>
    <w:p>
      <w:pPr>
        <w:numPr>
          <w:numId w:val="26"/>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time of 90 days projected by vendor of June 15 - Sept. 15 is maximum range time allowed and that the purchaser has all the information in hand concerning said range rights. Re: time head allowed.</w:t>
      </w:r>
    </w:p>
    <w:p>
      <w:pPr>
        <w:numPr>
          <w:numId w:val="26"/>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B.C. has a property purchase tax as purchaser has been informed about by his conveyance lawyer.</w:t>
      </w:r>
    </w:p>
    <w:p>
      <w:pPr>
        <w:numPr>
          <w:numId w:val="26"/>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exclusion list of equipment has been received and signed by him.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the purchaser and vendor do agree to continue this contract that each party is in full agreement that this addendum supercedes any written or oral agreement between these parties with regard to said amendments contained within.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Agreement to continue also releases Countrywide Videoview Realty Inc. and salesperson Maurice Alexandre from any representation written or verbal made by either vendor or purchaser prior to the amendment of this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Ms. Leonard advised Linton Wiebe that this agreement was necessary "to protect his deposit" and that he should sign both parts and leave the Gundersons the option of what they wanted to do. She made no attempt to suggest to Wiebe that he should seek legal advice. The document was transmitted by facsimile transmission to Mr. Wiebe on January 17, 1994, and returned the same day by the same means with both parts signed as Ms. Leonard had advised.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same day the Gundersons executed the portion of the addendum related to the first option.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Two days later Linton Wiebe advised Leonard he would like to come "back on the contract". Shortly after Maurice Alexandre contacted Wiebe and advised him that the Gundersons were prepared to include all of the hay in the hayshed as a part of the deal but that they still wanted $950,000. Wiebe calculated the 5000 bales of "top quality horse-hay" as having a value of $25,000. Wiebe felt this was a reasonable compromise and advised Alexandre to go ahead.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On January 20, 1994, the second interim agreement was signed. It differed from the first in two respects, firstly it included the hay in the hayshed and secondly, the lowering of the pump in the irrigation well was now at the expense of the purchasers.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completion date fixed in the agreement was February 14, 1994, and the deal closed on that date. As part of the closing documents the Gundersons executed a Vendor's Statement of Adjustments that included the following clause:</w:t>
      </w:r>
      <w:r>
        <w:rPr>
          <w:rFonts w:ascii="arial" w:eastAsia="arial" w:hAnsi="arial" w:cs="arial"/>
          <w:sz w:val="20"/>
          <w:lang w:val="en-US" w:eastAsia="en-US" w:bidi="ar-SA"/>
        </w:rPr>
        <w:cr/>
      </w:r>
    </w:p>
    <w:p>
      <w:pPr>
        <w:numPr>
          <w:numId w:val="27"/>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Vendor's agree that all the vendor's representations, warranties, guarantees, either verbal or written, if any, together with the obligations contained in the Contract of Purchase and Sale dated January 20, 1994 in so far as they do not specifically relate to the Title, shall survive the completion of the transaction and shall remain in full force and effect in all respects and shall in no way merge with the conveyance of the lands and premises to the Purchasers herein.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WIEBES' AND THEIR TIME ON THE ROCKY POINT RANCH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Wiebes arrived on the Rocky Point Ranch on February 24, 1994, some 10 days after the completion of the purchase. While in the final stage of the trip they stopped at the Dome Creek Cafe where they encountered a truck driver, Dan Wheeler. During a casual conversation Wiebe mentioned that they had bought the Rocky Point Ranch. Wheeler advised Wiebe that his grandfather lived in the area and it was known that the irrigation well was salty.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Within the week following their arrival Wiebe confronted Mr. Gunderson about the conversation. He testified that Gunderson told him that he knew about the salt problem and had checked into it. He said that it would not bother him in his lifetime.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In late April 1994, Wiebe began to use the pivots for the first time, within a few hours both had shut down and the pressure gauge fluctuations indicated to Wiebe that the pump was sucking air. He decided he had to lower the pump as soon as possible and he thought that a copy of the well test would help him with placing the pump at the proper depth.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When he asked Mr. Gunderson for a copy of the well test he was told he didn't have one but he could get a copy from Al Dupilka at West Fraser Mills. After obtaining a copy of the Pacific Hydrology report Wiebe was shocked and contacted Barb Leonard asking her if they had another well test. At her request he provided her with a copy of the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On July 2, 1994, Gunderson came to the ranch at Wiebe's request. Present were Linton Wiebe, his brother, Lorne, and Donald Gunderson. I accept the Wiebes' evidence of what went on at this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Gunderson was presented with a copy of the Pacific Hydrology report and acknowledged that he knew about it. He was then handed a copy of the Information Sheet he admitted that he had given Maurice Alexandre the information "sitting right here in this room and it was up to Maurice to check if I was telling the truth".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When Gunderson was asked where he had got the information about 5000 gallons per minute, he responded that he had flown over the ranch during the test and he "had never seen so much water in his whole life", and that he had pulled the information out of the 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Linton Wiebe also testified that Gunderson had told him that he should "go after the real estate as they had insurance".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About two weeks later Gunderson approached Linton Wiebe and his brother, Lorne, as they were working in the fields. When Linton Wiebe told him that the water was just too big an issue and he would have to do something about it, Gunderson replied that he should " . . . go to the river [for water]" and that it was up to the real estate to verify the information he had given. He went on to repeat his suggestion that Wiebe should go after the real estate because "they have insurance".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Gunderson's evidence about this incident differed in two significant respects, firstly, he insisted that Corrina Thompson was with him, an assertion denied by both Linton Wiebe and his brother, Lorne, and secondly, that it was Linton Wiebe who had suggested that he wanted to sue the "real estate" and that he had asked for Gunderson's assistance in doing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It is already apparent in these reasons that I was not impressed with the evidence of the defendant, Donald Charles Gunderson. I have always found helpful the decision of our Court of Appeal in Faryna v. Chorny, </w:t>
      </w:r>
      <w:hyperlink r:id="rId409" w:history="1">
        <w:r>
          <w:rPr>
            <w:rFonts w:ascii="arial" w:eastAsia="arial" w:hAnsi="arial" w:cs="arial"/>
            <w:i/>
            <w:color w:val="0077CC"/>
            <w:sz w:val="20"/>
            <w:u w:val="single"/>
            <w:shd w:val="clear" w:color="auto" w:fill="FFFFFF"/>
            <w:lang w:val="en-US" w:eastAsia="en-US" w:bidi="ar-SA"/>
          </w:rPr>
          <w:t>[1952] 2 D.L.R. 354</w:t>
        </w:r>
      </w:hyperlink>
      <w:r>
        <w:rPr>
          <w:rFonts w:ascii="arial" w:eastAsia="arial" w:hAnsi="arial" w:cs="arial"/>
          <w:color w:val="000000"/>
          <w:sz w:val="20"/>
          <w:lang w:val="en-US" w:eastAsia="en-US" w:bidi="ar-SA"/>
        </w:rPr>
        <w:t xml:space="preserve"> and particularly the passage from the reasons of O'Halloran, J.A. at p. 357 where he says: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credibility of interested witnesses, particularly in cases of conflict of evidence, cannot be gauged solely by the test of whether the personal demeanour of the particular witness carried conviction of the truth. The test must reasonably subject his story to an examination of its consistency with the probabilities that surround the currently existing conditions. In short, the real test of the truth of the story of a witness in such a case must be its harmony with the preponderance of the probabilities which a practical and informed person would readily recognize as reasonable in that place and in those conditions. Only thus can a Court satisfactorily appraise the testimony of quick-minded, experienced and confident witnesses, and of those shrewd persons adept in the half-lie and of long and successful experience in combining skilful exaggeration with partial suppression of the truth. Again a witness may testify what he sincerely believes to be true, but he may be quite honestly mistaken. For a trial Judge to say "I believe him because I judge him to be telling the truth", is to come to a conclusion on consideration of only half the problem. In truth it may easily be self-direction of a dangerous kind.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trial Judge ought to go further and say that evidence of the witness he believes is in accordance with the preponderance of probabilities in the case and, if his view is to command confidence, also state his reasons for that conclusion. The law does not clothe the trial Judge with a divine insight into the hearts and minds of the witnesses. And a Court of Appeal must be satisfied that the trial Judge's finding of credibility is based not on one element only to the exclusion of others, but is based on all the elements by which it can be tested in the particular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 must begin by saying that Mr. Gunderson firstly did not fare well on the test of personal demeanour. He was belligerent, combative, evasive, inconsistent and contradictory in his responses. Even making what allowance I can for a man who was uncomfortable in the court process that factor cannot begin to explain the difficulties with the evidence of Mr. Gunderson.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Earlier in these reasons I gave some examples of evidence taken from portions of Mr. Gunderson's sworn evidence at his examination for discovery and that given at this trial. These were but some examples of a witness whose evidence was replete with such contradictions. His explanations for those contradictions are wholly inadequate to explain away both the contradictions themselves and the detail with which he told his various versions of the same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 have no hesitation in finding that Mr. Gunderson's evidence is unreliable, in fact, I go so far as to say that, in my view, he went further and tried to deliberately deceive to advance what he felt were his personal interests.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Although I will return in these reasons to specific instances I state now the general proposition that I find the defendant Donald Charles Gunderson's evidence unreliable and, where it is in conflict with other evidence and in particular that of the Wiebes' I prefer the other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 extent to which Mr. Gunderson's evidence failed when measured against the test of its consistency with the probabilities that surround the existing circumstances is almost too difficult to summarize, however, I draw on specific examples:</w:t>
      </w:r>
      <w:r>
        <w:rPr>
          <w:rFonts w:ascii="arial" w:eastAsia="arial" w:hAnsi="arial" w:cs="arial"/>
          <w:sz w:val="20"/>
          <w:lang w:val="en-US" w:eastAsia="en-US" w:bidi="ar-SA"/>
        </w:rPr>
        <w:cr/>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Gunderson denies ever meeting, knowing or talking to Len Monical yet offers no rational explanation for why he would be advertising the Rocky Point Ranch for sale or how he would have the details of the ranch he did;</w:t>
      </w:r>
    </w:p>
    <w:p>
      <w:pPr>
        <w:numPr>
          <w:numId w:val="29"/>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 denies giving to Maurice Alexandre the specific information compiled into the Information Sheet without offering an explanation for that information or its consistency with that appearing in the ads placed by Len Monical; and</w:t>
      </w:r>
    </w:p>
    <w:p>
      <w:pPr>
        <w:numPr>
          <w:numId w:val="30"/>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 testified under oath that on January 17, 1994 he specifically told Maurice Alexandre that virtually all of the material information appearing in the Information Sheet used to market the property was false yet neither he, nor apparently Alexandre, felt any need to communicate that to the Wiebes before the second interim agreement was signed on January 20, 1994, three days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Also of significance on the credibility issue is the fact that on August 29, 1994, the Wiebes wrote a letter to the Gundersons that was mailed to both of them, this letter is conciliating in its tone and not confrontational, more importantly it sets out clearly and concisely the sequence of events and conversations the Wiebes testified to in their evidence. It is important to recognize that at the point in time the letter was written the Wiebes did not realize there was a water quality problem with the irrigation well. Although they had had the conversation with Dan Wheeler at the Dome Creek Café, Gunderson had told them he had checked that out and it wouldn't be a problem "in their lifetimes". The Wiebes had accepted these assurances.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A few extracts from the letter are representative of the information conveyed in the letter to the Gundersons and how closely it parallels the Wiebes' evidence at trial.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have talked to you about the water problem on a friendly basis. We feel you are unaproachable [sic] on this subject Duff. We decided to write to avoid a heated confrontation.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the listing papers, of this ranch, it states the deep well is tested for 5000 gal per min. and present system uses 2100 G.P.M. We were told the well pump needed to be dropped 40 feet down to get to the water, it was to be our responsibility to do this. I approached you, Duff, about the well test, because I wanted to make sure that 40 ft would get us to the proper static water level of the well, to recover the amount of water that is needed. You did not have a well test, you sent us to West Fraser Mill to Al Kupalcu. He gave us the well test that Pacific Water Wells did, which states 800 to 1200 U.S. gal per min on a continuous basis with the pump set at 185ft.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then contacted Pacific Water Wells, they stated this well will not produce any more water than this on a continuous basis no matter what depth the pump is set at. I then phoned Countrywide Videoview Realty and asked if they had any well tests that were different than this. They said no, that this information come from Duff.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the evening of July 1st I phoned you, Duff, and asked you over for coffee to look over the real estates papers. You came over the next morning and sat down with myself and Lorne Wiebe, my brother. I showed you the real estate papers and you said that you had sat here in this room with Maurice Alexandre and told him exactly what is written here about the well, but you did not have a signed contract with Maurice and it was up to Maurice to check out what you were saying was true, just like checking out land legals. I asked you what else is not true, you replied, what you got for my 1993 calf crop is not true either. After this discussion I felt the real estate did not misrepresent the sale of this ranch. Maurice took down information from you in good faith and sold the ranch on the merits of further developments of the land because of the availability of the water supply.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Myself and Linda discussed the problem with the well for about a week. Then on July 12th you came out to the hay field, on the ranch, where myself and Lorne were haying, to visit with us both. I asked what do you think I should do about this well problem, you said it was up to the real estate to make sure the information was correct. You also said, just before you left, the real estate does not know how to sell a ranch from "sic com."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feel we bought this ranch in good faith for a price you people found acceptable of 950,000.00. You carried us for 50,000.00 for a set time, and we paid it on time, we thank you for this. We feel we honoured our agreement on the sale of this ranch. The irrigation water is a very critical item in this agreement for the success of this ranching venture.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Duff, you have told myself and Lorne on two separate occasions that this information on the well came from you to sell this ranch. We are asking you to please honor your part of this sale agreement and stand behind your word and make this problem right.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According to the real estate papers we feel we should have 2100 G.P.M. of available water for the present system and 2900 G.P.M. for further development of the bottom field, and benches we want to clear and irrigate. This is how this ranch was sold to us for 950,000.00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On September 3, 1994, Gunderson phoned Linton Wiebe and was very angry over the fact he had sent a letter to Arlene Gunderson. Wiebe tried to calm him down and told him a copy had been sent to him as well. During the course of the conversation Gunderson told Linton Wiebe that he would buy the ranch back. Wiebe told him to go into town get his copy of the letter and to call him back after he had read it. Aside from the one telephone call on this issue neither of the Gundersons ever replied nor did he hear from Mr. Gunderson further about the offer to buy the ranch back. The Wiebes never took the offer as a serious one in any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One critical example of the difficulties with Donald Gunderson's evidence under oath is his evidence about the altered information sheet. A copy of the information sheet used by Maurice Alexandre was produced which had the words "deep well tested" crossed out along with some other handwritten notations.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Barbara Leonard's evidence was clear and unequivocal, she testified that Linton Wiebe gave her a copy of the information sheet on June 29, 1994, and that the document was unaltered in the form of Exhibit 53. She went on to testify that Gunderson got a copy of the document from her on November 18, 1994, and that it was a copy of Exhibit 53, she made it abundantly clear that the copy she gave him was not in the altered form of Exhibit 54.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Despite this evidence Mr. Gunderson maintained in his evidence that he had first seen this document on January 17, 1994, when Maurice Alexandre came out to the ranch "to collapse the deal" and he had altered it at that time. When it was pointed out to Mr. Gunderson that he had given three different versions under oath of when he made the alterations he replied "I did it when Maurice came up on the collapse or when I got it from Leonard, I can't recall."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Mr. Gunderson's evidence on this point is irreconcilable. It is not explainable on the basis of confusion or mistake for each version of how the alteration came into existence was accompanied by detailed reasons and accompanying dialogue which simply cannot co-exist with the other versions. At the very least his evidence is completely unreliable, but, given the whole of the evidence, in my view, it goes well beyond that into the area of fabrication.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The other side of the Gunderson's evidence came from Arlene Gunderson. While Mrs. Gunderson lacked the same level of belligerence so evident in the evidence of Mr. Gunderson she, if anything, exceeded his capacity for inconsistency and contradiction.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On April 17, 1986, some 15 days after the closing of their purchase of the Rocky Point Ranch two water test reports were issued with respect to the two wells on the Rocky Point Ranch. (Exhibit 4 Tab 84) The test of the irrigation well showed high sodium content (6.0900) a high SAR (9.190) and bore a warning about sodium hazard.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Although these documents were produced from the Gundersons' files, a fact she acknowledged during her evidence in chief, during cross-examination she testified that she first remembered seeing these documents "in this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What followed was a witness who insisted that she had "put some thought into it" and the agriculturalist had phoned and asked if he could take a water sample. She went so far as to say she had asked if it would cost them anything and when she was told no "that was the last I heard about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She testified that she recalled this because of her diary entry.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While the diary entry does indeed record the attendance of the agriculturalist and their taking "well and land samples" on April 11, 1986, there is no mention of a telephone cal land the entry is inconsistent with it being a telephone 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Ms. Gunderson was then taken through a series of extracts from her evidence at her examination for discovery of January 29, 1996 and May 2, 2001, and in none of her previous evidence about the attendance of the agriculturalist does she mention a telephone call.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Ms. Gunderson repeatedly testified under oath at her examination for discovery that they "always had ample water" and that there had never been a shortage for irrigation. This evidence is directly contradicted by the entries she recorded in her diary.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7"/>
        <w:gridCol w:w="514"/>
        <w:gridCol w:w="237"/>
        <w:gridCol w:w="1750"/>
        <w:gridCol w:w="237"/>
        <w:gridCol w:w="6072"/>
        <w:gridCol w:w="102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74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May 30, 1998</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"Pump quit - 3 times. Water getting down in well - Boy hope our well doesn't go dry - 400 ft. deep"</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74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May 31, 1998</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"said well down and 2 lines on"</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74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June 8, 1989</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"Pivot - 5th time on and shut off in aft. as water down"</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74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July 31, 1989</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"Poor crop as pivot not letting water out enough? He's been saying this."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Ms. Gunderson agreed in chief that she had provided the hydro cost information for the 1992 information sheet. That document states that the hydro costs were $2,067.64 for irrigation and approximately $1,000 for domestic for a total cost of $3,067.64. The actual costs she recorded in her 1992 ledger were $ 5,913.09 for irrigation and $1,468.74 for domestic for a total of $7,381.83. Not only was the information she provided in 1992 false but the information provided to the defendants expert witness Dr. Chapman for part of his analysis was equally false.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Other examples of difficulties which emerged in the evidence of Ms. Gunderson included:</w:t>
      </w:r>
      <w:r>
        <w:rPr>
          <w:rFonts w:ascii="arial" w:eastAsia="arial" w:hAnsi="arial" w:cs="arial"/>
          <w:sz w:val="20"/>
          <w:lang w:val="en-US" w:eastAsia="en-US" w:bidi="ar-SA"/>
        </w:rPr>
        <w:cr/>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although she denied that they watered "a lot" in 1992, 15 separate diary entries in her handwriting contradicted this assertion.</w:t>
      </w:r>
    </w:p>
    <w:p>
      <w:pPr>
        <w:numPr>
          <w:numId w:val="3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although she denied having concerns about the quality of their crops in 1992 and 1993 her diary entries contradict her.</w:t>
      </w:r>
    </w:p>
    <w:p>
      <w:pPr>
        <w:numPr>
          <w:numId w:val="33"/>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July 19, 1992 "poor patchy crop"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37"/>
        <w:gridCol w:w="515"/>
        <w:gridCol w:w="237"/>
        <w:gridCol w:w="1750"/>
        <w:gridCol w:w="237"/>
        <w:gridCol w:w="5351"/>
        <w:gridCol w:w="102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ii)</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74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July 31, 1992</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"poor crop as pivot not letting water out enough?</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3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August 1, 1992 "Fin: half circle crop &amp; poor"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1987"/>
        <w:gridCol w:w="543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iv)</w:t>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June 5, 1993</w:t>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"Poor hay"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464"/>
        <w:gridCol w:w="523"/>
        <w:gridCol w:w="1987"/>
        <w:gridCol w:w="5437"/>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43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v)</w:t>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July 4, 1993</w:t>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"Poor hay"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1987"/>
        <w:gridCol w:w="543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vi)</w:t>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July 5, 1993</w:t>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"Hay poor - (straw like)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3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although she testified that she did not know Alexandre was a realtor until the summer of 1993, three entries in her diary contradict this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464"/>
        <w:gridCol w:w="523"/>
        <w:gridCol w:w="2614"/>
        <w:gridCol w:w="480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43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w:t>
            </w:r>
          </w:p>
        </w:tc>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October 19, 1990</w:t>
            </w:r>
          </w:p>
        </w:tc>
        <w:tc>
          <w:tcPr>
            <w:tcW w:w="47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"Duff pulled listing - W.</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43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7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Lake Stafford had it &amp;</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43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7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Morris to list - 1 month"</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25"/>
        <w:gridCol w:w="511"/>
        <w:gridCol w:w="236"/>
        <w:gridCol w:w="2445"/>
        <w:gridCol w:w="236"/>
        <w:gridCol w:w="4684"/>
        <w:gridCol w:w="101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ii)</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October 24, 1990</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7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"Morris out &amp; looked place over"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21"/>
        <w:gridCol w:w="715"/>
        <w:gridCol w:w="236"/>
        <w:gridCol w:w="2445"/>
        <w:gridCol w:w="236"/>
        <w:gridCol w:w="4684"/>
        <w:gridCol w:w="101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iii)</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May 15, 1992</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7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"Morris Alexandre here - listed Balles - place &amp; figures this place appraised at 620,00" (sic)?</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These entries show a knowledge of events and specifics that wholly contradicts her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Ms. Gunderson showed repeated frustration and emotion during her cross-examination as her evidence was repeatedly challenged and contradicted by the entries she recorded in her diaries. This process reached its zenith when after a series of contradictions she muttered that they wouldn't be here today if she had destroyed the diaries and when she was asked to repeat what she had said she announced "I should have burned them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To be blunt the evidence of both Gundersons' was wholly unsatisfactory and I agree entirely with the plaintiffs' submissions which characterize that evidence as ". . . evasive, unresponsive and, as to some matters, simply dishonest."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Their evidence is, as I have already indicated at the very least unreliable. Where their evidence conflicts with that of other witnesses or documents I prefer in each case the evidence coming from other sources.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WATER QUALITY ISSUE SURFACES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In 1994 there was a lot of rain during the summer. The Wiebes took off 16,000 bales of alfalfa in his their first crop and 10,000 in their second. The total yield was approximately 785 tons; and although they felt the crop was "pretty fair quality wise" some of the alfalfa plants appeared to be brown and dried out. Linton Wiebe collected a sample of these plants and placed them in his freezer.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In the spring of 1995, Linton Wiebe contacted the Ministry of Agriculture and Food, Agriculture Division in Williams Lake. Peter Fofinoff and Ken Awmack were both employees with this Ministry. Both were agrologists with bachelors' degrees in agriculture and their jobs were to assist farmers and ranchers in solving agricultural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After noticing a browning of the 1995 crop Wiebe asked Peter Fofinoff to come to the ranch. Fofinoff testified that in some areas of the fields under pivot the alfalfa was wilted and stunted. He took a series of soil samples and the plant sample from the Wiebes' freezer to have them analyzed. A water sample from the irrigation pivot was later requested and provided.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When Fofinoff saw the results he noticed there was a fair amount of sodium in the water and expressed the belief that it could have an impact on forage production. Ken Awmack requested that Wiebe provide more samples to try and isolate the source of the salts. At his request Wiebe provided another sample from the irrigation well and a second sample taken from the Fraser River adjacent to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The two samples taken from the irrigation well yielded sodium readings of 7.3254 and 6.4336 with Sodium Absorption Rates (SAR) of 10.842 and 9.665. The sample taken from the Fraser River yielded a sodium reading of 0.1174 and an SAR of 0.139.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Wiebe was given copies of all the laboratory test results and an explanation sheet (Exhibit #13). Wiebe noted two comments in the explanation sheet, one in relation to sodium levels and the other in relation to SAR. The comments were: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2404"/>
        <w:gridCol w:w="56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Sodium</w:t>
            </w:r>
          </w:p>
        </w:tc>
        <w:tc>
          <w:tcPr>
            <w:tcW w:w="235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Desirable Range</w:t>
            </w:r>
          </w:p>
        </w:tc>
        <w:tc>
          <w:tcPr>
            <w:tcW w:w="553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Small amounts are not harmful and</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35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Less than 2</w:t>
            </w:r>
          </w:p>
        </w:tc>
        <w:tc>
          <w:tcPr>
            <w:tcW w:w="553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can beneficially substitute for</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35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53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potassium when deficient. Excess</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35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53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causes leaf necrosis and burn</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2404"/>
        <w:gridCol w:w="56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SAR</w:t>
            </w:r>
          </w:p>
        </w:tc>
        <w:tc>
          <w:tcPr>
            <w:tcW w:w="235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Desirable Range</w:t>
            </w:r>
          </w:p>
        </w:tc>
        <w:tc>
          <w:tcPr>
            <w:tcW w:w="553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Sodium absorption ratio is a</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35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0 - 4</w:t>
            </w:r>
          </w:p>
        </w:tc>
        <w:tc>
          <w:tcPr>
            <w:tcW w:w="553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calculated value indicating the</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35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53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sodium hazard. Values above 8</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35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53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indicate potential for impairing</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35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53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soil structure.</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The advice given to Wiebe by the Ministry through Fofinoff and Awmack was that the problem appeared to be excessive sodium in the soil and that it might well be causing the problems with his alfalfa. They also advised him that the river water was suitable for irrigation but that the well water was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Fofinoff consulted with others in his Ministry and passed their opinions, comments and materials on to Wiebe. Among these materials was an extract (Chapter 2 Water and Plant Growth) from the Western Fertilizer Handbook (Exhibit 4 Tab 128) at p. 29 of the extract under the heading "Sodium Toxicity" the following passage is found: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Sodium Toxicity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Trees, vines and woody ornamentals may be sensitive to excessive sodium absorbed through the plant roots. As in the case of chlorides, annual crops are usually not affected except for the contribution of sodium to total salt content. For waters with SAR adj below 3 there are no problems; from SAR adj values of 3 to 9, problems increase, and above 9 they are severe. For waters this high, severe soil permeability problems would also exist.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In June of 1995, Wiebe also asked for assistance from Bob Bifford, the manager of 153 Mile Fertilizer. After examining the fields and the crops Bifford attempted to take soil samples but found the ground too hard. He arranged for Wiebe to take a series of soil samples together with water samples from both the domestic and the irrigation wells.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This series of samples was analyzed by Norwest Labs in Lethbridge, Alberta. The water samples in this case yielded SAR's for the domestic well of 2.7 but for the irrigation well it was 10.7.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Doug Keyes of Norwest Labs advised Wiebe that the irrigation well water was not suitable for irrigation, his advice corresponded with that of Fofinoff and Awmack.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After considering all of this information Wiebe capped the irrigation well in August of 1995 and began efforts to use the river as a source for irrigation water.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RIVER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On June 29, 1995, the Wiebes applied for a water license to permit them to remove water for irrigation purposes from the Fraser River. A conditional water license was issued on July 20, 1995.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The first system consisted of a pump mounted on a cart fabricated out of steel which ran on two forty foot rails seven feet wide so it could be raised or lowered as the river level fluctuated. The irrigation pipes were disconnected from the well and 1500' of aluminum pipe was laid from the pivots to the new river source. New transformers were installed and this new system was operational in early August of 1995.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As the system was operated Wiebe encountered problems arising from the silt in the river getting into the pipes, the pressure required to "lift" the water 80 to 90 feet in elevation to the pivots and the sheer cumbersome nature of the pump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In 1996 because of difficulties with the water supply, concerns about sodium in the soil and after taking advice from Fofinoff and Keyes, Wiebe switched crops from alfalfa to barley.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In 1997 two events of significance occurred, after requesting information from the Quesnel Agricultural office for information concerning the irrigation well they received a letter dated May 16, 1997. Attached to the letter were copies of the 1986 lab results of the well tests done for the Gundersons immediately after their purchase of the ranch.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Prior to receiving this letter the Wiebes were completely unaware of these tests having been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Having learned by a passing remark of an Agricultural Land Development Loan (ALDA) apparently obtained by the Gundersons the Wiebes had tried unsuccessfully to obtain access to the file at the agricultural office in Quesnel.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After filing a Freedom of Information request on July 16, 1997 they obtained a copy of the ALDA Loan file on July 16, 1997. The copy of this file obtained was produced as Exhibit 3 Tab 16. The copy produced in this litigation by the Gundersons appears at Exhibit 3 Tab 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In both files there are copies of a letter from the Agricultural Land Development office to the Gundersons dated July 28, 1987. At the bottom of this letter in bold type is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PLEASE NOTE: Before your contract can be validated please send well test logs or log to indicate the capacity of water to support this system. Centre Pivot System must be able to operate at 65 psi.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A document which appears in the Ministry file but not in that produced by the Gundersons is a memorandum dated September 2, 1987 from T.W. Vander Gulik to Elaine Burgess at ALDA's offices in Victoria. The body of this memorandum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ROCKY POINT RANCH WELL TEST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well test run on January 17/85 appears to indicate a well draw down of 260 ft. This would be excessive for the type of pump selected. The information presented is difficult to understand.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However [Gunderson] has been operating this system the past year according to Highland's Irrigation and does not appear to have any problem. Since the system is working the data presented in the well test log forwarded must be incorrect.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therefore suggest that the application be approved.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Also found within the Ministry file but not that produced by the Gundersons are the well test logs referred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The inescapable inference is that the Gundersons either provided them after the request of July 28, 1987 or arranged for them to be provided after that request. This paints an interesting picture of their denial that they had them when asked by Linton Wiebe and the contents of the memorandum of September 2, 1987 and its authors apparent view that the well test log must be incorrect is contrasted with Ms. Gunderson's diary entries which paint a picture of problems with the water supply.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SECOND RIVER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At the end of 1997 the Wiebes put in a modified river irrigation intake, constructing a holding pond and a berm utilizing some 60 feet of culvert. The system continues to be plagued with difficulties, most notably the problem of silting and fluctuations of river level which limit the time when the system can be 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Through 1998 the Wiebes continued to have difficulty with their crops despite the planting of 80 acres of sorghum. They had better results in 1999 with a crop yield of some 1950 round bales or approximately 900 tons.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In 2000 Wiebe planted triticale because it is a tough crop with a high tolerance to sodium. The crop did not fare well yielding only some 900 bales and approximately 450 tons.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By 2001 the Wiebes had concluded that the water problems made the putting in of a crop problematic and he left the fields in pasture.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LINTON WIEBE AS A FARMER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Despite criticism levelled at Linton Wiebe's ability as a farmer by Donald Gunderson the evidence is to the contrary. Bifford the manager of 153 Mile Fertilizer expressed the view that Wiebe was a good farmer. Peter Fofinoff described him as a competent farmer and producer who was "very conscientious" and a "very capable operator". Ken Awmack described him as being an average or better than average farmer.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Vic Albrecht, one of the bank managers who dealt with the Wiebe account, was called as a defence witness. Mr. Albrecht had grown up on a farm and with that background felt that Linton Wiebe was a good manager and listened to the advice of the bank's agrologist who agreed with Wiebe's decision to switch crops.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EXPERT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Two soils experts testified at this trial, Doug Keyes on behalf of the plaintiffs and Bill Chapman on behalf of the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It is obvious both from the written submissions and the oral presentation which followed that there is some considerable dispute between counsel both as to the effect of the expert evidence and, at times, even what that evidence was. The areas of disagreement extend even to the characterization of the issues before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I prefer to begin the consideration of these issues by examining the pleadings. In the amended statement of claim filed on February 6, 1995, para. 12A was added, it reads: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12A.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 further particular of the deceit and misrepresentation is that, to the knowledge of all of the Defendants, the water in the said irrigation well contained such concentrations of sodium and other chemicals as to make the water unfit for irrigation resulting in the Plaintiffs having to abandon said well and incur expenses in its replacement.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The further amended statement of claim filed on January 15, 2001 structured the claim somewhat differently and it is on these pleadings that this action proceeded to trial. The relevant extracts are:</w:t>
      </w:r>
      <w:r>
        <w:rPr>
          <w:rFonts w:ascii="arial" w:eastAsia="arial" w:hAnsi="arial" w:cs="arial"/>
          <w:sz w:val="20"/>
          <w:lang w:val="en-US" w:eastAsia="en-US" w:bidi="ar-SA"/>
        </w:rPr>
        <w:cr/>
      </w:r>
    </w:p>
    <w:p>
      <w:pPr>
        <w:numPr>
          <w:numId w:val="3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Before the Sale, the Gundersons, through the agency of Alexandre, made the following representations of fact to the Wiebes: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numPr>
          <w:numId w:val="3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Ranch's irrigation well was "deep well tested" for 5,000 gallons per minute and the system then in place used only 2,100 gallons per minute.</w:t>
      </w:r>
    </w:p>
    <w:p>
      <w:pPr>
        <w:numPr>
          <w:numId w:val="38"/>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only problem with the irrigation well was that it cavitated when all irrigation systems were in use, but that problem would be solved by dropping the pump 40 feet lower in the well.</w:t>
      </w:r>
    </w:p>
    <w:p>
      <w:pPr>
        <w:numPr>
          <w:numId w:val="3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say that the cumulative effect of the Representations was a representation that the Ranch:</w:t>
      </w:r>
    </w:p>
    <w:p>
      <w:pPr>
        <w:numPr>
          <w:numId w:val="40"/>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Was a productive property suitable for growing hay.</w:t>
      </w:r>
    </w:p>
    <w:p>
      <w:pPr>
        <w:numPr>
          <w:numId w:val="4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Had an irrigation well that provided a more than adequate supply of good quality irrigation water.</w:t>
      </w:r>
    </w:p>
    <w:p>
      <w:pPr>
        <w:numPr>
          <w:numId w:val="42"/>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Had generated substantial revenues from the sale of hay and calves.</w:t>
      </w:r>
    </w:p>
    <w:p>
      <w:pPr>
        <w:numPr>
          <w:numId w:val="43"/>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Would generate revenue from the logging of the timber on the Bench.</w:t>
      </w:r>
    </w:p>
    <w:p>
      <w:pPr>
        <w:numPr>
          <w:numId w:val="4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representations were false in that: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numPr>
          <w:numId w:val="45"/>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irrigation well actually produced between 1,000 and 2,000, not 5,000 gallons per minute.</w:t>
      </w:r>
    </w:p>
    <w:p>
      <w:pPr>
        <w:numPr>
          <w:numId w:val="4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were approximately 2,100, not 3,000 cubic meters of timber on the Bench and approximately 2,350, not 5,000 cubic meters of timber on the Ranch as a whole.</w:t>
      </w:r>
    </w:p>
    <w:p>
      <w:pPr>
        <w:numPr>
          <w:numId w:val="4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irrigation well did not provide a source of good quality irrigation water. Rather, to the knowledge of the Gundersons, the water could only safely be used on course textured or organic soils with good permeability, which the soil on the Ranch was not. It presented an appreciable hazard if used on other types of soil, including the soil on the Ranch.</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numPr>
          <w:numId w:val="4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As a result of the Representations, the Plaintiffs have suffered damages including:</w:t>
      </w:r>
    </w:p>
    <w:p>
      <w:pPr>
        <w:numPr>
          <w:numId w:val="49"/>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reflecting the difference the actual value of the Ranch at the time of the Sale, and the Price.</w:t>
      </w:r>
    </w:p>
    <w:p>
      <w:pPr>
        <w:numPr>
          <w:numId w:val="50"/>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cost of remediating soil that has suffered degradation as a result of the application of poor quality irrigation water.</w:t>
      </w:r>
    </w:p>
    <w:p>
      <w:pPr>
        <w:numPr>
          <w:numId w:val="51"/>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cost of installing an alternative irrigation system sourced from the Fraser River.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numPr>
          <w:numId w:val="5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resulting from not having an irrigation well with a capacity of 5,000 gallons per minute.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In light of these pleadings the initial questions to be addressed are those posed by the plaintiffs in their written argument.</w:t>
      </w:r>
      <w:r>
        <w:rPr>
          <w:rFonts w:ascii="arial" w:eastAsia="arial" w:hAnsi="arial" w:cs="arial"/>
          <w:sz w:val="20"/>
          <w:lang w:val="en-US" w:eastAsia="en-US" w:bidi="ar-SA"/>
        </w:rPr>
        <w:cr/>
      </w:r>
    </w:p>
    <w:p>
      <w:pPr>
        <w:numPr>
          <w:numId w:val="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irrigation well water unsuitable for irrigation having regard to the soils on the Rocky Point Ranch?</w:t>
      </w:r>
    </w:p>
    <w:p>
      <w:pPr>
        <w:numPr>
          <w:numId w:val="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Has the soil on the Rocky Point Ranch suffered degradation because of the application of water from the Irrigation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REPORTS AND EVIDENCE OF D.O KEYES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Mr. Keyes is a Professional Agrologist who holds a Bachelor of Science degree in Biology obtained from the University of Victoria in 1982, a Bachelor of Science degree in Agriculture obtained from the University of Alberta in 1989 and a Master of Science degree in Soil Science obtained from the University of Alberta in 1990.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Mr. Keyes produced four reports which were entered during the course of the trial.</w:t>
      </w:r>
      <w:r>
        <w:rPr>
          <w:rFonts w:ascii="arial" w:eastAsia="arial" w:hAnsi="arial" w:cs="arial"/>
          <w:sz w:val="20"/>
          <w:lang w:val="en-US" w:eastAsia="en-US" w:bidi="ar-SA"/>
        </w:rPr>
        <w:cr/>
      </w:r>
    </w:p>
    <w:p>
      <w:pPr>
        <w:numPr>
          <w:numId w:val="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Effect of Irrigation Water Quality on the Soils of the Wiebe Farm - May 5, 1997 (Exhibit 34)</w:t>
      </w:r>
    </w:p>
    <w:p>
      <w:pPr>
        <w:numPr>
          <w:numId w:val="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Effect of Irrigation Water Quality on the Soils of the Wiebe Farm - May 9, 2000 (Exhibit 35)</w:t>
      </w:r>
    </w:p>
    <w:p>
      <w:pPr>
        <w:numPr>
          <w:numId w:val="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Soil Productivity and the Effects of Irrigation Water on Soils of the Wiebe Farm - May 1, 2001 (Exhibit 36)</w:t>
      </w:r>
    </w:p>
    <w:p>
      <w:pPr>
        <w:numPr>
          <w:numId w:val="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Reply to the Report: An Analysis of the Crop and Related Soil Problems Encountered on the Rocky Point Ranch, 1994 to 2001 Bill Chapman Ph.D, P.Ag. - June 30, 2001 (Exhibit 38)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The opinions expressed by Mr. Keyes in his reports and in his evidence is summarized in the conclusion of his report of May 5, 1997: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5.0 Conclusion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Based on the information provided to me and the analytical results obtained for samples submitted by 153 Mile Fertilizer, </w:t>
      </w:r>
      <w:r>
        <w:rPr>
          <w:rFonts w:ascii="arial" w:eastAsia="arial" w:hAnsi="arial" w:cs="arial"/>
          <w:color w:val="000000"/>
          <w:sz w:val="20"/>
          <w:u w:val="single"/>
          <w:lang w:val="en-US" w:eastAsia="en-US" w:bidi="ar-SA"/>
        </w:rPr>
        <w:t>it is my professional opinion that the past use of poor quality irrigation water (high SAR and high pH) has resulted in significant soil degradation on the three fields in question. This degradation makes the soil more difficult and more costly to manage, reduces its productivity, and limits the range of crops that can be grown</w:t>
      </w:r>
      <w:r>
        <w:rPr>
          <w:rFonts w:ascii="arial" w:eastAsia="arial" w:hAnsi="arial" w:cs="arial"/>
          <w:color w:val="000000"/>
          <w:sz w:val="20"/>
          <w:lang w:val="en-US" w:eastAsia="en-US" w:bidi="ar-SA"/>
        </w:rPr>
        <w:t>. However, the damage is not irreversible. Continued use of river water will improve the soil condition and adding a calcium amendment would provide further improvement.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While the evidence of Mr. Keyes and that of Dr. Chapman occupied parts or all of eight days of trial, was at times highly technical and was hotly contested, in the end the essence of the opinion of Mr. Keyes is found within this summary of his first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I do not intend to delve into the detailed technical reasons on which this general opinion is based although it is necessary to go into the discrepancies between the two experts and the criticisms levelled at each by opposing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Mr. Keyes in his report of May 9, 2000 observes at p. 4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soil particle size analyses we have done for Mr. Wiebe (Appendix I) show that the texture is Loam to Sandy Loam (S.Loam). Texture was determined by measuring the percentage by weight of particles falling into each of the three size fractions: sand (0.05 - 2 mm), silt (0.002 - .05 mm) and clay (&lt;0.002mm), using the hydrometer method (McKeague, 1978, Manual of Soil Sampling and Methods of Analysis). Based on these percentages the texture is read from a textural triangle, such as the one included in appendix II. </w:t>
      </w:r>
      <w:r>
        <w:rPr>
          <w:rFonts w:ascii="arial" w:eastAsia="arial" w:hAnsi="arial" w:cs="arial"/>
          <w:color w:val="000000"/>
          <w:sz w:val="20"/>
          <w:u w:val="single"/>
          <w:lang w:val="en-US" w:eastAsia="en-US" w:bidi="ar-SA"/>
        </w:rPr>
        <w:t>Assuming that these samples are representative of the fields in question, these results would indicate the soil should be relatively permeable which should allow for salts in the irrigation water to be leached out of the soil profile. "A fine loam soil . . . would loose about 10 cm per day" (Hillel 1980, p. 101). However, if the addition of the well water to these soils resulted in poor infiltration and permeability, salts would begin accumulating</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Mr. Keyes then turns to the process by which he suggests the soils in the irrigated fields changed: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Although the infiltration rate and permeability of the soil would be relatively high given that the soil texture is loam to sandy loam, increasing the exchangeable sodium through the addition of irrigation water with high SAR is likely to reduce the infiltration rate.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smectite (montmorillonite) and other dispersible type minerals with a high cation exchange capacity are exposed to a solution with high SAR the sodium replaces other cations, mainly calcium and magnesium, on the exchange complex. This causes the clay to swell and disperse causing soil pores to become plugged. In my opinion it is very likely that the soil in question contains sufficient amounts of these types of clays to cause a significant decline in the infiltration rate through use of the high SAR well water.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process is described in USDA handbook 60: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If allowed sufficient time, nonsaline-alkali soils develop characteristic morphological features. Because partially sodium-saturated clay is highly dispersed, it may be transported downward through the soil and accumulate at lower levels. As a result, a few inches of the surface soil may be relatively coarse in texture and friable; but below where the clay accumulates the soil may develop a dense layer of low permeability that may have a columnar of prismatic structure. Commonly, however, alkali conditions develop in such soils as a result of irrigation. In such cases, sufficient time usually has not elapsed for the development of the typical columnar structure, but the soil has low permeability and is difficult to till." (USDA Handbook 60, p. 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effect of irrigation water on soil SAR and exchangeable sodium will depend on its SAR and carbonate/bicarbonate content. Carbonate and bicarbonate bind with calcium to form calcium carbonate, a highly insoluble compound. Calcium is thereby removed from the soil solution resulting in a relative increase in sodium and a greater tendency for sodium to replace exchangeable calcium and magnesium. Thus, an adjusted SAR, that takes into account the carbonate and bicarbonate, may be calculated for irrigation water. Mr Brisbin has done these calculations based on the assumption that the carbonate content is negligible. This is a fair assumption based on the pH of the water. The bicarbonate values were apparently taken from hand-written notes on the reports (Appendix I). (This is irregular but the values are plausible.) Assuming they are correct the adjusted SAR values for two of the water samples analyzed by Griffin Laboratories were 15.5 and 18.4 (Brisbin,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Mr. Keyes then turns to what he considers to be the best evidence of the effect of this irrigation water on the fields of the Rocky Point Ranch.</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SAR of the soil samples from the irrigated fields already exceed guidelines for soil quality and are much higher than on a non-irrigated field. Results of soil tests done on the irrigated fields indicate SAR values in the range of 6 to 11 (Schedule A: Norwest Labs (Lethbridge) Reports 5977, 5978 &amp; 5979; Norwest Labs (Edmonton) Work Orders 109220 &amp; 127369). A similar soil in the same area (Schedule A: Norwest Work Order 109220, sample 5 "Bluff") that was not irrigated with well water has a SAR of 0.9. This is the best available measure of the pre-irrigation condition of the irrigated fields because I do not have any tests for the now-irrigated fields prior to when they were first irrigated. The large difference in SAR between the "Bluff" field and the irrigated fields strongly suggests that the cause of the high SAR on the irrigated fields is the irrigation water.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In this portion of his report Mr. Keyes contrasts the SAR values from the irrigated fields with the result found in an immediately adjacent field that was not irrigated with water from the same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In his report of May 1, 2001, Mr. Keyes again reviewed the various data available and concluded at p. 13: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Based on field observations, lab test data and the trends in the data discussed above, it is my opinion that irrigating the fields in question (South Pivot, N.E. Pivot and N.W. Pivot) with the well water has significantly hampered their productive capability.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On p. 16 of the same report he sets out in summary form his conclusions: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Conclusions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Soils of the South Pivot, N.E. Pivot and N.W. Pivot fields on the Wiebe farm are generally of very poor quality due to high SAR values, high pH and carbonate content, low organic matter, lack of fertility and variable texture. Although sodicity has decreased in the top foot of soil, deeper in the soil it remains undesirably high and has not improved. Fertility is inherently low and elevated pH levels likely caused by the application of sodic irrigation water have reduced the availability of nutrients. In most places the surface soil is medium textured with low permeability due to the presence of sodium. In some areas the soil is course textured and therefore has low AWHC.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These fields could not be successfully irrigated, even with good quality water, due to the low permeability caused by the high SAR of the surface soil. These soils would only be suitable for crop production if they were first treated with a calcium amendment throughout. Water from the irrigation well should not be used to irrigate any part of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In approaching the evidence of Mr. Keyes in their written submissions, counsel for the defendants initially recasts the question of importance in this evidence in these words: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issue is whether or not the use of the irrigation water did degrade the soils in a way and to the extent that alfalfa hay production was impaired.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The submissions then turn to sweeping, and unreferenced statements about the evidence noting: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cross-examined on whether or not the soil degradation which he described would affect alfalfa productivity, he said he didn't know.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I do not recall such evidence being given nor is it reflected in my trial notes. Quite apart from that such a proposition is contrary to the opinions quoted earlier in these reasons from Mr. Keyes' 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The defendants' written submissions then at p. 21 state: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None of the extracts from Mr. Keyes' report which are referred to in the Plaintiffs' submissions address this essential step in the chain of causation, nor was it addressed in Mr. Keyes' viva voce evidence. Mr. Keyes treats the issue of sodium damage as being "at large" and does not connect it to the nature of the particular farm operation.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One of the critical issues in this case is whether or not the high SAR in the water raised the SAR of the soil to the point where the structural damage occurred. This resulted in considerable debate about what was meant by "high SAR" and about how the soil texture should be characterized. High SAR and texture are only relevant to the extent that they are factors to be considered in predicting the potential for sodium related structural damage. Yet Mr. Keyes' report of May 1, 2001, written after he visited the ranch for the first time, does not describe his observations or findings of soil structure at all. He talks about his findings on texture. He talks about his observations on soil consistence (hardness). There is nothing about structure.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I do not find these submissions helpful for they seek to isolate specific passages of Mr. Keyes evidence (without referencing them) from the totality of the evidence. I do not know what treating the issue of sodium damage as being "at large" means but if it is intended to reflect what is set out in the rest of the sentence, then the defence ignores Linton Wiebe's evidence about the difficulties he was encountering with both the crops under irrigation and the soil difficulties. He is also ignoring the universal acknowledgement by the agrologists that there was a problem in the farm and their agreement with Wiebe's decision that he had no option but to switch from alfalfa to barley.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This opinion was shared by Peter Fofinoff, Ken Awmack, Klaas Broersma, who Fofinoff consulted, Geoff Hughes-Games, who Fofinoff also consulted, Bob Bifford, the manager of 153 Mile Fertilizer, the agrologist consulted by the Royal Bank and Doug Keyes.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In the light of the almost universal opinion expressed by those knowledgeable in the area and who looked at the farm and the test results coming from it it is, quite frankly, difficult to see on what factual basis this submission is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The real difficulties with the expert evidence emerged when Dr. Chapman took the witness stand. The General Summary of his opinion which begins on p. 35 of his report, "An Analysis of the Crop and Related Soil Problems Encountered on the Rocky Point Ranch 1994 to 2001" of May 24, 2001 (Exhibit 43) sets out the opinions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GENERAL SUMMARY</w:t>
      </w:r>
    </w:p>
    <w:p>
      <w:pPr>
        <w:numPr>
          <w:numId w:val="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well water on Rocky Point Ranch was not of the best quality for irrigation, but it was not wholly unsuitable for irrigation. Its salinity was not very high, but the ratio of sodium to calcium and magnesium was less than ideal. However, by most classification systems, the water would have been suitable for carefully managed irrigation, except on fine textured soils susceptible to structural breakdown.</w:t>
      </w:r>
    </w:p>
    <w:p>
      <w:pPr>
        <w:numPr>
          <w:numId w:val="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soils on the Rocky Point Ranch are primarily coarse loams. They would not have suffered significant structural breakdown from the addition of high sodium water. There is not, and never has been identified a salinity problem on the Rocky Point Ranch. Reports by Mr. Wiebe of hard soil on the Rocky Point Ranch are consistent with historical soil survey descriptions of the type of soil on the ranch. However, the soil would only be hard when dry, and is very easy to cultivate under the correct conditions.</w:t>
      </w:r>
    </w:p>
    <w:p>
      <w:pPr>
        <w:numPr>
          <w:numId w:val="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soils on Rocky Point Ranch had been susceptible to structural breakdown (and it is my opinion that they were not), the application of excessive water or low salinity river water, would have exacerbated structural breakdown, without the addition of an amendment like gypsum to maintain soil structure.</w:t>
      </w:r>
    </w:p>
    <w:p>
      <w:pPr>
        <w:numPr>
          <w:numId w:val="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pH of the soil has risen. Three factors could have contributed to the pH rise: the use of the high sodium well water, the use of excessive irrigation water and the use of low salinity river water. The pH rise was likely the result of the interaction of all three of these factors.</w:t>
      </w:r>
    </w:p>
    <w:p>
      <w:pPr>
        <w:numPr>
          <w:numId w:val="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Crop performance is reported to have been poor on crest positions but pH tends to be higher in depressional areas. Clay content is also highest in depressional areas and some types of clays are the constituents of soil that are affected by high sodium levels. These factors indicate that, according to the theory that structural breakdown of the soil and rising pH have caused the crop problems, such problems should have been worse in the depressional area, not in the crest areas. Most recent analyses indicate that sodium levels and high pH levels appear to be improving in the depressional areas in particular. However, the same factors that are causing these conditions to decrease now, i.e., excess water, should also initially have made them increase in the depressional areas.</w:t>
      </w:r>
    </w:p>
    <w:p>
      <w:pPr>
        <w:numPr>
          <w:numId w:val="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Fertility levels have been an issue on the Rocky Point Ranch from the outset. Almost all soil analyses have confirmed that nutritional deficiencies exist on the ranch. These nutritional deficiencies are a natural consequence of farming and of the types of soils on the Rocky Point Ranch. The symptoms of poorly performing, dried looking crops, as observed by Mr. Wiebe and reported by Keyes, are consistent with severe nutritional deficiencies. Nutritional deficiencies on the Rocky Point Ranch are indicated by soil analyses to be worst in crest positions and better in depressional positions, and by a considerable amount for potassium. This is in keeping with the pattern of crop problems observed on the Rocky Point Ranch. Nutritional variations in relation to slope positions are known to occur as a result of natural soil processes, but they could be exacerbated by irrigation practices. Mr. Wiebe apparently used a foliar fertilizer in 1994 and 1995. The application rate recommended for the use of this fertilizer would not have been sufficient to alleviate the macronutrient deficiencies in the soil. I do not know if Mr. Wiebe used any other fertilizers, but the most current soil analyses indicate that nutritional deficiencies are still serious and significant on the Rocky Point Ranch. Symptoms of nutritional deficiency would tend to mask other problems. Once the nutritional problems are corrected, it may be possible to further refine management practices to improve crop yield and quality.</w:t>
      </w:r>
    </w:p>
    <w:p>
      <w:pPr>
        <w:numPr>
          <w:numId w:val="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Changing from alfalfa to barley might have been justifiable if salinity was a problem, but it was not. Alfalfa would have been a better choice of crops to withstand the alkaline conditions generated. However, it is not clear that alkalinity was the cause of the problems for either crop. Direct sodium damage was not likely an issue with either crop.</w:t>
      </w:r>
    </w:p>
    <w:p>
      <w:pPr>
        <w:numPr>
          <w:numId w:val="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soil conditions on Rocky Point Ranch seem to have been improving over time, most noticeably in the upper soil horizons. Use of an acidifying fertilizer could speed up the improvement process. The fertilizer will likely more than pay for itself by immediate improvements in yields, and over the longer term, by the improvement in soil pH.</w:t>
      </w:r>
    </w:p>
    <w:p>
      <w:pPr>
        <w:numPr>
          <w:numId w:val="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selection of crops that could be grown on the Rocky Point Ranch is not currently restricted in any appreciable way. The problems encountered over the last few years can be viewed as relatively short term because of the excellent drainage and infiltrability of the soils and their lack of susceptibility to structural breakdown. If the same sequence of interventions had occurred on a fine textured soil, i.e., (putatively increased irrigation rates without addition of amendments followed by a switch to low salinity water, the results would have been much more serious and prolonged.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The general nature of Dr. Chapman's report and his evidence can be gleamed from the first of these propositions in his summary:</w:t>
      </w:r>
      <w:r>
        <w:rPr>
          <w:rFonts w:ascii="arial" w:eastAsia="arial" w:hAnsi="arial" w:cs="arial"/>
          <w:sz w:val="20"/>
          <w:lang w:val="en-US" w:eastAsia="en-US" w:bidi="ar-SA"/>
        </w:rPr>
        <w:cr/>
      </w:r>
    </w:p>
    <w:p>
      <w:pPr>
        <w:numPr>
          <w:numId w:val="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well water on Rocky Point Ranch was </w:t>
      </w:r>
      <w:r>
        <w:rPr>
          <w:rFonts w:ascii="arial" w:eastAsia="arial" w:hAnsi="arial" w:cs="arial"/>
          <w:color w:val="000000"/>
          <w:sz w:val="20"/>
          <w:u w:val="single"/>
          <w:lang w:val="en-US" w:eastAsia="en-US" w:bidi="ar-SA"/>
        </w:rPr>
        <w:t>not of the best quality for irrigation</w:t>
      </w:r>
      <w:r>
        <w:rPr>
          <w:rFonts w:ascii="arial" w:eastAsia="arial" w:hAnsi="arial" w:cs="arial"/>
          <w:color w:val="000000"/>
          <w:sz w:val="20"/>
          <w:lang w:val="en-US" w:eastAsia="en-US" w:bidi="ar-SA"/>
        </w:rPr>
        <w:t xml:space="preserve">, but it was </w:t>
      </w:r>
      <w:r>
        <w:rPr>
          <w:rFonts w:ascii="arial" w:eastAsia="arial" w:hAnsi="arial" w:cs="arial"/>
          <w:color w:val="000000"/>
          <w:sz w:val="20"/>
          <w:u w:val="single"/>
          <w:lang w:val="en-US" w:eastAsia="en-US" w:bidi="ar-SA"/>
        </w:rPr>
        <w:t>not wholly unsuitable for irrigation</w:t>
      </w:r>
      <w:r>
        <w:rPr>
          <w:rFonts w:ascii="arial" w:eastAsia="arial" w:hAnsi="arial" w:cs="arial"/>
          <w:color w:val="000000"/>
          <w:sz w:val="20"/>
          <w:lang w:val="en-US" w:eastAsia="en-US" w:bidi="ar-SA"/>
        </w:rPr>
        <w:t xml:space="preserve">. Its </w:t>
      </w:r>
      <w:r>
        <w:rPr>
          <w:rFonts w:ascii="arial" w:eastAsia="arial" w:hAnsi="arial" w:cs="arial"/>
          <w:color w:val="000000"/>
          <w:sz w:val="20"/>
          <w:u w:val="single"/>
          <w:lang w:val="en-US" w:eastAsia="en-US" w:bidi="ar-SA"/>
        </w:rPr>
        <w:t>salinity was not very high</w:t>
      </w:r>
      <w:r>
        <w:rPr>
          <w:rFonts w:ascii="arial" w:eastAsia="arial" w:hAnsi="arial" w:cs="arial"/>
          <w:color w:val="000000"/>
          <w:sz w:val="20"/>
          <w:lang w:val="en-US" w:eastAsia="en-US" w:bidi="ar-SA"/>
        </w:rPr>
        <w:t xml:space="preserve">, </w:t>
      </w:r>
      <w:r>
        <w:rPr>
          <w:rFonts w:ascii="arial" w:eastAsia="arial" w:hAnsi="arial" w:cs="arial"/>
          <w:color w:val="000000"/>
          <w:sz w:val="20"/>
          <w:u w:val="single"/>
          <w:lang w:val="en-US" w:eastAsia="en-US" w:bidi="ar-SA"/>
        </w:rPr>
        <w:t>but the ratio of sodium to calcium and magnesium was less than ideal</w:t>
      </w:r>
      <w:r>
        <w:rPr>
          <w:rFonts w:ascii="arial" w:eastAsia="arial" w:hAnsi="arial" w:cs="arial"/>
          <w:color w:val="000000"/>
          <w:sz w:val="20"/>
          <w:lang w:val="en-US" w:eastAsia="en-US" w:bidi="ar-SA"/>
        </w:rPr>
        <w:t>. However, by most classification systems, the water would have been suitable for carefully managed irrigation, except on fine textured soils susceptible to structured breakdown.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With respect these statements are ambiguous, seeming more to obscure their meaning that to reveal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It is indeed surprising that what emerged during his cross-examination was the extent to which, once stripped of loose language and hyperbole Dr. Chapman agreed with Mr. Keyes. Some extracts from Dr. Chapman's evidence make this clear at p. 147, lines 30 - 34: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as early as - well within a week of getting all the documents that was your main concern; high sodium, high carbonate?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Yes I - I've never disputed that. It seemed to be fairly obvious from the outset.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Dr. Chapman despite the language of paragraph 1 of his summary not only agreed there was a high SAR in the well water he agreed it was an historical problem. Page 188, lines 21 - 26.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I assumed that well water had high SAR levels when Mr. Gunderson owned the ranch. </w:t>
            </w:r>
            <w:r>
              <w:rPr>
                <w:rFonts w:ascii="arial" w:eastAsia="arial" w:hAnsi="arial" w:cs="arial"/>
                <w:color w:val="000000"/>
                <w:sz w:val="18"/>
                <w:u w:val="single"/>
                <w:lang w:val="en-US" w:eastAsia="en-US" w:bidi="ar-SA"/>
              </w:rPr>
              <w:t>I always conceded that the well water had high SAR values and I would in fact have been extremely surprised if the well water didn't have high SAR values when Mr. Gunderson owned the ranch</w:t>
            </w:r>
            <w:r>
              <w:rPr>
                <w:rFonts w:ascii="arial" w:eastAsia="arial" w:hAnsi="arial" w:cs="arial"/>
                <w:color w:val="000000"/>
                <w:sz w:val="18"/>
                <w:lang w:val="en-US" w:eastAsia="en-US" w:bidi="ar-SA"/>
              </w:rPr>
              <w: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More surprisingly given the submissions by counsel which assert that there is no link in the evidence between the well water degrading the soil and affecting alfalfa production, is the fact that Dr. Chapman agrees that it occurred.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Cross, page 190, line 36 to page 191, line 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what about the sodium levels in the feed?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As I said already, I had assumed - accepted that the sodium levels in the well water were high, I would not have been surprised by the sodium levels, and I have in no way suggested anywhere in my report that there was a change in sodium levels in the property with a change of ownership or over the time that - that period, I said there may have been an increase in SAR precipitated by the change in the use of water, there may have been an increase in pH but I, again, am not surprised that the sodium levels are high. This is completely consistent with what I'd accepted the well water to be.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So if you find high sodium levels in feed that includes an implication that there are high sodium levels in the soil?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And you accepted that the high sodium levels in both the soil and the feed were caused by the high sodium levels in the well water?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Yes</w:t>
            </w:r>
            <w:r>
              <w:rPr>
                <w:rFonts w:ascii="arial" w:eastAsia="arial" w:hAnsi="arial" w:cs="arial"/>
                <w:color w:val="000000"/>
                <w:sz w:val="18"/>
                <w:lang w:val="en-US" w:eastAsia="en-US" w:bidi="ar-SA"/>
              </w:rPr>
              <w: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In this passage from his evidence Dr. Chapman conceded that the use of the water from the irrigation well resulted in high levels of sodium in the soil of the fields irrigated with it and in the crops (feed) raised in those fields.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When the cross-examination of Dr. Chapman turned to the carbonate content of the irrigation well water his vague statements about the quality of the well water suffered again: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Cross, page 96, lines 1 to 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Let's stick with the circumstances in which you would be describing it as high in relation to the guidelines. What is high in terms of the guidelines for carbonates or bicarbonates?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2.5 is a cut off point that's used, bicarbonate levels above 2.5.</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2.5 what?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Milliquipments per liter.</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Where did you get that from?</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believe that's first reported in Handbook 60.</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Anywhere else?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first that I'm aware of.</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the only place that you're aware of it being reported?</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it's reported in numerous other places, usually citing Handbook 60.</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He then agrees that the lab tests indicate that the levels were more than three times the maximum.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Cross, page 97, line 9 to page 98, line 37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You say that the guideline suggest 2.5. If you go to Tab 91 of Exhibit 44. That's one of the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Excuse me, was it Tab 91?</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sir.</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one of the water analysis test results that you had looked at and were relying on?</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I'm uncomfortable with the word relying on. It's one that I reported and indicated my discomfort with putting too much emphasis on these particular reports so I used it guardedly.</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 do however, and I believe you said this in direct examination, you do accept that those were the bicarbonate levels for the water analysis in question?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I accepted that they probably were.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a value of 8.08 is more than three times higher than what you've suggested is the guideline maximum?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It was, however, in relation to the last sentence of para. 1 of his summary that Dr. Chapman was challenged most strongly. The statement in his summary was that " . . .by most classification systems, the water would have been suitable for carefully managed irrigation . . ."</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Cross, page 102, line 32 to page 104, line 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so after all of that commentary on the irrigation water, your conclusion is expressed on page 3, under paragraph #1. And we've already eluded to this sir, the second sentence in that paragraph. Sorry, the last sentence, however by most classification systems the water would have been suitable for carefully managed irrigation except on fine textured soils susceptible to structural breakdown. That is your conclusion in relation to the irrigation water, 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We've already established that by classification systems, what you meant was water quality guidelines?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implication that is inherent, in that opinion is that you have reviewed several guidelines that support your conclusion?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Which ones did you review?</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I was looking at that point considering the SAR, we had the adjusted SAR, the new adjusted SAR and the .5 correction factor applied to the old adjusted SAR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Can I stop you there please?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want to know which water quality guidelines you reviewed?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I was just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I'm not talking about the kinds of SAR's. I want to know which water quality guidelines you reviewed?</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was just getting to that. So the - I looked at the guidelines in the Western Fertilizer Handbook. I looked in Ayres and Wescott. In fact I guess the easiest way to summarize this is to say that I looked at the guidelines that all of the other authors used.</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I want to know sir when you say most classification systems for which we can read most water quality guidelines systems, I just want to know which ones you considered in reaching that opinion?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You've given me Western Fertilizer Handbook. You've given me Ayres and Wescott.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Uh - humm.</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What others?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I had the Alberta Guidelines, Water Quality Guidelines.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What others?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think that most of the things that other people refer to are simply variations on that theme but the way that those get expanded is that because you have the initial SAR was one test which was applied to a guide table and then it was approved and modified in development of a new adjusted SAR for example, so then we applied that as a test and then we look at the old adjusted SAR value which was calculated and then a modification was made to that to adjust it by a factor of .5 to give us another test so while many of these different numbers are applied to the same table, they are all presumably refinements of different tests that give you slightly different and presumable improved or at least different. I shouldn't use the word improved. A slightly different perspectives on the problems.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My notes sire is that by most water quality guidelines you were referring to the Western Fertilizer Handbook, Ayres and Wescott and the Alberta Water Quality Guidelines. Any others?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we have - let's see. We have Drought Tip 92-32 which is a variation on the Ayres and Wescott or it's just a derivative of the Ayres and Wescott -</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Just pause there for a moment. And that is Appendix 4 -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Right.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your report, right?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Right.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Any others?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Those are all that I can recall now and as I said the thing that gave depth to that was that these SAR's had been calculated in a number of different ways and most of them showed the same general - gave the same general guidance with regard to the quality of the water so we had the value of a couple of different tables and several different approaches to calculating a number to interpret - different ways of generating a number that could be interpreted with regard to these set tables.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you can think of no other guidelines that you would include in the most, that is described in paragraph 1 on page 3 of your report at this time?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Did I mention Handbook 60?</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you didn't sir.</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Oh, I would like to mention that.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 would like to?</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Any others?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I think I'll leave it at that. That's all I can recall right at the moment.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Perhaps the most striking observation about this evidence is Dr. Chapman's inability to respond directly and concisely to a question which in essence asked him to give details of the factual basis for his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Of more significance, however, was the fact that although SAR readings over 9 were considered "hazardous" or "severe" under some systems and "medium" under the USDA Handbook 60 guidelines this was the case without adding the complicating factor of bicarbonate levels over three times higher than the maximum level.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When confronted with the Ayres and Wescott calculations of adjusted SAR he performed the calculation arriving at a value of 12.41, which was the figure calculated by Mr. Keyes. At this point Dr. Chapman explained that in deriving his different value he had used a "standard scientific precedent" not the method mandated by the Ayres and Wescott paper. His "standard scientific precedent" was not documented, however, in any authoritative text to which he could refer.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I do not intend to go on in meticulous detail analyzing the defects in Dr. Chapman's report and his 223 pages of evidence at this trial. One of the key assertions of Dr. Chapman's report was his suggestion that the problems encountered on the Rocky Point Ranch, arose from the change in management practices when control of the ranch passed from the Gundersons to the Wiebes.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This "theme" emerges in the opening paragraphs of Dr. Chapman's report in his "Executive Summary" on p. 3 of Exhibit 43.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Executive Summary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By the second year of farming the Rocky Point Ranch, Mr. Wiebe ploughed down an alfalfa field and replanted to barley, capped a well used to supply irrigation water for several years and developed a source of water from the nearby Fraser River. </w:t>
      </w:r>
      <w:r>
        <w:rPr>
          <w:rFonts w:ascii="arial" w:eastAsia="arial" w:hAnsi="arial" w:cs="arial"/>
          <w:color w:val="000000"/>
          <w:sz w:val="20"/>
          <w:u w:val="single"/>
          <w:lang w:val="en-US" w:eastAsia="en-US" w:bidi="ar-SA"/>
        </w:rPr>
        <w:t>The last two of these actions are serious management decisions. In the time frame that it normally takes to understand the unique qualities of any farm property, Mr. Wiebe had owned the ranch for a very short time</w:t>
      </w:r>
      <w:r>
        <w:rPr>
          <w:rFonts w:ascii="arial" w:eastAsia="arial" w:hAnsi="arial" w:cs="arial"/>
          <w:color w:val="000000"/>
          <w:sz w:val="20"/>
          <w:lang w:val="en-US" w:eastAsia="en-US" w:bidi="ar-SA"/>
        </w:rPr>
        <w:t>. This report attempts to reconstruct conditions on the Wiebe property at the time these changes were implemented, particularly in light of speculations that other authors have made about those conditions.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There can always be disastrous years with any crop, for any number of reasons related to chance events. There is now very little hope of ascertaining if something like that happened on the Rocky Point Ranch, in 1994 and/or 1995. With the comments and reports of various experts and advisers, Mr. Wiebe seems to have come to the conclusion that well water on his property was seriously damaging the soil. Many potential "problems" with the well water have been suggested</w:t>
      </w:r>
      <w:r>
        <w:rPr>
          <w:rFonts w:ascii="arial" w:eastAsia="arial" w:hAnsi="arial" w:cs="arial"/>
          <w:color w:val="000000"/>
          <w:sz w:val="20"/>
          <w:lang w:val="en-US" w:eastAsia="en-US" w:bidi="ar-SA"/>
        </w:rPr>
        <w:t>, including that it was saline, had high boron content, had high sodium content, high carbonate content and that it made the soils on Rocky Point Ranch hard and unsuitable for crop growth.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Unfortunately, the trail of records is haphazard, with poor documentation of methods and sampling locations. Sampling was not done in a manner that would systematically isolate the problem on the ranch, but rather, things like fertility analyses were extended beyond their limits of usefulness to try to infer what was happening on the property</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Dr. Chapman thus introduces his report by suggesting that questionable management decisions were made by the Wiebes on the basis of incomplete and haphazard information which was poorly documented rendering scientific review difficult.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Having introduced these suggestions Dr. Chapman follows through in the body of his report with an analysis that uses speculation rather than scientific analysis and formed many of his opinions on false or incomplete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One example of this is found at pps. 6 and 14 of the report. After setting out on p. 6 under Background:</w:t>
      </w:r>
      <w:r>
        <w:rPr>
          <w:rFonts w:ascii="arial" w:eastAsia="arial" w:hAnsi="arial" w:cs="arial"/>
          <w:sz w:val="20"/>
          <w:lang w:val="en-US" w:eastAsia="en-US" w:bidi="ar-SA"/>
        </w:rPr>
        <w:cr/>
      </w:r>
    </w:p>
    <w:p>
      <w:pPr>
        <w:numPr>
          <w:numId w:val="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and Mrs. Gunderson's hydro costs for irrigation in 1993 were $3,564.26 net of GST.</w:t>
      </w:r>
    </w:p>
    <w:p>
      <w:pPr>
        <w:numPr>
          <w:numId w:val="5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Mr. and Mrs. Wiebe's hydro costs for irrigation for 1994 and 1995 were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60"/>
        <w:gridCol w:w="313"/>
        <w:gridCol w:w="836"/>
        <w:gridCol w:w="732"/>
        <w:gridCol w:w="616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0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w:t>
            </w:r>
          </w:p>
        </w:tc>
        <w:tc>
          <w:tcPr>
            <w:tcW w:w="81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1994</w:t>
            </w:r>
          </w:p>
        </w:tc>
        <w:tc>
          <w:tcPr>
            <w:tcW w:w="71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$5,630.07 [by agreement]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50"/>
        <w:gridCol w:w="523"/>
        <w:gridCol w:w="836"/>
        <w:gridCol w:w="1987"/>
        <w:gridCol w:w="596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ii)</w:t>
            </w:r>
          </w:p>
        </w:tc>
        <w:tc>
          <w:tcPr>
            <w:tcW w:w="81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1995</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$4,068.24</w:t>
            </w:r>
          </w:p>
        </w:tc>
        <w:tc>
          <w:tcPr>
            <w:tcW w:w="5837"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On p. 14, Dr. Chapman uses this information as the basis for the following conclusions: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While the historical record of what happened on the Rocky Point Ranch, patchy, there is some evidence that over time, especially after switching to river water, the soil was losing neutral salts with a concurrent rise in pH (refer to discussion on Carbonates in the Well Water' below). </w:t>
      </w:r>
      <w:r>
        <w:rPr>
          <w:rFonts w:ascii="arial" w:eastAsia="arial" w:hAnsi="arial" w:cs="arial"/>
          <w:color w:val="000000"/>
          <w:sz w:val="20"/>
          <w:u w:val="single"/>
          <w:lang w:val="en-US" w:eastAsia="en-US" w:bidi="ar-SA"/>
        </w:rPr>
        <w:t>This suggests that the reason for the precipitous rise in pH on the Rocky Point Ranch was not solely from using high sodium irrigation water, but was exacerbated by using low salinity river water and prior to that, possibly large volumes of well water. I have no documentation that Mr. Wiebe was using irrigation water at a significantly higher rate than Mr. Gunderson, other than the significant increases in power consumption that have been presented to me, which are strongly suggestive that water application rates were significantly increased in 1994 and 1995</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Leaving aside the questionable validity of an analysis comparing irrigation volumes from 1993 to 1994 and 1995 based solely on hydro costs without any attempt to analyze the weather variations over the years in question, the fact is that Dr. Chapman's information from the Gundersons is completely and unequivocally false.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In the detailed 1993 ledger mentioned by Mrs. Gunderson, a copy of which appears as Exhibit 3 Tab 37, the column reflecting Hydro Irrigation totals $5,101.97, which is the same amount reflected in the Gunderson's Statement of Farming Income and Expenses included with their 1993 tax returns. (Exhibit 3 Tab 38). This result is hardly surprising given the substantial discrepancy already noted in relation to the 1992 figures Mrs. Gunderson provided to Maurice Alexandre for use in the 1992 information sheet. (See para. 102 of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This factual discrepancy, and others like it, strike at the very foundation of the opinions expressed by Dr. Chapman in both his written report and in his oral evidence but inaccurate factual assumptions are only one of the sources of difficulty. Having advanced his thesis concerning management practices and laying the responsibility for inadequate record keeping and haphazard information at the Wiebe's feet, it is interesting to examine the type of information Dr. Chapman sought or was provided by the Gundersons and their counsel.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Cross, page 151, lines 3 to 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Now, the reason why you wanted information about the practices of the previous owner was because you wanted to determine whether there had been a soil problem evident during the Gunderson years, right?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 was one of the - one of the things, yes. I wanted to know about their practices so that I could also know if there had been a change in practices.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So what you wanted to do was to have before and after factual information, 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as a scientist I assume that factual information, data, and as much of it as possible is critical to any conclusions you're going to reach?</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It's certainly always helpful.</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It's critical, isn't it?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having enough data is critical, not having as much as possible is - is not critical.</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Okay. We'll come back to that point. But </w:t>
            </w:r>
            <w:r>
              <w:rPr>
                <w:rFonts w:ascii="arial" w:eastAsia="arial" w:hAnsi="arial" w:cs="arial"/>
                <w:color w:val="000000"/>
                <w:sz w:val="18"/>
                <w:u w:val="single"/>
                <w:lang w:val="en-US" w:eastAsia="en-US" w:bidi="ar-SA"/>
              </w:rPr>
              <w:t>you wanted factual information regarding the previous owner on irrigation practices, didn't you?</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Yes</w:t>
            </w:r>
            <w:r>
              <w:rPr>
                <w:rFonts w:ascii="arial" w:eastAsia="arial" w:hAnsi="arial" w:cs="arial"/>
                <w:color w:val="000000"/>
                <w:sz w:val="18"/>
                <w:lang w:val="en-US" w:eastAsia="en-US" w:bidi="ar-SA"/>
              </w:rPr>
              <w: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 wanted factual information regarding the previous owner on crop yield?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You wanted factual information regarding fertilizer use?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Yes</w:t>
            </w:r>
            <w:r>
              <w:rPr>
                <w:rFonts w:ascii="arial" w:eastAsia="arial" w:hAnsi="arial" w:cs="arial"/>
                <w:color w:val="000000"/>
                <w:sz w:val="18"/>
                <w:lang w:val="en-US" w:eastAsia="en-US" w:bidi="ar-SA"/>
              </w:rPr>
              <w: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only armed with this information could you come to an informed opinion as to whether there had been a change?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I'm not sure that even with that information I could have completely resolved the issue but it all would have been very helpful.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Cross, page 154, line 36 to page 155, line 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But in the context of gathering data for this hypothetical possibility, </w:t>
            </w:r>
            <w:r>
              <w:rPr>
                <w:rFonts w:ascii="arial" w:eastAsia="arial" w:hAnsi="arial" w:cs="arial"/>
                <w:color w:val="000000"/>
                <w:sz w:val="18"/>
                <w:u w:val="single"/>
                <w:lang w:val="en-US" w:eastAsia="en-US" w:bidi="ar-SA"/>
              </w:rPr>
              <w:t>what you wanted was information about hay production under the Gunderson years, 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Yes, I would have - that would have been helpful.</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And you asked for it, didn't you?</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Yes</w:t>
            </w:r>
            <w:r>
              <w:rPr>
                <w:rFonts w:ascii="arial" w:eastAsia="arial" w:hAnsi="arial" w:cs="arial"/>
                <w:color w:val="000000"/>
                <w:sz w:val="18"/>
                <w:lang w:val="en-US" w:eastAsia="en-US" w:bidi="ar-SA"/>
              </w:rPr>
              <w: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And what did you get told?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I was told something to the effect that the records of production were unreliable for that time.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Sorry? You were told the records of production were unreliable?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Yes, that the - an accurate tally wasn't kept of yields and that sort of thing.</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There are - there are two aspects to this, sir. What records were you told about? What records of production were described to you?</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I believe it was indicated to me that there were mainly just anecdotal kinds of observations about how much hay came off the property</w:t>
            </w:r>
            <w:r>
              <w:rPr>
                <w:rFonts w:ascii="arial" w:eastAsia="arial" w:hAnsi="arial" w:cs="arial"/>
                <w:color w:val="000000"/>
                <w:sz w:val="18"/>
                <w:lang w:val="en-US" w:eastAsia="en-US" w:bidi="ar-SA"/>
              </w:rPr>
              <w: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Who told you that?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I believe Mr. Czepil did</w:t>
            </w:r>
            <w:r>
              <w:rPr>
                <w:rFonts w:ascii="arial" w:eastAsia="arial" w:hAnsi="arial" w:cs="arial"/>
                <w:color w:val="000000"/>
                <w:sz w:val="18"/>
                <w:lang w:val="en-US" w:eastAsia="en-US" w:bidi="ar-SA"/>
              </w:rPr>
              <w: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Mr. Czepil told you that the only records of hay production from the Gunderson years were anecdotal?</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I don't believe he used that word but I - I believe there wasn't any kind of accurate tally of yields</w:t>
            </w:r>
            <w:r>
              <w:rPr>
                <w:rFonts w:ascii="arial" w:eastAsia="arial" w:hAnsi="arial" w:cs="arial"/>
                <w:color w:val="000000"/>
                <w:sz w:val="18"/>
                <w:lang w:val="en-US" w:eastAsia="en-US" w:bidi="ar-SA"/>
              </w:rPr>
              <w: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Did anyone else tell you, or did you have any other discussion with anyone else concerning crop production under the Gunderson years?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When you met with Mr. Gunderson did it not occur to you to ask him the question, "Tell me about your crop production because it's an important element to my opinion?"</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We may have talked about it in a general way, but I don't think we - I asked him specifically what yields he got when we were - and that was probably an oversight on my part</w:t>
            </w:r>
            <w:r>
              <w:rPr>
                <w:rFonts w:ascii="arial" w:eastAsia="arial" w:hAnsi="arial" w:cs="arial"/>
                <w:color w:val="000000"/>
                <w:sz w:val="18"/>
                <w:lang w:val="en-US" w:eastAsia="en-US" w:bidi="ar-SA"/>
              </w:rPr>
              <w: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Well it's a big oversight, isn't it? Because that was central to the opinion you were preparing to write?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Yes</w:t>
            </w:r>
            <w:r>
              <w:rPr>
                <w:rFonts w:ascii="arial" w:eastAsia="arial" w:hAnsi="arial" w:cs="arial"/>
                <w:color w:val="000000"/>
                <w:sz w:val="18"/>
                <w:lang w:val="en-US" w:eastAsia="en-US" w:bidi="ar-SA"/>
              </w:rPr>
              <w: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Cross, page 156, line 9 - 28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Whatever that might mean. You were given no information about fertilizer, were you?</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Not prior to this report being written. I was still making inquiries about what had happened even after the report had been written.</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But you didn't testify about any information that you might have received after you wrote your report, did you?</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I think anything that I got was still sufficiently vague that it couldn't be interpreted.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Or couldn't be relied 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I don't know about reliability, I just don't think there was enough information to do anything with it.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So it must have become increasingly odd to you. You were asked to express an opinion on a change in management practices, and the first two questions you ask, one about hay production, second about fertilizer, and you get no data or information, 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That's correct. Yes</w:t>
            </w:r>
            <w:r>
              <w:rPr>
                <w:rFonts w:ascii="arial" w:eastAsia="arial" w:hAnsi="arial" w:cs="arial"/>
                <w:color w:val="000000"/>
                <w:sz w:val="18"/>
                <w:lang w:val="en-US" w:eastAsia="en-US" w:bidi="ar-SA"/>
              </w:rPr>
              <w: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Cross, page 156, line 44 to page 157, line 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What did Mr. Gunderson tell you about the rates of application of irrigation water?</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Nothing. I don't know. That was the only way we discussed it, in terms of the depth to which he wetted the soil</w:t>
            </w:r>
            <w:r>
              <w:rPr>
                <w:rFonts w:ascii="arial" w:eastAsia="arial" w:hAnsi="arial" w:cs="arial"/>
                <w:color w:val="000000"/>
                <w:sz w:val="18"/>
                <w:lang w:val="en-US" w:eastAsia="en-US" w:bidi="ar-SA"/>
              </w:rPr>
              <w: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you didn't ask him anything about how frequently and how much he watered?</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It had already been indicated to me that the information was sketchy so I didn't pursue it with Mr. Gunderson.</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Sorry? Who told you the information regarding irrigation practices was sketchy?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Mr. Czepil</w:t>
            </w:r>
            <w:r>
              <w:rPr>
                <w:rFonts w:ascii="arial" w:eastAsia="arial" w:hAnsi="arial" w:cs="arial"/>
                <w:color w:val="000000"/>
                <w:sz w:val="18"/>
                <w:lang w:val="en-US" w:eastAsia="en-US" w:bidi="ar-SA"/>
              </w:rPr>
              <w: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Mr. Czepil?</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Cross, page 157, line 44 to page 158, line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you said you had no quantitative information concerning Mr. Gunderson's irrigation practices?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correct, other than these power -</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bills.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Cross, page 158, line 22 - 43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You understand that how much irrigation water is applied can vary widely from year to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It depends on the amount of rainfall?</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It depends on how hot it gets?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it depends on the snow melt? The amount of snow there is to melt?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 say nothing in your report concerning these factors that might change the cost of irrigation from one year to the next, such as weather and snow?</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right. Yes.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 didn't even consider that as an issue?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should have - I should have articulated thoughts like that in the report. They certainly would have gone through my mind as - as being a possible explanation, but I didn't include them in the report.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They went through your mind as a possible</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explanation?</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Cross, page 159, lines 1 - 15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They - I developed a hypothetical scenario that might explain the pH rises on the property, and based on known chemical reactions in the soil, and the contribution of - of the power rates to that scenario were minor. I would have presented the same scenario even if I hadn't had the power rates, as I indicate in my report. I had no way of confirming whether water application had in fact gone up, all I did was point out that these power rates were suggested that it had. The scenario would still have applied even if I had no - or could potentially have applied. Again, </w:t>
            </w:r>
            <w:r>
              <w:rPr>
                <w:rFonts w:ascii="arial" w:eastAsia="arial" w:hAnsi="arial" w:cs="arial"/>
                <w:color w:val="000000"/>
                <w:sz w:val="18"/>
                <w:u w:val="single"/>
                <w:lang w:val="en-US" w:eastAsia="en-US" w:bidi="ar-SA"/>
              </w:rPr>
              <w:t>it's a hypothetical scenario. So even if I had no data whatsoever on application rates, and I admit that I had next to no data on it, the hypothetical scenario still stands.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Cross, page 159, lines 17 - 36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858"/>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THE COURT:</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Just before you go on, Mr. McAlister, Dr. Chapman, you said a moment ago that these factors that Mr. McAlister touched on; rainfall, temperature, snow melt, et cetera, went through your mind. I don't know what that means, sir. What does that mean? You thought about them generally?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Yes. It - in - I was aware that irrigation water application from year to year, and I was not trying to make a strong case that the water application rates had in fact gone up. I was presenting this as a hypothetical scenario and I - and I regret that I didn't discuss more issues in - in regard to it like - like those.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858"/>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COURT:</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I'm sorry. You've misapprehended my question. I'm trying to find out what you did. </w:t>
            </w:r>
            <w:r>
              <w:rPr>
                <w:rFonts w:ascii="arial" w:eastAsia="arial" w:hAnsi="arial" w:cs="arial"/>
                <w:color w:val="000000"/>
                <w:sz w:val="18"/>
                <w:u w:val="single"/>
                <w:lang w:val="en-US" w:eastAsia="en-US" w:bidi="ar-SA"/>
              </w:rPr>
              <w:t>Did you take any - you can obtain monthly, yearly records from the weather office that cover temperature ranges, rainfall, snowfall, et cetera. Did you gather any of that information at all in this thought process?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No I did not</w:t>
            </w:r>
            <w:r>
              <w:rPr>
                <w:rFonts w:ascii="arial" w:eastAsia="arial" w:hAnsi="arial" w:cs="arial"/>
                <w:color w:val="000000"/>
                <w:sz w:val="18"/>
                <w:lang w:val="en-US" w:eastAsia="en-US" w:bidi="ar-SA"/>
              </w:rPr>
              <w: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Cross, page 160, line 18 - 45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Let's look at what data you had in relation to the change in management practices concerning irrigation, okay? </w:t>
            </w:r>
            <w:r>
              <w:rPr>
                <w:rFonts w:ascii="arial" w:eastAsia="arial" w:hAnsi="arial" w:cs="arial"/>
                <w:color w:val="000000"/>
                <w:sz w:val="18"/>
                <w:u w:val="single"/>
                <w:lang w:val="en-US" w:eastAsia="en-US" w:bidi="ar-SA"/>
              </w:rPr>
              <w:t>We've established you had no data relating to weather conditions, 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Right</w:t>
            </w:r>
            <w:r>
              <w:rPr>
                <w:rFonts w:ascii="arial" w:eastAsia="arial" w:hAnsi="arial" w:cs="arial"/>
                <w:color w:val="000000"/>
                <w:sz w:val="18"/>
                <w:lang w:val="en-US" w:eastAsia="en-US" w:bidi="ar-SA"/>
              </w:rPr>
              <w: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You had one year of data relating to the Gundersons hydro bill for 1993?</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You had two years of irrigation costs for the Wiebes for 1994 and 1995, 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It - it's kind of odd that we - we've got a comparison of one year of Gunderson to two years of Wiebe. </w:t>
            </w:r>
            <w:r>
              <w:rPr>
                <w:rFonts w:ascii="arial" w:eastAsia="arial" w:hAnsi="arial" w:cs="arial"/>
                <w:color w:val="000000"/>
                <w:sz w:val="18"/>
                <w:u w:val="single"/>
                <w:lang w:val="en-US" w:eastAsia="en-US" w:bidi="ar-SA"/>
              </w:rPr>
              <w:t>Did you not ask for more information on the Gundersons hydro costs?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I did not</w:t>
            </w:r>
            <w:r>
              <w:rPr>
                <w:rFonts w:ascii="arial" w:eastAsia="arial" w:hAnsi="arial" w:cs="arial"/>
                <w:color w:val="000000"/>
                <w:sz w:val="18"/>
                <w:lang w:val="en-US" w:eastAsia="en-US" w:bidi="ar-SA"/>
              </w:rPr>
              <w: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You didn't?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No.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You didn't think it was necessary to at least compare two years to two years?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I had presumed that I had been given what was available.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Well did you ask the question, sir?</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No.</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 again is very unscientific, isn't it?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don't know if unscientific is the correct word, but it was certainly not a good way to proceed. I should have asked.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These lengthy extracts make it abundantly clear that Dr. Chapman was prepared to express and did express opinions that go to the heart of the issues in this trial without any form of adequate information base to found his opinions. What is even more disconcerting is that it is certain, contrary to what he was told, that much of that information was in fact available in the ledgers, financial records or diaries kept by Mrs. Gunderson. Despite the availability of at least some of this information Dr. Chapman was not provided with it or did not seek it before formulating and expressing his opinions.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A similar difficulty emerges with respect to tests Dr. Chapman felt were material to the opinions he was asked to express.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Cross, page 175, lines 8 to 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858"/>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COURT:</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Dr. Chapman, if I may join you to some extent in your confusion and mine, I seem to be hearing you give in answer to Mr. McAlister's questions a whole series of reasons why it wasn't necessary to do the infiltrometer tests, you proposed, and what puzzles me about that and what confuses me is why did you recommend them in the first place in a letter which starts essentially 'This is the work I believe would be necessary?'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Actually there - there is a little comment in my letter further down that - it highlights that and that was - a properly done infiltration test would have been one way to respond to one that had been done improperly, and that was I guess the initial motivation for doing the infiltration test.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858"/>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COURT:</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the paragraph on page 2 that ends with the sentence: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800"/>
        <w:rPr>
          <w:rFonts w:ascii="arial" w:eastAsia="arial" w:hAnsi="arial" w:cs="arial"/>
          <w:sz w:val="20"/>
          <w:lang w:val="en-US" w:eastAsia="en-US" w:bidi="ar-SA"/>
        </w:rPr>
      </w:pPr>
      <w:r>
        <w:rPr>
          <w:rFonts w:ascii="arial" w:eastAsia="arial" w:hAnsi="arial" w:cs="arial"/>
          <w:color w:val="000000"/>
          <w:sz w:val="20"/>
          <w:lang w:val="en-US" w:eastAsia="en-US" w:bidi="ar-SA"/>
        </w:rPr>
        <w:t>"We could either argue that point or answer it with our own data."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I could argue that two or three infiltration tests do not constitute a statistically significant test, or I propose that we could go and get our own data to compare to what had been generated already.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Cross, page 178, lines 30 to 40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what we know is that you did no infiltration tests ever?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Correct.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 did no permeability tests ever?</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Correct.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 did no drainage tests ever?</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yet that did not stop you from expressing an opinion on the infiltration, permeability, and drainage qualities of the soil, did it?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Perhaps the most difficult part of Dr. Chapman's evidence was his attempt in both his report and his viva voce evidence to describe the soils on the Rocky Point Ranch as being in their "natural state" as "loose single grained and structureless."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After being taken at length through a comparison of his report and the Quesnel Soil Survey (Exhibit 28) he eventually reversed his entire position and acknowledged that in its natural state the soils on the ranch had structure and that it had been lost.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Cross, page 202, line 26 to page 203, line 26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But sir, you really acknowledged this morning that a significant aspect of the conclusion you reached regarding structural damage was that the soil had no structure because it was single grained and therefore couldn't be damaged. You've acknowledged that.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I acknowledged that, and I also indicated that I wished I'd thought a little more before agreeing to that statement because I had forgotten that the two horizons below the surface were - had structure, so -</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you didn't agree to it in response to my questions, you volunteered it in response to Mr. Czepil's questions. You described the soil on the Rocky Point Ranch as being single grained and structureless?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that's correct. That's what we observed when we were out there, yes.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that's the only observation you made of structure?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you now accept that in their natural state, the soils on the Rocky Point Ranch had structure?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What you say is that when you looked at the soils on March 30 of 2001, you observed that they had no structure and were single grained?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On your analysis, they must have lost their structure?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In an all too familiar and repeating refrain in the evidence of Dr. Chapman, counsel then took him to a passage on p. 8 of his report where he quotes part of a letter from R. Kline, P. Ag. dated February 12, 1985. In the passage quoted Mr. Kline referred to the "single grained structure of the soil." Dr. Chapman agreed that he included this quotation because it supported in his mind his own conclusion that the soil on the Rocky Point Ranch was weak, single grained and structureless.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Regrettably from Dr. Chapman's perspective he misread the report as somehow referring to the soils on the Rocky Point Ranch when it did not. The property referred to in Mr. Kline's letter was being considered for a possible conifer seed orchard and was located a considerable distance from the Rocky Point Ranch.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Dr. Chapman during the course of his cross-examination denied that he, in his written report, attributed the problems with the soil to management decisions made by the Wiebes.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Cross, page 153, line 35 to 44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why don't we just focus on the conclusions you received - you reached in your report. One of the main thrusts of the opinion expressed in your report was that there's no problem concerning the soil which was caused by the irrigation water but it was all management practices, right? That's the thrust of your report?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Absolutely not.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that's the significant thrust of it, isn't it?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hope not. I didn't intend it to be.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Cross, page 154, line 24 to 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Dr. Chapman, one of the thrusts of your report is that the problems encountered by Mr. Wiebe were caused by change in management practices. Will you allow me at least that?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If you would say it in the form that it was - I was allowing that it was possible that a change in management practices had contributed to the problems, I would allow that.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So that - that is your opinion. That is only possible that a change in management practices caused the problem?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This evidence has moved pretty far afield from the defendants' opening which in describing Dr. Chapman's evidence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likely explanation for the crop problems experienced by the Wiebes, we expect him to suggest, is poor management decisions by Mr. Wiebe including, but no limited to, irrigation and fertilizer practices.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When pressed further Dr. Chapman conceded that discussion of the management practices were merely hypothetical.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Cross, page 164, line 41 to page 166, line 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you also understood, sir, before you went to the ranch on March 30th of 2001, that your clients' interest, or Mr. Czepil's clients' interests would be better served if you found no structural damage in the soil, didn't you?</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 I suppose that I - I knew that but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 also knew that if the cause of the problems could be attributed to management practices that would advance your clients' - Mr. Czepil's clients' position, didn't you?</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I think at that point that I had already concluded that it was unlikely that we would be able to attribute these problems to changes in management practices but - but yes, if things could have been attributed to management practices, that would have probably served Mr. Czepil's client.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Maybe I just read your report wrong but as I went through it time and time and time again, it occurred to me that you were indeed in your report attributing the problems to management practices, 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I didn't intend to do that with my report.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just so we're entirely clear, if inadvertently you slipped something into your report that attributed the problem to management practices, it shouldn't have been there?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As far as I can recall, every time that I was attributing the - the - the changes on the property to management practices, it was in a hypothetical sense, a kind of which scenario is more likely, but not able to resolve absolutely what happened.</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 understand the concept of balance of probabilities? In fact you used it a little bit earlier yourself?</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 understand that evidence from an expert or anyone else that doesn't meet the test of a balance of probabilities is useless?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why did you occupy so much time and space in your report talking about hypotheses?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Because I thought it was important to demonstrate that there was not just one possible explanation for what went wrong on the subject property.</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what you're talking about in terms of the one possible explanation is that irrigation well water caused damage to the soil, 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so everything that you've suggested about other causes was purely hypothetical?</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I'm not sure what purely hypothetical means. There were bits and pieces of evidence and good theory to support some of the ideas but certainly I don't believe any of them could be proved, so in that sense I would say that they were hypothetical.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When you went to the ranch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858"/>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COURT:</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Just a moment please, Mr. McAlister. I want to be sure I got that answer down correctly, Dr. Chapman. What I heard you say is there are certainly other possibilities and there is a good theory to support them, but I don't believe anything can be proven in connection with them. Now, did I understand you correctly?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My Lord.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There are other examples within the body of evidence presented by Dr. Chapman. It is sufficient, however, to note that some of the factual matters on which he relies are in error, material information related to the opinions he expressed were not provided to him, he failed in many cases to make any reasonable inquiry as to material information and he failed to do tests he himself identified as being important to the opinions he expressed.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This is a case where the factual underpinnings of the opinions expressed by Dr. Chapman are absent, incorrect, or so suspect as to render the opinions themselves of little weight. I prefer the evidence of Mr. Keyes where it is in conflict with that expressed by Dr. Chapman.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In the atmosphere of technical evidence which occupied some eight days of trial and a substantial portion of the submissions in this case, it is easy to forget that this is an action founded in allegations of fraud and deceit.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The classic statement of the elements of deceit is found in the speech of Lord Herschell in Derry v. Peek (1889), 14 App. Cas. 337 at p. 374: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think the authorities establish the following propositions: First, in order to sustain an action of deceit, there must be proof of fraud, and nothing short of that will suffice. Secondly, fraud is proved when it is shewn that a false representation has been made (1) knowingly, or (2) without belief in its truth, or (3) recklessly, careless whether it be true or false. Although I have treated the second and third as distinct cases, I think the third is but an instance of the second, for one who makes a statement under such circumstances can have no real belief in the truth of what he states. To prevent a false statement being fraudulent, there must, I think, always be an honest belief in its truth. And this probably covers the whole ground, for one who knowingly alleges that which is false, has obviously no such honest belief. Thirdly, if fraud be proved, the motive of the person guilty of it is immaterial. It matters not that there was no intention to cheat or injure the person to whom the statement was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xml:space="preserve">  Once the false representation of a material fact has been established by inference of law the evidentiary burden shifts. This proposition is found in Parallels Restaurant Ltd. v. Yeung's Enterprises Ltd. </w:t>
      </w:r>
      <w:hyperlink r:id="rId410" w:history="1">
        <w:r>
          <w:rPr>
            <w:rFonts w:ascii="arial" w:eastAsia="arial" w:hAnsi="arial" w:cs="arial"/>
            <w:i/>
            <w:color w:val="0077CC"/>
            <w:sz w:val="20"/>
            <w:u w:val="single"/>
            <w:shd w:val="clear" w:color="auto" w:fill="FFFFFF"/>
            <w:lang w:val="en-US" w:eastAsia="en-US" w:bidi="ar-SA"/>
          </w:rPr>
          <w:t>(1990), 4 C.C.L.T. (2d) 59</w:t>
        </w:r>
      </w:hyperlink>
      <w:r>
        <w:rPr>
          <w:rFonts w:ascii="arial" w:eastAsia="arial" w:hAnsi="arial" w:cs="arial"/>
          <w:color w:val="000000"/>
          <w:sz w:val="20"/>
          <w:lang w:val="en-US" w:eastAsia="en-US" w:bidi="ar-SA"/>
        </w:rPr>
        <w:t xml:space="preserve"> where Anderson, J.A. writing for an unanimous court put the proposition this way: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my opinion, once the plaintiff has proved a false representation of a material fact, </w:t>
      </w:r>
      <w:r>
        <w:rPr>
          <w:rFonts w:ascii="arial" w:eastAsia="arial" w:hAnsi="arial" w:cs="arial"/>
          <w:color w:val="000000"/>
          <w:sz w:val="20"/>
          <w:u w:val="single"/>
          <w:lang w:val="en-US" w:eastAsia="en-US" w:bidi="ar-SA"/>
        </w:rPr>
        <w:t>the evidentiary burden shifts to the defendant to clearly show that the plaintiff was not induced by the false representation</w:t>
      </w:r>
      <w:r>
        <w:rPr>
          <w:rFonts w:ascii="arial" w:eastAsia="arial" w:hAnsi="arial" w:cs="arial"/>
          <w:color w:val="000000"/>
          <w:sz w:val="20"/>
          <w:lang w:val="en-US" w:eastAsia="en-US" w:bidi="ar-SA"/>
        </w:rPr>
        <w:t>. See the judgment of Jessel, M.R. in Redgrave v. Hurd (1881), 20 Ch.D. 1 (C.A.) at 21-22 reading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Then that being so the learned Judge came to the conclusion either that the Defendant did not rely on the statement, or that if he did rely upon it he had shewn such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 to deprive him of his title to relief from this Court. As I have already said, the latter proposition is in my opinion not founded in law, and the former part is not founded in fact; I think also it is not founded in law, for when a person makes a material representation to another to induce him to enter into a contract, and the other enters into that contract, it is not sufficient to say that the party to whom the representation is made does not prove that he entered into the contract, relying upon the representation. </w:t>
      </w:r>
      <w:r>
        <w:rPr>
          <w:rFonts w:ascii="arial" w:eastAsia="arial" w:hAnsi="arial" w:cs="arial"/>
          <w:color w:val="000000"/>
          <w:sz w:val="20"/>
          <w:u w:val="single"/>
          <w:lang w:val="en-US" w:eastAsia="en-US" w:bidi="ar-SA"/>
        </w:rPr>
        <w:t>If it is a material representation calculated to induce him to enter into the contract, it is an inference of law that he was induced by the representation to enter into it, and in order to take away his title to be relieved from the contract on the ground that the representation was untrue, it must be shewn either that he had knowledge of the facts contrary to the representation, or that stated in terms, or shewed clearly by his conduct that he did not rely on the representation. If you tell a man, "You may enter into partnership with me, my business is bringing in between 300 and 400 a year," the man who makes that representation must know that it is a material inducement to the other to enter into the partnership, and you cannot investigate as to whether it was more or less probable that the inducement would operate on the mind of the party to whom the representation was made. Where you have neither evidence that he knew facts to shew that the statement was untrue, or that he said or did anything to shew that he did not actually rely upon the statement, the inference remains that he did so rely, and the statement being a material statement, its being untrue is a sufficient ground for rescinding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xml:space="preserve">  In Kripps v. Touche Ross &amp; Co. </w:t>
      </w:r>
      <w:hyperlink r:id="rId411" w:history="1">
        <w:r>
          <w:rPr>
            <w:rFonts w:ascii="arial" w:eastAsia="arial" w:hAnsi="arial" w:cs="arial"/>
            <w:i/>
            <w:color w:val="0077CC"/>
            <w:sz w:val="20"/>
            <w:u w:val="single"/>
            <w:shd w:val="clear" w:color="auto" w:fill="FFFFFF"/>
            <w:lang w:val="en-US" w:eastAsia="en-US" w:bidi="ar-SA"/>
          </w:rPr>
          <w:t>(1997), 33 B.C.L.R. (3d) 254</w:t>
        </w:r>
      </w:hyperlink>
      <w:r>
        <w:rPr>
          <w:rFonts w:ascii="arial" w:eastAsia="arial" w:hAnsi="arial" w:cs="arial"/>
          <w:color w:val="000000"/>
          <w:sz w:val="20"/>
          <w:lang w:val="en-US" w:eastAsia="en-US" w:bidi="ar-SA"/>
        </w:rPr>
        <w:t xml:space="preserve"> Finch, J.A. considered the decision in Parallels Restaurant, supra before concluding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6"/>
        <w:gridCol w:w="313"/>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102</w:t>
            </w:r>
          </w:p>
        </w:tc>
        <w:tc>
          <w:tcPr>
            <w:tcW w:w="307"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The distinction between cases of negligent and fraudulent misrepresentation is that proof of a dishonest or fraudulent frame of mind on the defendant's part is required in actions of deceit. That, too, is an issue of fact and one which may also, of necessity, fall to be resolved by way of reference</w:t>
            </w:r>
            <w:r>
              <w:rPr>
                <w:rFonts w:ascii="arial" w:eastAsia="arial" w:hAnsi="arial" w:cs="arial"/>
                <w:color w:val="000000"/>
                <w:sz w:val="18"/>
                <w:lang w:val="en-US" w:eastAsia="en-US" w:bidi="ar-SA"/>
              </w:rPr>
              <w:t xml:space="preserve">. There is, however, nothing in that which touches on the issue of the plaintiff's reliance. </w:t>
            </w:r>
            <w:r>
              <w:rPr>
                <w:rFonts w:ascii="arial" w:eastAsia="arial" w:hAnsi="arial" w:cs="arial"/>
                <w:color w:val="000000"/>
                <w:sz w:val="18"/>
                <w:u w:val="single"/>
                <w:lang w:val="en-US" w:eastAsia="en-US" w:bidi="ar-SA"/>
              </w:rPr>
              <w:t>I can see no reason why the burden of proving reliance by the plaintiff, and the drawing of inferences with respect to the plaintiff's state of mind, should be any different in cases of negligent misrepresentation than it is in cases of fraud</w:t>
            </w:r>
            <w:r>
              <w:rPr>
                <w:rFonts w:ascii="arial" w:eastAsia="arial" w:hAnsi="arial" w:cs="arial"/>
                <w:color w:val="000000"/>
                <w:sz w:val="18"/>
                <w:lang w:val="en-US" w:eastAsia="en-US" w:bidi="ar-SA"/>
              </w:rPr>
              <w: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103</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It is sufficient, therefore, for the plaintiff in an action for negligent misrepresentation to prove that the misrepresentation was at least one factor which induced the plaintiff to act to his or her detriment. </w:t>
            </w:r>
            <w:r>
              <w:rPr>
                <w:rFonts w:ascii="arial" w:eastAsia="arial" w:hAnsi="arial" w:cs="arial"/>
                <w:color w:val="000000"/>
                <w:sz w:val="18"/>
                <w:u w:val="single"/>
                <w:lang w:val="en-US" w:eastAsia="en-US" w:bidi="ar-SA"/>
              </w:rPr>
              <w:t>I am also of the view that where the misrepresentation in question is one which was calculated or which would naturally tend to induce the plaintiff to act upon it, the plaintiff's reliance may be inferred. The inference of reliance is one which may be rebutted but the onus of doing so rests on the representor</w:t>
            </w:r>
            <w:r>
              <w:rPr>
                <w:rFonts w:ascii="arial" w:eastAsia="arial" w:hAnsi="arial" w:cs="arial"/>
                <w:color w:val="000000"/>
                <w:sz w:val="18"/>
                <w:lang w:val="en-US" w:eastAsia="en-US" w:bidi="ar-SA"/>
              </w:rPr>
              <w: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The defendants in their written submissions put the liability issue from their perspective in these words: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One essential element of the tort of deceit is proof by the plaintiff that the defendant intended that the representation be acted upon. Not only is there no evidence of that intention here, the evidence is conclusive that the Defendants intended that the Plaintiffs not act upon the "Representations" (as defined in Plaintiffs' Argument). Accordingly, the Plaintiffs' case fails entirely on this ground alone.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action also fails because the Plaintiffs have not proved material and (sic) inducement, which are also essential elements of the tort.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The defendants cite in their written submissions the four main elements of the action from Salmond and Houston on the Law of Torts, 20th edition at p. 382:</w:t>
      </w:r>
      <w:r>
        <w:rPr>
          <w:rFonts w:ascii="arial" w:eastAsia="arial" w:hAnsi="arial" w:cs="arial"/>
          <w:sz w:val="20"/>
          <w:lang w:val="en-US" w:eastAsia="en-US" w:bidi="ar-SA"/>
        </w:rPr>
        <w:cr/>
      </w:r>
    </w:p>
    <w:p>
      <w:pPr>
        <w:numPr>
          <w:numId w:val="5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must be a false representation of fact.</w:t>
      </w:r>
    </w:p>
    <w:p>
      <w:pPr>
        <w:numPr>
          <w:numId w:val="6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representation must be made with knowledge of its falsity.</w:t>
      </w:r>
    </w:p>
    <w:p>
      <w:pPr>
        <w:numPr>
          <w:numId w:val="6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It must be made with the intention that it should be acted on by the plaintiff, or by a class of persons which include the plaintiff, in the manner which resulted in damage to him.</w:t>
      </w:r>
    </w:p>
    <w:p>
      <w:pPr>
        <w:numPr>
          <w:numId w:val="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must be proved that the plaintiff has acted upon the false statement, and has sustained damage by so doing.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The primary submission advanced by the defendants focuses on the third of the elements identified by Salmond. Once again I will set out the passage from the defendants' written argument.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therefore beyond dispute that the Plaintiffs here must prove that the Defendants intended that the Plaintiffs should act upon the Representations in purchasing the Ranch. All the evidence is consistent and to the contrary, including the evidence of Barbara Leonard and Maurice Alexandre (the latter called by the Plaintiffs), as well as the Defendants themselves. Here is the relevant evidence of Alexandre on cross-examination, referring to the time period between the two interim agreements, when the "Collapse Agreement" was signed:</w:t>
      </w:r>
    </w:p>
    <w:p>
      <w:pPr>
        <w:numPr>
          <w:numId w:val="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You told the Gundersons that the Information Sheet was no longer valid?</w:t>
      </w:r>
    </w:p>
    <w:p>
      <w:pPr>
        <w:numPr>
          <w:numId w:val="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Nothing valid.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I told them, "You sign this sheet, it's void; you're released from everything."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numPr>
          <w:numId w:val="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You did tell them [the Gundersons] the Information Sheet was void?</w:t>
      </w:r>
    </w:p>
    <w:p>
      <w:pPr>
        <w:numPr>
          <w:numId w:val="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Everything was void; the deal collapsed.</w:t>
      </w:r>
    </w:p>
    <w:p>
      <w:pPr>
        <w:spacing w:before="120" w:line="260" w:lineRule="atLeast"/>
        <w:ind w:left="1800"/>
        <w:rPr>
          <w:rFonts w:ascii="arial" w:eastAsia="arial" w:hAnsi="arial" w:cs="arial"/>
          <w:sz w:val="20"/>
          <w:lang w:val="en-US" w:eastAsia="en-US" w:bidi="ar-SA"/>
        </w:rPr>
      </w:pPr>
      <w:r>
        <w:rPr>
          <w:rFonts w:ascii="arial" w:eastAsia="arial" w:hAnsi="arial" w:cs="arial"/>
          <w:color w:val="000000"/>
          <w:sz w:val="20"/>
          <w:lang w:val="en-US" w:eastAsia="en-US" w:bidi="ar-SA"/>
        </w:rPr>
        <w:t>(counsel's contemporaneous notes)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The defendants' written submissions continue at the bottom of p. 4 with the following propositions: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However, the above unimpeachable authorities make it clear that it is an essential element of civil fraud that the plaintiff prove the defendant intended that the plaintiff act on the representation. Another way the authorities commonly express this point is to say that the defendant/representor intended that the plaintiff/representee be induced into entering the contract. The learned authors of Actionable Misrepresentation put it this way: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There must clearly be a purpose on the part of the representor to induce the particular representee, or a class of which he forms one, to act upon the representation as well as the fact that he did act upon it. The representor must have at least had this person, or class of persons in his mind and must have foreseen the probability of his, or their being induced, in order to render him liable. (at p. 136)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Not only is there no evidence to support this essential element, the evidence is all to the contrary: neither of the Gundersons intended that the Wiebes rely on the Representations. The second interim agreement was signed and later completed on the basis that the Wiebes could no longer rely on any preceding representations. Whether as a matter of contract law the exclusionary language of the "Collapse Agreement" would be effective against the Wiebes is irrelevant when addressing the essential element of the Gundersons' state of mind. They honestly believed that the Wiebes could not rely on the Information Sheet, and this was a reasonable belief in the circumstances. Barbara Leonard told Mr. Wiebe this was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Once again I find it necessary to say that these submissions are founded on an approach which seeks to narrow and isolate the evidence and then dismiss the rest of the evidence in broad, and inaccurate, generalizations. Counsel's statement that "Not only is there no evidence to support this essential element, the evidence is all to the contrary . . ."completely misstates the evidence at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The court is bound, in my view at least, to examine the whole of the evidence and to reach conclusions after careful consideration of the whole of the evidence. To examine pieces of evidence isolated from the rest of the evidence and the matrix of facts of which they are one part invites error of the most dangerous kind.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The matrix of facts revealed in the evidence at this trial is far more than single isolated fragments of conversation taken from a meeting between the Gundersons and Maurice Alexandre on January 17, 1994.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The evidence reveals and supports the following findings of fact:</w:t>
      </w:r>
      <w:r>
        <w:rPr>
          <w:rFonts w:ascii="arial" w:eastAsia="arial" w:hAnsi="arial" w:cs="arial"/>
          <w:sz w:val="20"/>
          <w:lang w:val="en-US" w:eastAsia="en-US" w:bidi="ar-SA"/>
        </w:rPr>
        <w:cr/>
      </w:r>
    </w:p>
    <w:p>
      <w:pPr>
        <w:numPr>
          <w:numId w:val="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Gundersons had purchased and resold a number of ranch properties over the years, amassing a significant amount of capital through the process.</w:t>
      </w:r>
    </w:p>
    <w:p>
      <w:pPr>
        <w:numPr>
          <w:numId w:val="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Gundersons were knowledgeable of the process of selling ranches and the type of information which made them marketable.</w:t>
      </w:r>
    </w:p>
    <w:p>
      <w:pPr>
        <w:numPr>
          <w:numId w:val="6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October of 1990 the Gundersons pulled their listing from one real estate agent and gave it to Maurice Alexandre. In the course of taking information from them he was told amongst other things that the irrigated property will ". . . produce about 5 tons per acre . . ." and that "Deep well tested for 5000 gal per min system uses 2100 G.P.M. in 12", 10" and 6" lines . . ." This information was reflected in information sheets used to market the property.</w:t>
      </w:r>
    </w:p>
    <w:p>
      <w:pPr>
        <w:numPr>
          <w:numId w:val="6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1991, contrary to Mr. Gunderson's evidence, he met with Len Monical, a realtor form 108 Mile House and although he refused to list the Rocky Point Ranch with him, he agreed to pay him a commission if he found a purchaser.</w:t>
      </w:r>
    </w:p>
    <w:p>
      <w:pPr>
        <w:numPr>
          <w:numId w:val="6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his dealings with Len Monical Gunderson provided to him information about the ranch for the express purpose of passing that information on to prospective purchasers. Central to that information and to the ads for the ranch Monical placed in issues of British Columbia Reports was "5000 gal. per min. deep well. 3 crop area averages 5T/per acre."</w:t>
      </w:r>
    </w:p>
    <w:p>
      <w:pPr>
        <w:numPr>
          <w:numId w:val="7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1993 as the Gundersons continued to try and market the ranch Mrs. Gunderson typed and delivered her own information sheet on the property to a prospective purchaser, Norm Cryor. Under the heading Irrigation Water Mrs. Gunderson wrote (Exhibit 5 Tab 164):</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The main source of irrigation water is from a 12 inch well 423 ft. deep . . . This well was recently tested for water quality and volume. The test proved satisfactory.</w:t>
      </w:r>
    </w:p>
    <w:p>
      <w:pPr>
        <w:numPr>
          <w:numId w:val="7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time this information sheet was typed no "recent test" had been conducted. The most recent test had been done for West Fraser Mills Ltd. in 1982 (Exhibit 5 Tab 156), and had found a stable volume of 1200 G.P.M. not 5000 G.P.M.</w:t>
      </w:r>
    </w:p>
    <w:p>
      <w:pPr>
        <w:numPr>
          <w:numId w:val="7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Shortly after they purchased the property in 1986 the Gundersons had tests done on both wells on the Rocky Point Ranch. The test reports were within the Gunderson's file and revealed the existence of significant sodium (6.0900) in the irrigation well and a highly elevated SAR (9.190). The test they had warned of an "appreciable sodium hazard".</w:t>
      </w:r>
    </w:p>
    <w:p>
      <w:pPr>
        <w:numPr>
          <w:numId w:val="7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Gundersons knew that information given to the realtors was provided for the express purpose of it being made available to prospective purchasers.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It is within this overall context that the events of January 17, 1994 must be considered. The evidence about the meeting between the Gundersons did not come simply from the Gundersons and it did not consist solely of the two fragments taken from counsel's contemporaneous notes. Mr. Alexandre in the course of his evidence also testified that he was of the view that the acreage under pivot mistake was an honest mistake by the Gundersons and that after the first deal collapsed he had no reason to doubt the truth of the other information in his information sheet. The evidence from his examination for discovery adopted by him as true at this trial included the following: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33"/>
        <w:gridCol w:w="309"/>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385</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Did you have any question in your mind, after this deal collapsed, as to whether the information contained in the information sheet was true or false?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still believed it to be true.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33"/>
        <w:gridCol w:w="309"/>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386</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gather you believed it to be true because the information had come from Mr. and Mrs. Gunderson?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387 Q</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you had no reason to doubt its truth?</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This evidence and other portions of Mr. Alexandre's evidence are completely at odds with Mr. Gunderson's sworn testimony quoted earlier that he on January 17, 1994 told Alexandre that all the information in his information sheet was false and should not be used to sell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It also stands in stark contrast to Mr. Gunderson's evidence about the meeting and his view of whose responsibility the corrections of those errors were. This evidence is quoted above at para. 51.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On January 17, 1994, the Gundersons executed the "Contract Amendment/Addendum" prepared by Barbara Leonard. The defendants submit that this document constitutes a form of exclusionary clause and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plaintiffs cannot escape the consequences of the exclusionary nature of the language in Exhibit 4, Tab 68.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xml:space="preserve">  In support of this proposition they cite the decision of our Court of Appeal in Zippy Print Enterprises Ltd. v. Pawliuk, </w:t>
      </w:r>
      <w:hyperlink r:id="rId412" w:history="1">
        <w:r>
          <w:rPr>
            <w:rFonts w:ascii="arial" w:eastAsia="arial" w:hAnsi="arial" w:cs="arial"/>
            <w:i/>
            <w:color w:val="0077CC"/>
            <w:sz w:val="20"/>
            <w:u w:val="single"/>
            <w:shd w:val="clear" w:color="auto" w:fill="FFFFFF"/>
            <w:lang w:val="en-US" w:eastAsia="en-US" w:bidi="ar-SA"/>
          </w:rPr>
          <w:t>[1994] B.C.J. No. 2778</w:t>
        </w:r>
      </w:hyperlink>
      <w:r>
        <w:rPr>
          <w:rFonts w:ascii="arial" w:eastAsia="arial" w:hAnsi="arial" w:cs="arial"/>
          <w:color w:val="000000"/>
          <w:sz w:val="20"/>
          <w:lang w:val="en-US" w:eastAsia="en-US" w:bidi="ar-SA"/>
        </w:rPr>
        <w:t>. At para. 45 Lamber, J.A. writes: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would apply the principle enunciated by this Court in Betker v. Williams, </w:t>
      </w:r>
      <w:hyperlink r:id="rId413" w:history="1">
        <w:r>
          <w:rPr>
            <w:rFonts w:ascii="arial" w:eastAsia="arial" w:hAnsi="arial" w:cs="arial"/>
            <w:i/>
            <w:color w:val="0077CC"/>
            <w:sz w:val="20"/>
            <w:u w:val="single"/>
            <w:shd w:val="clear" w:color="auto" w:fill="FFFFFF"/>
            <w:lang w:val="en-US" w:eastAsia="en-US" w:bidi="ar-SA"/>
          </w:rPr>
          <w:t>[1991] B.C.J. No. 3724</w:t>
        </w:r>
      </w:hyperlink>
      <w:r>
        <w:rPr>
          <w:rFonts w:ascii="arial" w:eastAsia="arial" w:hAnsi="arial" w:cs="arial"/>
          <w:color w:val="000000"/>
          <w:sz w:val="20"/>
          <w:lang w:val="en-US" w:eastAsia="en-US" w:bidi="ar-SA"/>
        </w:rPr>
        <w:t>, to the circumstances of this case. A general exclusion clause will not override a specific representation on a point of substance which was intended to induce the making of the agreement unless the intended effect of the exclusion clause can be shown to have been brought home to the party to whom the representation was made by being specifically drawn to the attention of that party, or by being specifically acknowledged by that party, or in some other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In approaching this issue it is necessary to first recognize that Ms. Leonard did not consult a lawyer herself, at no time recommended to the Wiebes that they should seek legal advice, that she drafted the "agreement" herself and recommended that the Wiebes sign both portions of the agreement leaving the Gundersons the choice of accepting either option.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The agreement as drafted consisted of two "options" with signature blocks at the end of each. Linton Wiebe as instructed signed both and returned it immediately by facsimile transmission. The substantive part of the document reads.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 the first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requested by phone January 16, 1994.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Due to the discrepancy between the acreage under the pivot which was presented as a total of 320 acres (220 acres under large pivot &amp; 100 acres under small pivot) as presented by the vendor to the purchaser when in actual fact Highland Irrigation plans project it as 262=/-acres, the purchaser request the collapse of this sale and a return of the $10,000.00 deposit to the purchaser.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Purchaser further agrees that the collapse of this sale will release the vendor, their salesperson and Countrywide Videoview Realty Inc. of any further obligation in this matter &amp; the vendor may proceed with another purchaser if he so desires.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second option offered to continue the sale with a $50,000 abatement of the purchase price and included the following provisions: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Purchaser further agrees that he is fully aware that:</w:t>
      </w:r>
    </w:p>
    <w:p>
      <w:pPr>
        <w:numPr>
          <w:numId w:val="7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acreage under pivot is 262=/-acres.</w:t>
      </w:r>
    </w:p>
    <w:p>
      <w:pPr>
        <w:numPr>
          <w:numId w:val="7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time of 90 days projected by vendor of June 15 - Sept. 15 is maximum range time allowed and that the purchaser has all the information in hand concerning said range rights. Re: time head allowed.</w:t>
      </w:r>
    </w:p>
    <w:p>
      <w:pPr>
        <w:numPr>
          <w:numId w:val="7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B.C. has a property purchase tax as purchaser has been informed about by his conveyance lawyer.</w:t>
      </w:r>
    </w:p>
    <w:p>
      <w:pPr>
        <w:numPr>
          <w:numId w:val="7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exclusion list of equipment has been received and signed by him.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the purchaser and vendor do agree to continue this contract that each party is in full agreement that this addendum supercedes any written or oral agreement between these parties with regard to said amendments contained within.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Agreement to continue also releases Countrywide Videoview Realty Inc. and salesperson Maurice Alexandre from any representation written or verbal made by either vendor or purchaser prior to the amendment of this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Examining the terms of these two options, leaving aside the absence of legal advice, and Ms. Leonard's failure to advise the Wiebes that they should seek legal advice, it is apparent that neither option contains what could be properly termed a general exclusion clause.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It is abundantly clear, however, that Ms. Leonard's draftsmanship was focused on protecting the Gundersons, herself, her company and her agent, it had nothing to do with protecting the Wiebes; but even in pursuing its main goal it did so badly.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The first option, the one actually executed by the parties is on its face equipped with a release that acknowledges little more than the termination of the agreement and the recognition that the vendors may proceed with another sale. If the language is calculated to effect a broader release of potential legal liabilities it wholly fails to communicate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The second option, which was never accepted by the Gundersons and hence formed no part of whatever contractual relationship emerged from this document is quite different in its structure. Firstly, it sets out four specific items that the purchaser (the Wiebes) acknowledge they are aware of. Of these four only one, the acreage under pivot is relevant to the issue in this action. The next paragraph purports to record the parties' agreement that if the parties agree to continue this contract the addendum "supercedes any written or oral agreement" but then limits that agreement "to said amendments contained within."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On a matter of simple construction this provision never came into effect for the parties did not agree to continue the contract and, even if they had, it was only effective to limit previous agreements (not representations) in so far as it changed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The final paragraph follows the same pattern it is predicated and effective if and only if there is an agreement to continue the contract and there was no such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The Gundersons by electing the first option and collapsing the deal avoided any possible application of any release with respect to representations for that provision is only found in the second option.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In my view, despite these documents masterfully bad draftsmanship, it has no effect to limit or exclude the plaintiffs' ability to rely on the representations made to them by the Gunderson's agent.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The remaining argument advanced by the defendants on liability is founded on their assertion that the plaintiffs have not shown that any of the false representations were material or that they, in fact, induced them to buy the ranch.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In advancing this submission the defendants again focus on isolated aspects of the evidence, the water volume and the harvestable timber and proceeds to submit that neither of these factors could amount to inducement under the authorities.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While these submissions are an interesting exercise in misdirection they at no time approach the central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When one examines the whole of the evidence in this case the evidence overwhelmingly establishes that the Wiebes were looking for an operating ranch with established prospects, good production and sources of cash flow other than simply cattle. Their evidence was clear that what impressed them about the Rocky Point Ranch was the substantial nature of the fields, the hay production of 5 tons per acre, the amount of hay sales, the fact that the well had been tested for 5000 G.P.M. and that the system only used 2100 G.P.M., and that the calf weaning weights indicated good pasture 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What induced the Wiebes to purchase this property was precisely the information the Gundersons knew would attract potential purchasers. It was their experience with ranching and the buying and selling of ranches that gave them that knowledge and led them to provide that information to Len Monical and to Maurice Alexandre. The information they provided was with rare exception false, it was also provided to attract and secure a purchaser which in the case of the Wiebes it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If Mr. Gunderson's evidence about the meeting of January 17, 10994 were believed, and it is not, he not only knew all of the information on the information sheet was false before the second interim agreement was signed he specifically told Maurice Alexandre it was false yet neither he nor Alexandre did anything to advise the Wiebes but proceeded to sign the second deal (and induce it again by offering to include all the prime hay located in the hay 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I am satisfied that all of the elements of deceit have been established in this case. The evidence not only supports that finding it overwhelmingly supports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I now turn to perhaps the most difficult aspect of this case, the assessment of damages. Liability for misrepresentation is an area of law which crosses the boundaries between contract, tort and restitution. If a misrepresentation is treated as a promise, a plaintiff may be entitled to a measure of damages calculated as if the promise was true. If it is approached as a tort the plaintiff would be entitled to be placed in the position he would have occupied before the statement was made. If it is approached as a restitution issue the concept is that it would be unjust that the defendant, by making a false statement, should be enriched at the plaintiff's expense.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Where, as in the present case, the defendants make statements knowing them to be false they have committed the tort of deceit or fraud. Where the statements have induced the plaintiffs to enter into a contract (in this case to purchase the Rocky Point Ranch) the first question is whether the contractual or the tortious measure of damage is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In England and in Canada the authorities have consistently found that the proper approach is to apply the tortious measure of damages. This is an important distinction for this approach awards a measure of damages which places the plaintiff in the position he would have occupied if the statement had not been made rather than in that he would have occupied if the statement was true. This distinction is recognized in McConnel v. Wright, [1903] 1 Ch. 546.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not an action for breach of contract, and, therefore, no damages in respect of prospective gains which the person contracting was entitled by his contract to expect come in, but it is an action of tort - it is an action for a wrong done whereby the plaintiff was tricked out of certain money in his pocket; and therefore, prima facie, the highest limit of his damages is the whole extent of his loss, and that loss is measured by the money which was in his pocket and is now in the pocket of the company. That is the ultimate, final, highest standard of his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xml:space="preserve">  This approach has been applied in numerous cases in Canada including, in this jurisdiction Enns v. Panju, </w:t>
      </w:r>
      <w:hyperlink r:id="rId414" w:history="1">
        <w:r>
          <w:rPr>
            <w:rFonts w:ascii="arial" w:eastAsia="arial" w:hAnsi="arial" w:cs="arial"/>
            <w:i/>
            <w:color w:val="0077CC"/>
            <w:sz w:val="20"/>
            <w:u w:val="single"/>
            <w:shd w:val="clear" w:color="auto" w:fill="FFFFFF"/>
            <w:lang w:val="en-US" w:eastAsia="en-US" w:bidi="ar-SA"/>
          </w:rPr>
          <w:t>[1978] 5 W.W.R. 244</w:t>
        </w:r>
      </w:hyperlink>
      <w:r>
        <w:rPr>
          <w:rFonts w:ascii="arial" w:eastAsia="arial" w:hAnsi="arial" w:cs="arial"/>
          <w:color w:val="000000"/>
          <w:sz w:val="20"/>
          <w:lang w:val="en-US" w:eastAsia="en-US" w:bidi="ar-SA"/>
        </w:rPr>
        <w:t xml:space="preserve"> (B.C.S.C.); McDonald v. Palanio (1960), 31 W.W.R. 43 (B.C.S.C.); Noonan v. Roe </w:t>
      </w:r>
      <w:hyperlink r:id="rId415" w:history="1">
        <w:r>
          <w:rPr>
            <w:rFonts w:ascii="arial" w:eastAsia="arial" w:hAnsi="arial" w:cs="arial"/>
            <w:i/>
            <w:color w:val="0077CC"/>
            <w:sz w:val="20"/>
            <w:u w:val="single"/>
            <w:shd w:val="clear" w:color="auto" w:fill="FFFFFF"/>
            <w:lang w:val="en-US" w:eastAsia="en-US" w:bidi="ar-SA"/>
          </w:rPr>
          <w:t>(1971), 21 D.L.R. (3d) 102</w:t>
        </w:r>
      </w:hyperlink>
      <w:r>
        <w:rPr>
          <w:rFonts w:ascii="arial" w:eastAsia="arial" w:hAnsi="arial" w:cs="arial"/>
          <w:color w:val="000000"/>
          <w:sz w:val="20"/>
          <w:lang w:val="en-US" w:eastAsia="en-US" w:bidi="ar-SA"/>
        </w:rPr>
        <w:t xml:space="preserve"> (B.C.S.C.); Sorensen v. Kaye Holdings Ltd., </w:t>
      </w:r>
      <w:hyperlink r:id="rId416" w:history="1">
        <w:r>
          <w:rPr>
            <w:rFonts w:ascii="arial" w:eastAsia="arial" w:hAnsi="arial" w:cs="arial"/>
            <w:i/>
            <w:color w:val="0077CC"/>
            <w:sz w:val="20"/>
            <w:u w:val="single"/>
            <w:shd w:val="clear" w:color="auto" w:fill="FFFFFF"/>
            <w:lang w:val="en-US" w:eastAsia="en-US" w:bidi="ar-SA"/>
          </w:rPr>
          <w:t>[1979] 6 W.W.R. 193</w:t>
        </w:r>
      </w:hyperlink>
      <w:r>
        <w:rPr>
          <w:rFonts w:ascii="arial" w:eastAsia="arial" w:hAnsi="arial" w:cs="arial"/>
          <w:color w:val="000000"/>
          <w:sz w:val="20"/>
          <w:lang w:val="en-US" w:eastAsia="en-US" w:bidi="ar-SA"/>
        </w:rPr>
        <w:t xml:space="preserve"> (B.C.C.A.) and Zorzi v. Barker </w:t>
      </w:r>
      <w:hyperlink r:id="rId417" w:history="1">
        <w:r>
          <w:rPr>
            <w:rFonts w:ascii="arial" w:eastAsia="arial" w:hAnsi="arial" w:cs="arial"/>
            <w:i/>
            <w:color w:val="0077CC"/>
            <w:sz w:val="20"/>
            <w:u w:val="single"/>
            <w:shd w:val="clear" w:color="auto" w:fill="FFFFFF"/>
            <w:lang w:val="en-US" w:eastAsia="en-US" w:bidi="ar-SA"/>
          </w:rPr>
          <w:t>(1957), 8 D.L.R. (2d) 164</w:t>
        </w:r>
      </w:hyperlink>
      <w:r>
        <w:rPr>
          <w:rFonts w:ascii="arial" w:eastAsia="arial" w:hAnsi="arial" w:cs="arial"/>
          <w:color w:val="000000"/>
          <w:sz w:val="20"/>
          <w:lang w:val="en-US" w:eastAsia="en-US" w:bidi="ar-SA"/>
        </w:rPr>
        <w:t xml:space="preserve"> (B.C.C.A.) to name but a few.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The general rule is that the date on which damages are assessed is at the date of the breach. As Cotton, L.J. put it in the trial decision in Peek v. Derry (1887), 37 Ch. D. 541 at p. 591: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damage to be recovered by the Plaintiff is the loss which he sustained by acting on the representations of the Defendants. That action was taking the shares. Before he was induced to buy the shares, he had the [pounds]4000 in his pocket. The day when the shares were allotted to him, which was the consequence of his action, he paid over the [pounds]4000, and he got the shares; and the loss sustained by him in consequence of his acting on the representations of the Defendants was having the shares, instead of having in his pocket the [pounds]4000. The loss, therefore, must be the difference between the [pounds]4000 and the then value of the shares . . . . If the company at the time was a good company and the shares had an intrinsic value, then no fact which subsequently occurred . . . ought to add to the damages to be paid by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To complicate the issue further while the authorities clearly reject a recovery of a contractual measure of damages by a plaintiff complaining of fraud, they have held that in appropriate circumstances the plaintiff is entitled to recover consequential damages caused by the fraud.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This development flows, in part, from the decision of Lord Denning, M.R. in Doyle v. Olby (Ironmongers) Ltd. (1969), 2 Q.B. 158. In that case a plaintiff had been fraudulently induced to purchase a business. On appeal the damages recovered at trial were increased to compensate the plaintiff for further losses incurred in attempting to run the business. Lord Denning, M.R. held that the rules of mitigation and remoteness were, as against a fraudulent defendant, to be construed generously. He went on at p. 167 to say: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defendant is bound to make reparation for all the actual damages directly flowing from the fraudulent inducement. The person who has been defrauded is entitled to say: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would not have entered into this bargain at all but for your representation. Owing to your fraud, I have not only lost all the money I paid you, but what is more, I have been put to a large amount of extra expense as well and suffered this or that extra damages.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All such damages can be recovered: and it does not lie in the mouth of the fraudulent person to say that they could not reasonably have been foreseen. For instance, in this very case Mr. Doyle has not only lost the money which he paid for the business, which he would never have done if there had been no fraud: he put all that money in and lost it; but also he has been put to expense and loss in trying to run a business which turned out to be a disaster for him. He is entitled to damages for all his loss, subject, of course to giving credit for any benefit that he has received. There is nothing to be taken off in mitigation; for there is nothing more that he could have done to reduce his loss. He did all that he could reasonably be expected to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The plaintiffs submit that damages in this case should be assessed by starting with the difference between the price the Wiebes paid for the land (as opposed to what they paid in total for land, chattels and cattle). They submit that the appraisal report of L.A. Holmes (Exhibit 7) provides the base from which damages should be calculated. Mr. Holmes calculates the difference between the land portion of the purchase price ($750,000) and the discounted value that a purchaser properly apprised of the water problems would pay ($310,000) as being $440,000.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To this the plaintiffs submit there must be two adjustments, firstly, the cost of dealing with the sodium problem by applying five tons of gypsum per acre as recorded by Mr. Keyes. This would reflect an additional cost of $1,080 per acre for a total additional cost of $280,000.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The second adjustment contemplated assumes an additional cost of $30,000 for mainlines to connect a new water supply to the irrigation system. This calculation is, however, complicated by the fact that Mr. Holmes' opinion is that the sale value of the ranch is unlikely to drop below $300,000. These additional costs taking that issue into account, the plaintiffs submit, adds another $82,800 to the rehabilitation costs of dealing with the sodium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In the end advancing both actual out-of-pocket expenses as agreed between counsel at $138,161.37, then adjusting those figures to reflect increased financing charges, and additional equipment charges, as well as calculating loss of profits the plaintiffs submit their losses should be assessed 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3869"/>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w:t>
            </w:r>
          </w:p>
        </w:tc>
        <w:tc>
          <w:tcPr>
            <w:tcW w:w="378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Difference between value</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$ 450,000 of property</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78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and price paid</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5"/>
        <w:gridCol w:w="730"/>
        <w:gridCol w:w="3753"/>
        <w:gridCol w:w="240"/>
        <w:gridCol w:w="1355"/>
        <w:gridCol w:w="375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w:t>
            </w:r>
          </w:p>
        </w:tc>
        <w:tc>
          <w:tcPr>
            <w:tcW w:w="368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Actual out-of pocket expenses</w:t>
            </w:r>
          </w:p>
        </w:tc>
        <w:tc>
          <w:tcPr>
            <w:tcW w:w="20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222,814</w:t>
            </w:r>
          </w:p>
        </w:tc>
        <w:tc>
          <w:tcPr>
            <w:tcW w:w="368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2824"/>
        <w:gridCol w:w="1150"/>
        <w:gridCol w:w="1359"/>
        <w:gridCol w:w="376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w:t>
            </w:r>
          </w:p>
        </w:tc>
        <w:tc>
          <w:tcPr>
            <w:tcW w:w="276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Loss of profits</w:t>
            </w:r>
          </w:p>
        </w:tc>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500,000</w:t>
            </w:r>
          </w:p>
        </w:tc>
        <w:tc>
          <w:tcPr>
            <w:tcW w:w="368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5"/>
        <w:gridCol w:w="730"/>
        <w:gridCol w:w="3753"/>
        <w:gridCol w:w="240"/>
        <w:gridCol w:w="1355"/>
        <w:gridCol w:w="375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w:t>
            </w:r>
          </w:p>
        </w:tc>
        <w:tc>
          <w:tcPr>
            <w:tcW w:w="368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Cost of borrowing to finance</w:t>
            </w:r>
          </w:p>
        </w:tc>
        <w:tc>
          <w:tcPr>
            <w:tcW w:w="20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231,500</w:t>
            </w:r>
          </w:p>
        </w:tc>
        <w:tc>
          <w:tcPr>
            <w:tcW w:w="368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remediation cash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692"/>
        <w:gridCol w:w="376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55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$ 1,404,314</w:t>
            </w:r>
          </w:p>
        </w:tc>
        <w:tc>
          <w:tcPr>
            <w:tcW w:w="368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238</w:t>
      </w:r>
      <w:r>
        <w:rPr>
          <w:rFonts w:ascii="arial" w:eastAsia="arial" w:hAnsi="arial" w:cs="arial"/>
          <w:color w:val="000000"/>
          <w:sz w:val="20"/>
          <w:lang w:val="en-US" w:eastAsia="en-US" w:bidi="ar-SA"/>
        </w:rPr>
        <w:t>  On the issue of damages the defendants submit that "The Plaintiffs imprudently changed the fertilizer and irrigation regime, despite Mr. Wiebe's resolve not to make any changes."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239</w:t>
      </w:r>
      <w:r>
        <w:rPr>
          <w:rFonts w:ascii="arial" w:eastAsia="arial" w:hAnsi="arial" w:cs="arial"/>
          <w:color w:val="000000"/>
          <w:sz w:val="20"/>
          <w:lang w:val="en-US" w:eastAsia="en-US" w:bidi="ar-SA"/>
        </w:rPr>
        <w:t>  This is the first of two propositions advanced by the defendants under the general heading of failure to mitigate. The second proposition is that the plaintiffs elected to affirm the contract after August 1994 when "Their letter to the Defendants ... makes clear they were aware as of that date of the material facts .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240</w:t>
      </w:r>
      <w:r>
        <w:rPr>
          <w:rFonts w:ascii="arial" w:eastAsia="arial" w:hAnsi="arial" w:cs="arial"/>
          <w:color w:val="000000"/>
          <w:sz w:val="20"/>
          <w:lang w:val="en-US" w:eastAsia="en-US" w:bidi="ar-SA"/>
        </w:rPr>
        <w:t>  The first of these two propositions can be quickly disposed of. Although the defendants sought to advance this submission throughout this case, there is no evidence capable of supporting it. Contrary to the defendants' "theory", the evidence of those knowledgeable witnesses who dealt with Mr. Wiebe during these difficulties was uniformly to the effect that Mr. Wiebe was a good farmer.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241</w:t>
      </w:r>
      <w:r>
        <w:rPr>
          <w:rFonts w:ascii="arial" w:eastAsia="arial" w:hAnsi="arial" w:cs="arial"/>
          <w:color w:val="000000"/>
          <w:sz w:val="20"/>
          <w:lang w:val="en-US" w:eastAsia="en-US" w:bidi="ar-SA"/>
        </w:rPr>
        <w:t>  Even Dr. Chapman whose written report could be interpreted as advancing this "theory" denied that that was his intent. When asked directly if that was his opinion he specifically testified that was merely a hypothetical proposition which in his view could not be proven.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242</w:t>
      </w:r>
      <w:r>
        <w:rPr>
          <w:rFonts w:ascii="arial" w:eastAsia="arial" w:hAnsi="arial" w:cs="arial"/>
          <w:color w:val="000000"/>
          <w:sz w:val="20"/>
          <w:lang w:val="en-US" w:eastAsia="en-US" w:bidi="ar-SA"/>
        </w:rPr>
        <w:t>  In the end there is no evidentiary base which establishes that any variations in fertilizer or irrigation were imprudent or that they had any impact on the Wiebes' difficulties.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243</w:t>
      </w:r>
      <w:r>
        <w:rPr>
          <w:rFonts w:ascii="arial" w:eastAsia="arial" w:hAnsi="arial" w:cs="arial"/>
          <w:color w:val="000000"/>
          <w:sz w:val="20"/>
          <w:lang w:val="en-US" w:eastAsia="en-US" w:bidi="ar-SA"/>
        </w:rPr>
        <w:t>  The statement on p. 15 of the defendants' written submissions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no doubt that the Ranch was productive right up to the end of the Gundersons' ownership.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is remarkable, in the circumstances of this case. The Gundersons provided demonstrably false information about virtually every aspect of their ranch operation to their real estate agent, including water volumes, hay production rates and calf weights. In addition their own expert in his evidence testified that he was not given production data and that the very counsel now advancing this submission, Mr. Czepil, had told him it wasn't available. How one can seriously advance that proposition on the evidence in this case is unclear to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244</w:t>
      </w:r>
      <w:r>
        <w:rPr>
          <w:rFonts w:ascii="arial" w:eastAsia="arial" w:hAnsi="arial" w:cs="arial"/>
          <w:color w:val="000000"/>
          <w:sz w:val="20"/>
          <w:lang w:val="en-US" w:eastAsia="en-US" w:bidi="ar-SA"/>
        </w:rPr>
        <w:t>  As for the second of these propositions, I accept that Linton Wiebe, suffered from a particular character flaw that is important to a proper understanding of the events on the Rocky Point Ranch.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245</w:t>
      </w:r>
      <w:r>
        <w:rPr>
          <w:rFonts w:ascii="arial" w:eastAsia="arial" w:hAnsi="arial" w:cs="arial"/>
          <w:color w:val="000000"/>
          <w:sz w:val="20"/>
          <w:lang w:val="en-US" w:eastAsia="en-US" w:bidi="ar-SA"/>
        </w:rPr>
        <w:t>  It is clear from my observations of Linton Wiebe during the four days he testified at this trial, and from my examination of the evidence as a whole, that Linton Wiebe is a man who sees the good in people, trusts them, and, in the face of difficulties speaks to people, listens to them and attempts to carry 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246</w:t>
      </w:r>
      <w:r>
        <w:rPr>
          <w:rFonts w:ascii="arial" w:eastAsia="arial" w:hAnsi="arial" w:cs="arial"/>
          <w:color w:val="000000"/>
          <w:sz w:val="20"/>
          <w:lang w:val="en-US" w:eastAsia="en-US" w:bidi="ar-SA"/>
        </w:rPr>
        <w:t>  The defendants' submission on this point, and in particular, their reference to the Wiebes' letter of August 29, 1994, again attempts to isolate one piece of evidence in order to have it viewed in a particular way. The first thing to be said about that letter is that the defendants never replied to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247</w:t>
      </w:r>
      <w:r>
        <w:rPr>
          <w:rFonts w:ascii="arial" w:eastAsia="arial" w:hAnsi="arial" w:cs="arial"/>
          <w:color w:val="000000"/>
          <w:sz w:val="20"/>
          <w:lang w:val="en-US" w:eastAsia="en-US" w:bidi="ar-SA"/>
        </w:rPr>
        <w:t>  The Wiebes were faced with a situation after their purchase of the Rocky Point Ranch which was the furthest thing from a sudden discovery that everything they had been told was false. Instead they suffered through a process more akin to a form of "water torture" while they discovered step by step more and more difficulties. The letter of August 29, 1994 was sent after they had obtained the Pacific Hydrology report and discovered that the maximum steady flow was 1,200 G.P.M. not 5,000 G.P.M. It was not until the summer of 1995 when Fofinoff and Awmack became involved that they began to realize that there was a water quality problem and not until they reviewed Rob Kline's letter of May 16, 1997 that they learned for the first time that there had been well tests done by the Gundersons days after they purchased the property in 1986.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248</w:t>
      </w:r>
      <w:r>
        <w:rPr>
          <w:rFonts w:ascii="arial" w:eastAsia="arial" w:hAnsi="arial" w:cs="arial"/>
          <w:color w:val="000000"/>
          <w:sz w:val="20"/>
          <w:lang w:val="en-US" w:eastAsia="en-US" w:bidi="ar-SA"/>
        </w:rPr>
        <w:t>  Only in 2000 were the Gundersons' ledgers disclosed and only at that time did the Wiebes discover the reality of the misrepresentation as to calf weights and hay production.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249</w:t>
      </w:r>
      <w:r>
        <w:rPr>
          <w:rFonts w:ascii="arial" w:eastAsia="arial" w:hAnsi="arial" w:cs="arial"/>
          <w:color w:val="000000"/>
          <w:sz w:val="20"/>
          <w:lang w:val="en-US" w:eastAsia="en-US" w:bidi="ar-SA"/>
        </w:rPr>
        <w:t>  The concept of mitigation is not one to be used to strip recovery away from plaintiffs who have taken the best advice they had available to them and struggled on in the face of gradually emerging facts, in an attempt to mitigate their losses by making the ranch productive.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250</w:t>
      </w:r>
      <w:r>
        <w:rPr>
          <w:rFonts w:ascii="arial" w:eastAsia="arial" w:hAnsi="arial" w:cs="arial"/>
          <w:color w:val="000000"/>
          <w:sz w:val="20"/>
          <w:lang w:val="en-US" w:eastAsia="en-US" w:bidi="ar-SA"/>
        </w:rPr>
        <w:t>  The failure of the Wiebes' efforts came about not because their efforts were unreasonable but because of the magnitude of the defendants' fraud and their success at concealing portions of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251</w:t>
      </w:r>
      <w:r>
        <w:rPr>
          <w:rFonts w:ascii="arial" w:eastAsia="arial" w:hAnsi="arial" w:cs="arial"/>
          <w:color w:val="000000"/>
          <w:sz w:val="20"/>
          <w:lang w:val="en-US" w:eastAsia="en-US" w:bidi="ar-SA"/>
        </w:rPr>
        <w:t>  With respect to the damage claims presented the defendants submit that the evidence does not establish the need for gypsum remediation, that the irrigation system priced by Mr. Ford is not a reasonable system but rather an ideal model. The defendants submit that if an award is made it should be modest and ". . . no more than $100,000.00".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252</w:t>
      </w:r>
      <w:r>
        <w:rPr>
          <w:rFonts w:ascii="arial" w:eastAsia="arial" w:hAnsi="arial" w:cs="arial"/>
          <w:color w:val="000000"/>
          <w:sz w:val="20"/>
          <w:lang w:val="en-US" w:eastAsia="en-US" w:bidi="ar-SA"/>
        </w:rPr>
        <w:t>  Under the category of consequential loss the defendants submit that Ms. Dendy's calculations amount to little more than speculation. They submit that her report fails to make any allowances for the vagaries of farming. They submit that any award under this category must be heavily discounted for contingencies.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253</w:t>
      </w:r>
      <w:r>
        <w:rPr>
          <w:rFonts w:ascii="arial" w:eastAsia="arial" w:hAnsi="arial" w:cs="arial"/>
          <w:color w:val="000000"/>
          <w:sz w:val="20"/>
          <w:lang w:val="en-US" w:eastAsia="en-US" w:bidi="ar-SA"/>
        </w:rPr>
        <w:t>  In the category of special damages the defendants submit that the plaintiffs' claim some $98,546.40 for installing a river water system which doesn't work and which they ought reasonably to have known would not work. These damages they submit are too speculative to be recoverable.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254</w:t>
      </w:r>
      <w:r>
        <w:rPr>
          <w:rFonts w:ascii="arial" w:eastAsia="arial" w:hAnsi="arial" w:cs="arial"/>
          <w:color w:val="000000"/>
          <w:sz w:val="20"/>
          <w:lang w:val="en-US" w:eastAsia="en-US" w:bidi="ar-SA"/>
        </w:rPr>
        <w:t>  As for the plaintiffs' claim for $11,140.62 in financing charges the defendants submit this amounts to a claim by an impecunious plaintiff who has chosen to spend $100,000 on a river water system that doesn't work and another $100,000 switching from alfalfa to barley.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255</w:t>
      </w:r>
      <w:r>
        <w:rPr>
          <w:rFonts w:ascii="arial" w:eastAsia="arial" w:hAnsi="arial" w:cs="arial"/>
          <w:color w:val="000000"/>
          <w:sz w:val="20"/>
          <w:lang w:val="en-US" w:eastAsia="en-US" w:bidi="ar-SA"/>
        </w:rPr>
        <w:t>  In the appraisal of L.A. Holmes (Exhibit 7) the instructions given were that the appraiser was to estimate the market value of the property for sale purposes in February 1994 in two categories. Those categories are:</w:t>
      </w:r>
      <w:r>
        <w:rPr>
          <w:rFonts w:ascii="arial" w:eastAsia="arial" w:hAnsi="arial" w:cs="arial"/>
          <w:sz w:val="20"/>
          <w:lang w:val="en-US" w:eastAsia="en-US" w:bidi="ar-SA"/>
        </w:rPr>
        <w:cr/>
      </w:r>
    </w:p>
    <w:p>
      <w:pPr>
        <w:numPr>
          <w:numId w:val="7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Normal Value - defined as the price that would have been paid by a purchaser anticipating normal productivity and acting upon information provided by sources to be reliable.</w:t>
      </w:r>
    </w:p>
    <w:p>
      <w:pPr>
        <w:numPr>
          <w:numId w:val="7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Discounted Value - defined as the price that would probably have been paid by a purchaser having full knowledge of the abnormally high levels of sodium on the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256</w:t>
      </w:r>
      <w:r>
        <w:rPr>
          <w:rFonts w:ascii="arial" w:eastAsia="arial" w:hAnsi="arial" w:cs="arial"/>
          <w:color w:val="000000"/>
          <w:sz w:val="20"/>
          <w:lang w:val="en-US" w:eastAsia="en-US" w:bidi="ar-SA"/>
        </w:rPr>
        <w:t>  In contrast the defendants tendered a report (Exhibit 64) by Arthur Hadland, a consulting agrologist and a member of the Appraisal Institute of Canada. Mr. Hadland was asked to provide an estimate of the market value of the property as of February 14, 1994 based on three separate scenarios.</w:t>
      </w:r>
      <w:r>
        <w:rPr>
          <w:rFonts w:ascii="arial" w:eastAsia="arial" w:hAnsi="arial" w:cs="arial"/>
          <w:sz w:val="20"/>
          <w:lang w:val="en-US" w:eastAsia="en-US" w:bidi="ar-SA"/>
        </w:rPr>
        <w:cr/>
      </w:r>
    </w:p>
    <w:p>
      <w:pPr>
        <w:numPr>
          <w:numId w:val="77"/>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quality of the well water was acceptable but the capacity of the irrigation well was such that it would not provide enough water for an expansion of the irrigated area of the ranch.</w:t>
      </w:r>
    </w:p>
    <w:p>
      <w:pPr>
        <w:numPr>
          <w:numId w:val="77"/>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irrigation well water was unsuitable for irrigation for purposes because of the high sodium levels.</w:t>
      </w:r>
    </w:p>
    <w:p>
      <w:pPr>
        <w:numPr>
          <w:numId w:val="77"/>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quality of the irrigation well water was poor or marginal and its long term impact and the quality was insufficient to allow for expansion of the irrigated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257</w:t>
      </w:r>
      <w:r>
        <w:rPr>
          <w:rFonts w:ascii="arial" w:eastAsia="arial" w:hAnsi="arial" w:cs="arial"/>
          <w:color w:val="000000"/>
          <w:sz w:val="20"/>
          <w:lang w:val="en-US" w:eastAsia="en-US" w:bidi="ar-SA"/>
        </w:rPr>
        <w:t>  The key difference between these two reports is the question addressed by Mr. Holmes of high levels of sodium on the site while in the case of Mr. Hadland he was asked to make certain assumptions about the quality of the water.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258</w:t>
      </w:r>
      <w:r>
        <w:rPr>
          <w:rFonts w:ascii="arial" w:eastAsia="arial" w:hAnsi="arial" w:cs="arial"/>
          <w:color w:val="000000"/>
          <w:sz w:val="20"/>
          <w:lang w:val="en-US" w:eastAsia="en-US" w:bidi="ar-SA"/>
        </w:rPr>
        <w:t>  In my view, the best estimate of the value of property as at February 14, 1994 is that provided by Mr. Holmes, the plaintiffs are entitled to recover the difference between $750,000 and the discounted value of $310,000 or $440,000.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COST OF GYPSUM REMEDIATION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259</w:t>
      </w:r>
      <w:r>
        <w:rPr>
          <w:rFonts w:ascii="arial" w:eastAsia="arial" w:hAnsi="arial" w:cs="arial"/>
          <w:color w:val="000000"/>
          <w:sz w:val="20"/>
          <w:lang w:val="en-US" w:eastAsia="en-US" w:bidi="ar-SA"/>
        </w:rPr>
        <w:t>  In the Holmes report at p. 22 Mr. Holmes begins his consideration of the discounted value. Central to his approach was the assumption that there were, unknown to the Wiebes, abnormally high levels of sodium in the water out of the deep well which supplied water to the irrigation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260</w:t>
      </w:r>
      <w:r>
        <w:rPr>
          <w:rFonts w:ascii="arial" w:eastAsia="arial" w:hAnsi="arial" w:cs="arial"/>
          <w:color w:val="000000"/>
          <w:sz w:val="20"/>
          <w:lang w:val="en-US" w:eastAsia="en-US" w:bidi="ar-SA"/>
        </w:rPr>
        <w:t>  As Mr. Holmes sets out his further assumptions: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levels were high enough to have an adverse effect on soil structure, depress yields in the alfalfa plantings, interfere with normal reseeding practices, and limit the range of other crops that could be grown. To a prospective purchaser made aware of this condition, there were three options available: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261</w:t>
      </w:r>
      <w:r>
        <w:rPr>
          <w:rFonts w:ascii="arial" w:eastAsia="arial" w:hAnsi="arial" w:cs="arial"/>
          <w:color w:val="000000"/>
          <w:sz w:val="20"/>
          <w:lang w:val="en-US" w:eastAsia="en-US" w:bidi="ar-SA"/>
        </w:rPr>
        <w:t>  He then describes the options as:</w:t>
      </w:r>
      <w:r>
        <w:rPr>
          <w:rFonts w:ascii="arial" w:eastAsia="arial" w:hAnsi="arial" w:cs="arial"/>
          <w:sz w:val="20"/>
          <w:lang w:val="en-US" w:eastAsia="en-US" w:bidi="ar-SA"/>
        </w:rPr>
        <w:cr/>
      </w:r>
    </w:p>
    <w:p>
      <w:pPr>
        <w:numPr>
          <w:numId w:val="78"/>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to walk away from the purchase because of the risk;</w:t>
      </w:r>
    </w:p>
    <w:p>
      <w:pPr>
        <w:numPr>
          <w:numId w:val="79"/>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to proceed with the purchase but at a price discounted to cover the costs of the major contingencies; and</w:t>
      </w:r>
    </w:p>
    <w:p>
      <w:pPr>
        <w:numPr>
          <w:numId w:val="8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complete the purchase, shut down the irrigation well and operate the ranch as a dry land-site.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262</w:t>
      </w:r>
      <w:r>
        <w:rPr>
          <w:rFonts w:ascii="arial" w:eastAsia="arial" w:hAnsi="arial" w:cs="arial"/>
          <w:color w:val="000000"/>
          <w:sz w:val="20"/>
          <w:lang w:val="en-US" w:eastAsia="en-US" w:bidi="ar-SA"/>
        </w:rPr>
        <w:t>  In his consideration of the second of these options Mr. Holmes calculates in arriving at his discount:</w:t>
      </w:r>
      <w:r>
        <w:rPr>
          <w:rFonts w:ascii="arial" w:eastAsia="arial" w:hAnsi="arial" w:cs="arial"/>
          <w:sz w:val="20"/>
          <w:lang w:val="en-US" w:eastAsia="en-US" w:bidi="ar-SA"/>
        </w:rPr>
        <w:cr/>
      </w:r>
    </w:p>
    <w:p>
      <w:pPr>
        <w:numPr>
          <w:numId w:val="81"/>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cost of a replacement irrigation water supply based on a letter provided by Highlands Irrigation Limited (Exhibit 5 Tab 169) and concludes that replacement of the water supply system would cost $209,000; and</w:t>
      </w:r>
    </w:p>
    <w:p>
      <w:pPr>
        <w:numPr>
          <w:numId w:val="8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cost of gypsum/fertilizer treatment of the 260 acres.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Mr. Holmes figure of $729.50 per acre was based on an application of 3 tons per acre while Mr. Keyes in his evidence recommends an application rate of 5 tons per acre. This change would adjust the figures on p. 23 of his report to 260 acres x $1,080, for a total cost of $280,800.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263</w:t>
      </w:r>
      <w:r>
        <w:rPr>
          <w:rFonts w:ascii="arial" w:eastAsia="arial" w:hAnsi="arial" w:cs="arial"/>
          <w:color w:val="000000"/>
          <w:sz w:val="20"/>
          <w:lang w:val="en-US" w:eastAsia="en-US" w:bidi="ar-SA"/>
        </w:rPr>
        <w:t>  Mr. Holmes in proceeding with his calculations under option 2 recognized that a purchaser with knowledge of the problem in electing to proceed with the purchase would: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 apply a discount to the price of the real estate sufficient to cover contingencies once ownership has been assumed.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264</w:t>
      </w:r>
      <w:r>
        <w:rPr>
          <w:rFonts w:ascii="arial" w:eastAsia="arial" w:hAnsi="arial" w:cs="arial"/>
          <w:color w:val="000000"/>
          <w:sz w:val="20"/>
          <w:lang w:val="en-US" w:eastAsia="en-US" w:bidi="ar-SA"/>
        </w:rPr>
        <w:t>  In his calculation of the discounted market value on p. 24, Mr. Holmes not only deducted his calculation of the costs to remedy both the water supply and the soil (by application of gypsum), he also made and applied a further 5% discount for other contingencies.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265</w:t>
      </w:r>
      <w:r>
        <w:rPr>
          <w:rFonts w:ascii="arial" w:eastAsia="arial" w:hAnsi="arial" w:cs="arial"/>
          <w:color w:val="000000"/>
          <w:sz w:val="20"/>
          <w:lang w:val="en-US" w:eastAsia="en-US" w:bidi="ar-SA"/>
        </w:rPr>
        <w:t>  Using the adjusted figures and reproducing Mr. Holmes calculations: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DISCOUNTED MARKET VALUE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Normal Market Value $750,000 Less Discount to Remedy (Option 2) $489,000 Discounted Market Value $260,200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496"/>
        <w:gridCol w:w="1150"/>
        <w:gridCol w:w="418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40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Allowance for other contingencies</w:t>
            </w:r>
          </w:p>
        </w:tc>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$ 37,500</w:t>
            </w:r>
          </w:p>
        </w:tc>
        <w:tc>
          <w:tcPr>
            <w:tcW w:w="409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40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5% of Market Price</w:t>
            </w:r>
          </w:p>
        </w:tc>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556"/>
        <w:gridCol w:w="2091"/>
        <w:gridCol w:w="418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NET DISCOUNTED VALUE</w:t>
            </w:r>
          </w:p>
        </w:tc>
        <w:tc>
          <w:tcPr>
            <w:tcW w:w="204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$222,700</w:t>
            </w:r>
          </w:p>
        </w:tc>
        <w:tc>
          <w:tcPr>
            <w:tcW w:w="409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266</w:t>
      </w:r>
      <w:r>
        <w:rPr>
          <w:rFonts w:ascii="arial" w:eastAsia="arial" w:hAnsi="arial" w:cs="arial"/>
          <w:color w:val="000000"/>
          <w:sz w:val="20"/>
          <w:lang w:val="en-US" w:eastAsia="en-US" w:bidi="ar-SA"/>
        </w:rPr>
        <w:t>  The purpose of the allowance for other contingencies is set out within Mr. Holmes' table on p. 24.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*Once the high sodium levels became known, and procedures and costs estimates to remedy became available, most producers would prudently allow an extra margin for risk associated with additional items of expense, such as experimenting with alternative crops, setting up and administering test-plots, and obtaining additional lab reports on soil samples to monitor progress. There are also time-lags with depressed yields involved since the problem was unlikely to be rectified in one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267</w:t>
      </w:r>
      <w:r>
        <w:rPr>
          <w:rFonts w:ascii="arial" w:eastAsia="arial" w:hAnsi="arial" w:cs="arial"/>
          <w:color w:val="000000"/>
          <w:sz w:val="20"/>
          <w:lang w:val="en-US" w:eastAsia="en-US" w:bidi="ar-SA"/>
        </w:rPr>
        <w:t>  Three difficulties emerge from this evidence and the approach taken by the plaintiffs in their submissions to the calculation of damages.</w:t>
      </w:r>
      <w:r>
        <w:rPr>
          <w:rFonts w:ascii="arial" w:eastAsia="arial" w:hAnsi="arial" w:cs="arial"/>
          <w:sz w:val="20"/>
          <w:lang w:val="en-US" w:eastAsia="en-US" w:bidi="ar-SA"/>
        </w:rPr>
        <w:cr/>
      </w:r>
    </w:p>
    <w:p>
      <w:pPr>
        <w:numPr>
          <w:numId w:val="8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discounted value calculated by Mr. Holmes is based on a purchase price reduced by the amount required to provide both a new water supply and to treat the land with gypsum. To allow for these costs in addition to the discounted value would be to allow double recovery.</w:t>
      </w:r>
    </w:p>
    <w:p>
      <w:pPr>
        <w:numPr>
          <w:numId w:val="8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allowance for other contingencies as described by Mr. Holmes is calculated to cover a great many of the specific costs the plaintiffs are seeking to recover as actual out-of-pocket expenses, namely, experimenting with alternative crops, setting up and administering test plots and obtaining additional lab reports. Costs related to these items are found within Exhibit 42.</w:t>
      </w:r>
    </w:p>
    <w:p>
      <w:pPr>
        <w:numPr>
          <w:numId w:val="8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Mr. Holmes also concluded that despite the discounting of the price because of knowledge of the sodium problem the property was never likely to be valued at less than $300,000.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268</w:t>
      </w:r>
      <w:r>
        <w:rPr>
          <w:rFonts w:ascii="arial" w:eastAsia="arial" w:hAnsi="arial" w:cs="arial"/>
          <w:color w:val="000000"/>
          <w:sz w:val="20"/>
          <w:lang w:val="en-US" w:eastAsia="en-US" w:bidi="ar-SA"/>
        </w:rPr>
        <w:t>  I am painfully aware that, to some extent, a remedy must be fashioned in this case which does justice between the parties while remaining within the principles of damages touched on earlier. To some extent, in this case that requires gazing into the crystal ball.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269</w:t>
      </w:r>
      <w:r>
        <w:rPr>
          <w:rFonts w:ascii="arial" w:eastAsia="arial" w:hAnsi="arial" w:cs="arial"/>
          <w:color w:val="000000"/>
          <w:sz w:val="20"/>
          <w:lang w:val="en-US" w:eastAsia="en-US" w:bidi="ar-SA"/>
        </w:rPr>
        <w:t>  This, however, is not a case where a business was purchased and subsequently collapsed this is a case where, having purchased the property the plaintiffs struggled to operate it, incurring costs and expenses. The present task is to fashion a remedy within the applicable principles that best reflects that loss, while recognizing the uncertainties of that process, and the fact the plaintiffs still retain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270</w:t>
      </w:r>
      <w:r>
        <w:rPr>
          <w:rFonts w:ascii="arial" w:eastAsia="arial" w:hAnsi="arial" w:cs="arial"/>
          <w:color w:val="000000"/>
          <w:sz w:val="20"/>
          <w:lang w:val="en-US" w:eastAsia="en-US" w:bidi="ar-SA"/>
        </w:rPr>
        <w:t>  In my view, Mr. Holmes' report provides that means. I accept the approach taken by him as best estimating the loss at the time of the "breach" February 14, 1994. I calculate the immediate loss as being the difference between Mr. Holmes' Normal Market Value and his rounded Net Discounted Value and award the plaintiffs $440,000.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271</w:t>
      </w:r>
      <w:r>
        <w:rPr>
          <w:rFonts w:ascii="arial" w:eastAsia="arial" w:hAnsi="arial" w:cs="arial"/>
          <w:color w:val="000000"/>
          <w:sz w:val="20"/>
          <w:lang w:val="en-US" w:eastAsia="en-US" w:bidi="ar-SA"/>
        </w:rPr>
        <w:t>  Theoretically this estimate compensates the plaintiffs for the difference in value of the property while compensating them for the costs of providing an alternate water supply and the funds to treat the soils with gypsum. In addition it includes Mr. Holmes' allowance for "other contingencies" of $37,500.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272</w:t>
      </w:r>
      <w:r>
        <w:rPr>
          <w:rFonts w:ascii="arial" w:eastAsia="arial" w:hAnsi="arial" w:cs="arial"/>
          <w:color w:val="000000"/>
          <w:sz w:val="20"/>
          <w:lang w:val="en-US" w:eastAsia="en-US" w:bidi="ar-SA"/>
        </w:rPr>
        <w:t>  I have reviewed at length Ms. Dendy's report (Exhibit 9). I regret to say I do not find it helpful in terms of the claim for actual out-of-pocket expenses. It isn't so much the calculation that is the difficulty but rather the appropriateness of including within a damage assessment calculated to represent the difference in value as at February 14, 1994, the actual expenses incurred after that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273</w:t>
      </w:r>
      <w:r>
        <w:rPr>
          <w:rFonts w:ascii="arial" w:eastAsia="arial" w:hAnsi="arial" w:cs="arial"/>
          <w:color w:val="000000"/>
          <w:sz w:val="20"/>
          <w:lang w:val="en-US" w:eastAsia="en-US" w:bidi="ar-SA"/>
        </w:rPr>
        <w:t>  In my view, the most appropriate approach is to remain within the framework of the approach taken by Mr. Holmes to attempt to quantify those costs as at February 14, 1994. In doing so I recognize that the actual out-of-pocket expenses exceeded those contemplated in Mr. Holmes' model, in part, because of the way in which disclosures of the problem occurred over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274</w:t>
      </w:r>
      <w:r>
        <w:rPr>
          <w:rFonts w:ascii="arial" w:eastAsia="arial" w:hAnsi="arial" w:cs="arial"/>
          <w:color w:val="000000"/>
          <w:sz w:val="20"/>
          <w:lang w:val="en-US" w:eastAsia="en-US" w:bidi="ar-SA"/>
        </w:rPr>
        <w:t>  Taking the adjusted numbers set out above and recognizing that because of the defendants' conduct additional costs and efforts were required of the plaintiffs I add to the award an additional $90,000 as compensation for additional out-of-pocket expenses in the category of "other contingencies" identified by Mr. Holmes. I specifically decline to include within this award the amount of finance charges claimed which, in my view, are not recoverable.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LOSS OF PROFIT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275</w:t>
      </w:r>
      <w:r>
        <w:rPr>
          <w:rFonts w:ascii="arial" w:eastAsia="arial" w:hAnsi="arial" w:cs="arial"/>
          <w:color w:val="000000"/>
          <w:sz w:val="20"/>
          <w:lang w:val="en-US" w:eastAsia="en-US" w:bidi="ar-SA"/>
        </w:rPr>
        <w:t>  I have no doubt that what was represented to the Wiebes was that the Rocky Point Ranch was an operating entity generating substantial revenue from cattle sales and from the sale of hay that was in excess of the ranch's needs.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276</w:t>
      </w:r>
      <w:r>
        <w:rPr>
          <w:rFonts w:ascii="arial" w:eastAsia="arial" w:hAnsi="arial" w:cs="arial"/>
          <w:color w:val="000000"/>
          <w:sz w:val="20"/>
          <w:lang w:val="en-US" w:eastAsia="en-US" w:bidi="ar-SA"/>
        </w:rPr>
        <w:t>  In East v. Maurer, [1991] 2 All E.R. 733 the English Court of Appeal had before it the issue of whether loss of profits could be recovered in an action for deceit as being actual damages flowing from the fraudulent misrepresentations.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277</w:t>
      </w:r>
      <w:r>
        <w:rPr>
          <w:rFonts w:ascii="arial" w:eastAsia="arial" w:hAnsi="arial" w:cs="arial"/>
          <w:color w:val="000000"/>
          <w:sz w:val="20"/>
          <w:lang w:val="en-US" w:eastAsia="en-US" w:bidi="ar-SA"/>
        </w:rPr>
        <w:t>  Bedlam, L.J. at p. 736 held: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That the measure of damages for the tort of deceit and for breach of contract are different no longer needs support from authority. Damages for deceit are not awarded on the basis that the plaintiff is to be put in as good a position as if the statement had been true; they are to be assessed on a basis which would compensate the plaintiff for all the loss he has suffered, so far as money can do 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was confirmed in Doyle v. Olby (Ironmongers) Ltd. [1969] 2 All ER 119, [1969] 2 QB 158, to which both the learned judge and this court were referred, in which the facts were similar to those of the present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278</w:t>
      </w:r>
      <w:r>
        <w:rPr>
          <w:rFonts w:ascii="arial" w:eastAsia="arial" w:hAnsi="arial" w:cs="arial"/>
          <w:color w:val="000000"/>
          <w:sz w:val="20"/>
          <w:lang w:val="en-US" w:eastAsia="en-US" w:bidi="ar-SA"/>
        </w:rPr>
        <w:t>  At p. 739 he went on to note that the calculation of damages in this type of action is not susceptible to mathematical precision.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learned trial judge, as Mr Nicholson has pointed out, had two clear starting points: first, that any person investing 20,000 [pounds] in a business would expect a greater return than if the sum was left safely in the bank or in a building society earning interest, and a reasonable figure for that at the rates then prevailing would have been at least 6,000 [pounds]; secondly, that the salary of a hairdresser's assistant in the usual kind of establishment was at this time 40 [pounds] per week and that the assistant could expect tips in addition. That would produce a figure of over 2,000 [pounds], but the proprietor of a salon would clearly expect to earn more, having risked his money in the business. It seems to me that those are valid points from which to start to consider what would be a reasonable sum to award for loss of profits of a business of this kind. </w:t>
      </w:r>
      <w:r>
        <w:rPr>
          <w:rFonts w:ascii="arial" w:eastAsia="arial" w:hAnsi="arial" w:cs="arial"/>
          <w:color w:val="000000"/>
          <w:sz w:val="20"/>
          <w:u w:val="single"/>
          <w:lang w:val="en-US" w:eastAsia="en-US" w:bidi="ar-SA"/>
        </w:rPr>
        <w:t>As was pointed out by Winn LJ in Doyle v. Olby, this is not a question which can be considered on a mathematical basis. It has to be considered essentially in the round, making what he described as a jury assessment (see [1969] 2 All ER 119 at 124, [1969] 2 QB 158 at 169).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279</w:t>
      </w:r>
      <w:r>
        <w:rPr>
          <w:rFonts w:ascii="arial" w:eastAsia="arial" w:hAnsi="arial" w:cs="arial"/>
          <w:color w:val="000000"/>
          <w:sz w:val="20"/>
          <w:lang w:val="en-US" w:eastAsia="en-US" w:bidi="ar-SA"/>
        </w:rPr>
        <w:t xml:space="preserve">  This latter approach to the assessment of damages was adopted by Osler, J. in Shull v. Clauson </w:t>
      </w:r>
      <w:hyperlink r:id="rId418" w:history="1">
        <w:r>
          <w:rPr>
            <w:rFonts w:ascii="arial" w:eastAsia="arial" w:hAnsi="arial" w:cs="arial"/>
            <w:i/>
            <w:color w:val="0077CC"/>
            <w:sz w:val="20"/>
            <w:u w:val="single"/>
            <w:shd w:val="clear" w:color="auto" w:fill="FFFFFF"/>
            <w:lang w:val="en-US" w:eastAsia="en-US" w:bidi="ar-SA"/>
          </w:rPr>
          <w:t>(1969), 7 D.L.R. (3d) 410</w:t>
        </w:r>
      </w:hyperlink>
      <w:r>
        <w:rPr>
          <w:rFonts w:ascii="arial" w:eastAsia="arial" w:hAnsi="arial" w:cs="arial"/>
          <w:color w:val="000000"/>
          <w:sz w:val="20"/>
          <w:lang w:val="en-US" w:eastAsia="en-US" w:bidi="ar-SA"/>
        </w:rPr>
        <w:t xml:space="preserve"> at p. 415 where he held: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view, the principles enunciated by the Court of Appeal in England, in Doyle v. Olby (Ironmongers) Ltd., [1969] 2 All E.R. 119, and particularly by Lord Denning, M.R., have application to a case such as the present, and the Court there found that damages arising out of fraud are damages at large and should be assessed largely as a jury would do, without exclusion reliance on any particular formula.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280</w:t>
      </w:r>
      <w:r>
        <w:rPr>
          <w:rFonts w:ascii="arial" w:eastAsia="arial" w:hAnsi="arial" w:cs="arial"/>
          <w:color w:val="000000"/>
          <w:sz w:val="20"/>
          <w:lang w:val="en-US" w:eastAsia="en-US" w:bidi="ar-SA"/>
        </w:rPr>
        <w:t>  In the present case the Dendy report approached the calculation of loss of profits in different ways. She first created a theoretical model of the Rocky Point Ranch without the water problems and compared that model to the Wiebes' actual experience.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281</w:t>
      </w:r>
      <w:r>
        <w:rPr>
          <w:rFonts w:ascii="arial" w:eastAsia="arial" w:hAnsi="arial" w:cs="arial"/>
          <w:color w:val="000000"/>
          <w:sz w:val="20"/>
          <w:lang w:val="en-US" w:eastAsia="en-US" w:bidi="ar-SA"/>
        </w:rPr>
        <w:t>  The method used was to first prepare year end accounts, then to adjust those accounts to remove incremental expenses. Ms. Dendy then compared the net equity from the adjusted year end reports to two different theoretical scenarios:</w:t>
      </w:r>
      <w:r>
        <w:rPr>
          <w:rFonts w:ascii="arial" w:eastAsia="arial" w:hAnsi="arial" w:cs="arial"/>
          <w:sz w:val="20"/>
          <w:lang w:val="en-US" w:eastAsia="en-US" w:bidi="ar-SA"/>
        </w:rPr>
        <w:cr/>
      </w:r>
    </w:p>
    <w:p>
      <w:pPr>
        <w:numPr>
          <w:numId w:val="10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first ("Normal" model) she assumed that further arable land would have been brought under irrigated production; and</w:t>
      </w:r>
    </w:p>
    <w:p>
      <w:pPr>
        <w:numPr>
          <w:numId w:val="10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second ("Basic" model) she assumed that no further expansion of production would have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282</w:t>
      </w:r>
      <w:r>
        <w:rPr>
          <w:rFonts w:ascii="arial" w:eastAsia="arial" w:hAnsi="arial" w:cs="arial"/>
          <w:color w:val="000000"/>
          <w:sz w:val="20"/>
          <w:lang w:val="en-US" w:eastAsia="en-US" w:bidi="ar-SA"/>
        </w:rPr>
        <w:t>  Ms. Dendy's report projects the difference in equity in the "Normal" model as at the end of 1999 as $675,236 (adjusted). In the "Basic" model the difference projected is $577,810.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283</w:t>
      </w:r>
      <w:r>
        <w:rPr>
          <w:rFonts w:ascii="arial" w:eastAsia="arial" w:hAnsi="arial" w:cs="arial"/>
          <w:color w:val="000000"/>
          <w:sz w:val="20"/>
          <w:lang w:val="en-US" w:eastAsia="en-US" w:bidi="ar-SA"/>
        </w:rPr>
        <w:t>  Ms. Dendy then calculated what she identifies as the opportunity cost to the Wiebes of their purchase of the Rocky Point Ranch. In this scenario she assumed that the Wiebes would have had $420,000 available from the sale of their dairy operation and that Linton Wiebe would have found work as a truck driver earning $40,000 to $50,000 per year. By investing the $420,000 in Canada Savings Bonds and projecting those earnings after taxes she calculated that they would have had savings of $520,589 at the end of 1999 compared to a negative equity of $119,000, a theoretical loss of $639,689.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284</w:t>
      </w:r>
      <w:r>
        <w:rPr>
          <w:rFonts w:ascii="arial" w:eastAsia="arial" w:hAnsi="arial" w:cs="arial"/>
          <w:color w:val="000000"/>
          <w:sz w:val="20"/>
          <w:lang w:val="en-US" w:eastAsia="en-US" w:bidi="ar-SA"/>
        </w:rPr>
        <w:t>  I accept these calculations as useful indicators showing the magnitude of the Wiebes' loss. Assessing damages under this head "in the round" I award the plaintiffs $500,000 as loss of profits arising from the defendants' deceit.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COST OF BORROWING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285</w:t>
      </w:r>
      <w:r>
        <w:rPr>
          <w:rFonts w:ascii="arial" w:eastAsia="arial" w:hAnsi="arial" w:cs="arial"/>
          <w:color w:val="000000"/>
          <w:sz w:val="20"/>
          <w:lang w:val="en-US" w:eastAsia="en-US" w:bidi="ar-SA"/>
        </w:rPr>
        <w:t>  In their submissions the plaintiffs seek $11,140.62 in finance charges under the category of actual out-of-pocket expenses and a further $231,500 as the cost of borrowing to finance the cost of remediation.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286</w:t>
      </w:r>
      <w:r>
        <w:rPr>
          <w:rFonts w:ascii="arial" w:eastAsia="arial" w:hAnsi="arial" w:cs="arial"/>
          <w:color w:val="000000"/>
          <w:sz w:val="20"/>
          <w:lang w:val="en-US" w:eastAsia="en-US" w:bidi="ar-SA"/>
        </w:rPr>
        <w:t>  With the greatest of respect, no authority was provided which would justify such a claim which seems very close to a claim based on inpecuniosity. With respect to the second of these claims such an award, in my view, is contrary to the approach of calculating those damages as at the time of breach. In my view, an award of compensation for these claims would be unreasonable and unwarranted.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287</w:t>
      </w:r>
      <w:r>
        <w:rPr>
          <w:rFonts w:ascii="arial" w:eastAsia="arial" w:hAnsi="arial" w:cs="arial"/>
          <w:color w:val="000000"/>
          <w:sz w:val="20"/>
          <w:lang w:val="en-US" w:eastAsia="en-US" w:bidi="ar-SA"/>
        </w:rPr>
        <w:t>  The plaintiffs will recover from the defendants, Donald Charles Gunderson and Arlene Faith Gunderson: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5438"/>
        <w:gridCol w:w="313"/>
        <w:gridCol w:w="1255"/>
        <w:gridCol w:w="282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Damages calculated on the basis of</w:t>
            </w:r>
          </w:p>
        </w:tc>
        <w:tc>
          <w:tcPr>
            <w:tcW w:w="307"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440,000</w:t>
            </w:r>
          </w:p>
        </w:tc>
        <w:tc>
          <w:tcPr>
            <w:tcW w:w="2765"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the difference of the amount paid and</w:t>
            </w:r>
          </w:p>
        </w:tc>
        <w:tc>
          <w:tcPr>
            <w:tcW w:w="307"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765"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the discounted net value of the property</w:t>
            </w:r>
          </w:p>
        </w:tc>
        <w:tc>
          <w:tcPr>
            <w:tcW w:w="307"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765"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at February 14, 1994</w:t>
            </w:r>
          </w:p>
        </w:tc>
        <w:tc>
          <w:tcPr>
            <w:tcW w:w="30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22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765"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5124"/>
        <w:gridCol w:w="627"/>
        <w:gridCol w:w="1255"/>
        <w:gridCol w:w="282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01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Additional damages for out-of-pocket</w:t>
            </w:r>
          </w:p>
        </w:tc>
        <w:tc>
          <w:tcPr>
            <w:tcW w:w="61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90,000</w:t>
            </w:r>
          </w:p>
        </w:tc>
        <w:tc>
          <w:tcPr>
            <w:tcW w:w="2765"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01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expenses</w:t>
            </w:r>
          </w:p>
        </w:tc>
        <w:tc>
          <w:tcPr>
            <w:tcW w:w="61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22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765"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869"/>
        <w:gridCol w:w="1882"/>
        <w:gridCol w:w="1255"/>
        <w:gridCol w:w="282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78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Loss of Profits</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122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500,000</w:t>
            </w:r>
          </w:p>
        </w:tc>
        <w:tc>
          <w:tcPr>
            <w:tcW w:w="2765"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556"/>
        <w:gridCol w:w="3450"/>
        <w:gridCol w:w="282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 AWARD:</w:t>
            </w:r>
          </w:p>
        </w:tc>
        <w:tc>
          <w:tcPr>
            <w:tcW w:w="337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$1,030,000</w:t>
            </w:r>
          </w:p>
        </w:tc>
        <w:tc>
          <w:tcPr>
            <w:tcW w:w="2765"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288</w:t>
      </w:r>
      <w:r>
        <w:rPr>
          <w:rFonts w:ascii="arial" w:eastAsia="arial" w:hAnsi="arial" w:cs="arial"/>
          <w:color w:val="000000"/>
          <w:sz w:val="20"/>
          <w:lang w:val="en-US" w:eastAsia="en-US" w:bidi="ar-SA"/>
        </w:rPr>
        <w:t>  The $43,000 paid into trust on behalf of the defendants and third parties Countrywide Videoview Realty Inc. and Maurice Alexandre, together with accumulated interest will be paid out under the terms of the settlement agreement (Exhibit 1) to the plaintiffs' credit.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289</w:t>
      </w:r>
      <w:r>
        <w:rPr>
          <w:rFonts w:ascii="arial" w:eastAsia="arial" w:hAnsi="arial" w:cs="arial"/>
          <w:color w:val="000000"/>
          <w:sz w:val="20"/>
          <w:lang w:val="en-US" w:eastAsia="en-US" w:bidi="ar-SA"/>
        </w:rPr>
        <w:t>  As requested at trial costs may be spoken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PARRETT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29" style="position:absolute;z-index:25183232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19"/>
          <w:headerReference w:type="default" r:id="rId420"/>
          <w:footerReference w:type="even" r:id="rId421"/>
          <w:footerReference w:type="default" r:id="rId422"/>
          <w:headerReference w:type="first" r:id="rId423"/>
          <w:footerReference w:type="first" r:id="rId42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25" w:history="1">
        <w:r>
          <w:rPr>
            <w:rFonts w:ascii="arial" w:eastAsia="arial" w:hAnsi="arial" w:cs="arial"/>
            <w:b/>
            <w:bCs/>
            <w:i/>
            <w:color w:val="0077CC"/>
            <w:kern w:val="32"/>
            <w:sz w:val="28"/>
            <w:szCs w:val="32"/>
            <w:u w:val="single"/>
            <w:shd w:val="clear" w:color="auto" w:fill="FFFFFF"/>
            <w:lang w:val="en-US" w:eastAsia="en-US" w:bidi="ar-SA"/>
          </w:rPr>
          <w:t>Windset Greenhouses (Ladner) Ltd. v. Delta, [2006] B.C.J. No. 1198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Tysoe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May 17,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Released: May 31,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S014836</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[2006] B.C.J. No. 1198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2006 BCSC 836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24 M.P.L.R. (4th) 50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45 R.P.R. (4th) 217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150 A.C.W.S. (3d) 1003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2006 CarswellBC 1309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Windset Greenhouses (Ladner) Ltd., plaintiff, and The Corporation of Delta,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30" style="position:absolute;z-index:2516797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37" w:name="Keywords_20"/>
      <w:bookmarkEnd w:id="137"/>
      <w:r>
        <w:rPr>
          <w:rFonts w:ascii="arial" w:eastAsia="arial" w:hAnsi="arial" w:cs="arial"/>
          <w:b/>
          <w:color w:val="000000"/>
          <w:sz w:val="20"/>
          <w:lang w:val="en-US" w:eastAsia="en-US" w:bidi="ar-SA"/>
        </w:rPr>
        <w:t>Civil procedure — Costs — Special orders — Unproved allegations of fraud — Party and party or partial indemnity — Defendant awarded party and party costs on scale 4 — Plaintiff's action for abuse of office dismissed — Special costs not warranted since allegation of abuse of public office within context of this action did not carry same stigma as stigma which usually attached to allegation of fraud in traditional sense.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38" w:name="Case Summary_18"/>
            <w:bookmarkEnd w:id="13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Ruling respecting costs -- Plaintiff's action for abuse of public office dismissed -- Defendant sought special costs on basis that unproven claim of abuse of public office was equivalent to allegation of fraud and warranted rebuke -- Although it had been proven in prior proceedings that defendant had acted inappropriately, plaintiff was unable to prove in present action elements to make conduct compensable -- HELD: Defendant awarded party and party costs on scale 4 -- Allegation of abuse of public office within context of this action did not carry same stigma as stigma which usually attached to allegation of fraud in traditional sense -- Sanction of special costs not warranted -- Matter not of unusual difficulty and no of general public importance.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39" w:name="Legislation Cited_19"/>
      <w:bookmarkEnd w:id="13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31" style="position:absolute;z-index:2517309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Briish Columbia Rules of Court, s. 2(2)</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40" w:name="Counsel_20"/>
      <w:bookmarkEnd w:id="140"/>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32" style="position:absolute;z-index:2517821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Darrell W. Roberts, Q.C.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Michael P. Carroll, Q.C.</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41" w:name="Judgment_20"/>
      <w:bookmarkEnd w:id="141"/>
      <w:r>
        <w:pict>
          <v:line id="_x0000_s1133" style="position:absolute;z-index:251833344"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42" w:name="TYSOE J. (orally)"/>
            <w:bookmarkEnd w:id="142"/>
            <w:r>
              <w:rPr>
                <w:rFonts w:ascii="arial" w:eastAsia="arial" w:hAnsi="arial" w:cs="arial"/>
                <w:b/>
                <w:color w:val="000000"/>
                <w:sz w:val="30"/>
                <w:lang w:val="en-US" w:eastAsia="en-US" w:bidi="ar-SA"/>
              </w:rPr>
              <w:t>TYSOE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This hearing follows upon my Reasons for Judgment issued on March 2, 2006, </w:t>
      </w:r>
      <w:hyperlink r:id="rId426" w:history="1">
        <w:r>
          <w:rPr>
            <w:rFonts w:ascii="arial" w:eastAsia="arial" w:hAnsi="arial" w:cs="arial"/>
            <w:i/>
            <w:color w:val="0077CC"/>
            <w:sz w:val="20"/>
            <w:u w:val="single"/>
            <w:shd w:val="clear" w:color="auto" w:fill="FFFFFF"/>
            <w:lang w:val="en-US" w:eastAsia="en-US" w:bidi="ar-SA"/>
          </w:rPr>
          <w:t>[2006] B.C.J. No. 459</w:t>
        </w:r>
      </w:hyperlink>
      <w:r>
        <w:rPr>
          <w:rFonts w:ascii="arial" w:eastAsia="arial" w:hAnsi="arial" w:cs="arial"/>
          <w:color w:val="000000"/>
          <w:sz w:val="20"/>
          <w:lang w:val="en-US" w:eastAsia="en-US" w:bidi="ar-SA"/>
        </w:rPr>
        <w:t xml:space="preserve">, </w:t>
      </w:r>
      <w:hyperlink r:id="rId426" w:history="1">
        <w:r>
          <w:rPr>
            <w:rFonts w:ascii="arial" w:eastAsia="arial" w:hAnsi="arial" w:cs="arial"/>
            <w:i/>
            <w:color w:val="0077CC"/>
            <w:sz w:val="20"/>
            <w:u w:val="single"/>
            <w:shd w:val="clear" w:color="auto" w:fill="FFFFFF"/>
            <w:lang w:val="en-US" w:eastAsia="en-US" w:bidi="ar-SA"/>
          </w:rPr>
          <w:t>2006 BCSC 339</w:t>
        </w:r>
      </w:hyperlink>
      <w:r>
        <w:rPr>
          <w:rFonts w:ascii="arial" w:eastAsia="arial" w:hAnsi="arial" w:cs="arial"/>
          <w:color w:val="000000"/>
          <w:sz w:val="20"/>
          <w:lang w:val="en-US" w:eastAsia="en-US" w:bidi="ar-SA"/>
        </w:rPr>
        <w:t xml:space="preserve">, in which I dismissed the Plaintiff's claims in the tort of abuse of public office, which is also known as misfeasance in a public office, and the tort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 had acceded to counsel's request to make submissions on the topic of costs after I issued my Reasons for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At this hearing, counsel for the Defendant seeks special costs or, in the alternative, party and party costs on scale 5. Counsel for the Plaintiff submits that party and party costs at scale 4 are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Counsel for the Defendant has cited one of the many statements of the test for an award of special costs. In </w:t>
      </w:r>
      <w:r>
        <w:rPr>
          <w:rFonts w:ascii="arial" w:eastAsia="arial" w:hAnsi="arial" w:cs="arial"/>
          <w:b/>
          <w:i/>
          <w:color w:val="000000"/>
          <w:sz w:val="20"/>
          <w:lang w:val="en-US" w:eastAsia="en-US" w:bidi="ar-SA"/>
        </w:rPr>
        <w:t>Garcia v. Crestbrook Forest Industries Ltd.</w:t>
      </w:r>
      <w:r>
        <w:rPr>
          <w:rFonts w:ascii="arial" w:eastAsia="arial" w:hAnsi="arial" w:cs="arial"/>
          <w:color w:val="000000"/>
          <w:sz w:val="20"/>
          <w:lang w:val="en-US" w:eastAsia="en-US" w:bidi="ar-SA"/>
        </w:rPr>
        <w:t xml:space="preserve">, </w:t>
      </w:r>
      <w:hyperlink r:id="rId108" w:history="1">
        <w:r>
          <w:rPr>
            <w:rFonts w:ascii="arial" w:eastAsia="arial" w:hAnsi="arial" w:cs="arial"/>
            <w:i/>
            <w:color w:val="0077CC"/>
            <w:sz w:val="20"/>
            <w:u w:val="single"/>
            <w:shd w:val="clear" w:color="auto" w:fill="FFFFFF"/>
            <w:lang w:val="en-US" w:eastAsia="en-US" w:bidi="ar-SA"/>
          </w:rPr>
          <w:t>[1994] B.C.J. No. 2486</w:t>
        </w:r>
      </w:hyperlink>
      <w:r>
        <w:rPr>
          <w:rFonts w:ascii="arial" w:eastAsia="arial" w:hAnsi="arial" w:cs="arial"/>
          <w:color w:val="000000"/>
          <w:sz w:val="20"/>
          <w:lang w:val="en-US" w:eastAsia="en-US" w:bidi="ar-SA"/>
        </w:rPr>
        <w:t>, the Court of Appeal said the following at paragraph 17: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it is my opinion that the single standard for the awarding of special costs is that the conduct in question properly be characterized as "reprehensible". As Chief Justice Esson said in </w:t>
      </w:r>
      <w:r>
        <w:rPr>
          <w:rFonts w:ascii="arial" w:eastAsia="arial" w:hAnsi="arial" w:cs="arial"/>
          <w:b/>
          <w:i/>
          <w:color w:val="000000"/>
          <w:sz w:val="20"/>
          <w:lang w:val="en-US" w:eastAsia="en-US" w:bidi="ar-SA"/>
        </w:rPr>
        <w:t>Leung v. Leung</w:t>
      </w:r>
      <w:r>
        <w:rPr>
          <w:rFonts w:ascii="arial" w:eastAsia="arial" w:hAnsi="arial" w:cs="arial"/>
          <w:color w:val="000000"/>
          <w:sz w:val="20"/>
          <w:lang w:val="en-US" w:eastAsia="en-US" w:bidi="ar-SA"/>
        </w:rPr>
        <w:t xml:space="preserve"> [</w:t>
      </w:r>
      <w:hyperlink r:id="rId111" w:history="1">
        <w:r>
          <w:rPr>
            <w:rFonts w:ascii="arial" w:eastAsia="arial" w:hAnsi="arial" w:cs="arial"/>
            <w:i/>
            <w:color w:val="0077CC"/>
            <w:sz w:val="20"/>
            <w:u w:val="single"/>
            <w:shd w:val="clear" w:color="auto" w:fill="FFFFFF"/>
            <w:lang w:val="en-US" w:eastAsia="en-US" w:bidi="ar-SA"/>
          </w:rPr>
          <w:t>(1993), 77 B.C.L.R. (2d) 314</w:t>
        </w:r>
      </w:hyperlink>
      <w:r>
        <w:rPr>
          <w:rFonts w:ascii="arial" w:eastAsia="arial" w:hAnsi="arial" w:cs="arial"/>
          <w:color w:val="000000"/>
          <w:sz w:val="20"/>
          <w:lang w:val="en-US" w:eastAsia="en-US" w:bidi="ar-SA"/>
        </w:rPr>
        <w:t xml:space="preserve"> at 315], the word reprehensible is a word of wide meaning. It encompasses scandalous or outrageous conduct, but it also encompasses milder forms of misconduct deserving of reproof or rebuke.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It is widely accepted that the making of unproven allegations of fraud in a lawsuit constitutes reprehensible conduct deserving of rebuke. Counsel for the Defendant submits that the allegation of abuse of public office made by the Plaintiff in this case is equivalent to an allegation of fraud.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the case at bar, it had already been determined in prior proceedings that the Defendant had acted inappropriately. The issue in this action was whether the Plaintiff was entitled to be compensated as a result of the actions of the Defendant. In the context of the tort of abuse of public office, the Plaintiff needed to prove that the Defendant had acted unlawfully with a mind of reckless indifference to the illegality of its actions and to the probability of injury to the Plaintiff. The Plaintiff did have a justifiable grievance against the Defendant but was not able to prove the elements required to make it a compensatable grievance.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Although Madam Justice Newbury commented at paragraph 8 of a decision in </w:t>
      </w:r>
      <w:r>
        <w:rPr>
          <w:rFonts w:ascii="arial" w:eastAsia="arial" w:hAnsi="arial" w:cs="arial"/>
          <w:b/>
          <w:i/>
          <w:color w:val="000000"/>
          <w:sz w:val="20"/>
          <w:lang w:val="en-US" w:eastAsia="en-US" w:bidi="ar-SA"/>
        </w:rPr>
        <w:t>Powder Mountain Resorts Ltd. v. British Columbia</w:t>
      </w:r>
      <w:r>
        <w:rPr>
          <w:rFonts w:ascii="arial" w:eastAsia="arial" w:hAnsi="arial" w:cs="arial"/>
          <w:color w:val="000000"/>
          <w:sz w:val="20"/>
          <w:lang w:val="en-US" w:eastAsia="en-US" w:bidi="ar-SA"/>
        </w:rPr>
        <w:t xml:space="preserve">, </w:t>
      </w:r>
      <w:hyperlink r:id="rId427" w:history="1">
        <w:r>
          <w:rPr>
            <w:rFonts w:ascii="arial" w:eastAsia="arial" w:hAnsi="arial" w:cs="arial"/>
            <w:i/>
            <w:color w:val="0077CC"/>
            <w:sz w:val="20"/>
            <w:u w:val="single"/>
            <w:shd w:val="clear" w:color="auto" w:fill="FFFFFF"/>
            <w:lang w:val="en-US" w:eastAsia="en-US" w:bidi="ar-SA"/>
          </w:rPr>
          <w:t>[2001] B.C.J. No. 2172</w:t>
        </w:r>
      </w:hyperlink>
      <w:r>
        <w:rPr>
          <w:rFonts w:ascii="arial" w:eastAsia="arial" w:hAnsi="arial" w:cs="arial"/>
          <w:color w:val="000000"/>
          <w:sz w:val="20"/>
          <w:lang w:val="en-US" w:eastAsia="en-US" w:bidi="ar-SA"/>
        </w:rPr>
        <w:t xml:space="preserve">, </w:t>
      </w:r>
      <w:hyperlink r:id="rId427" w:history="1">
        <w:r>
          <w:rPr>
            <w:rFonts w:ascii="arial" w:eastAsia="arial" w:hAnsi="arial" w:cs="arial"/>
            <w:i/>
            <w:color w:val="0077CC"/>
            <w:sz w:val="20"/>
            <w:u w:val="single"/>
            <w:shd w:val="clear" w:color="auto" w:fill="FFFFFF"/>
            <w:lang w:val="en-US" w:eastAsia="en-US" w:bidi="ar-SA"/>
          </w:rPr>
          <w:t>2001 BCCA 619</w:t>
        </w:r>
      </w:hyperlink>
      <w:r>
        <w:rPr>
          <w:rFonts w:ascii="arial" w:eastAsia="arial" w:hAnsi="arial" w:cs="arial"/>
          <w:color w:val="000000"/>
          <w:sz w:val="20"/>
          <w:lang w:val="en-US" w:eastAsia="en-US" w:bidi="ar-SA"/>
        </w:rPr>
        <w:t xml:space="preserve"> that the tort of abuse of public office will in the minds of most observers carry the stench of dishonesty because it requires bad faith, it is my view that the allegation of abuse of public office within the context of this action did not carry the same stigma as the stigma which usually attaches to an allegation of fraud in the traditional sense. If the Defendant had been unsuccessful in its defence of this action, I doubt that an objective observer would have considered it less trustworthy as a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I appreciate that counsel for the Plaintiff used forceful words such as "dishonesty" and "extortion" in his closing submissions at trial. The litigation was hard fought and in choosing his words, counsel was probably mindful of the comment made by Madam Justice Newbury in </w:t>
      </w:r>
      <w:r>
        <w:rPr>
          <w:rFonts w:ascii="arial" w:eastAsia="arial" w:hAnsi="arial" w:cs="arial"/>
          <w:b/>
          <w:i/>
          <w:color w:val="000000"/>
          <w:sz w:val="20"/>
          <w:lang w:val="en-US" w:eastAsia="en-US" w:bidi="ar-SA"/>
        </w:rPr>
        <w:t>Powder Mountain</w:t>
      </w:r>
      <w:r>
        <w:rPr>
          <w:rFonts w:ascii="arial" w:eastAsia="arial" w:hAnsi="arial" w:cs="arial"/>
          <w:color w:val="000000"/>
          <w:sz w:val="20"/>
          <w:lang w:val="en-US" w:eastAsia="en-US" w:bidi="ar-SA"/>
        </w:rPr>
        <w:t>, and the requirement for clear proof.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all of the circumstances in this action, I do not consider the making of the allegation of abuse of public office to constitute reprehensible conduct warranting the sanction of an award of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[PARA9] I turn now to the appropriate scale of which party and party costs should be assessed. In </w:t>
      </w:r>
      <w:r>
        <w:rPr>
          <w:rFonts w:ascii="arial" w:eastAsia="arial" w:hAnsi="arial" w:cs="arial"/>
          <w:b/>
          <w:i/>
          <w:color w:val="000000"/>
          <w:sz w:val="20"/>
          <w:lang w:val="en-US" w:eastAsia="en-US" w:bidi="ar-SA"/>
        </w:rPr>
        <w:t>Mort v. Saanich School Board No. 3</w:t>
      </w:r>
      <w:r>
        <w:rPr>
          <w:rFonts w:ascii="arial" w:eastAsia="arial" w:hAnsi="arial" w:cs="arial"/>
          <w:color w:val="000000"/>
          <w:sz w:val="20"/>
          <w:lang w:val="en-US" w:eastAsia="en-US" w:bidi="ar-SA"/>
        </w:rPr>
        <w:t xml:space="preserve">, </w:t>
      </w:r>
      <w:hyperlink r:id="rId428" w:history="1">
        <w:r>
          <w:rPr>
            <w:rFonts w:ascii="arial" w:eastAsia="arial" w:hAnsi="arial" w:cs="arial"/>
            <w:i/>
            <w:color w:val="0077CC"/>
            <w:sz w:val="20"/>
            <w:u w:val="single"/>
            <w:shd w:val="clear" w:color="auto" w:fill="FFFFFF"/>
            <w:lang w:val="en-US" w:eastAsia="en-US" w:bidi="ar-SA"/>
          </w:rPr>
          <w:t>[2001] B.C.J. No. 2151</w:t>
        </w:r>
      </w:hyperlink>
      <w:r>
        <w:rPr>
          <w:rFonts w:ascii="arial" w:eastAsia="arial" w:hAnsi="arial" w:cs="arial"/>
          <w:color w:val="000000"/>
          <w:sz w:val="20"/>
          <w:lang w:val="en-US" w:eastAsia="en-US" w:bidi="ar-SA"/>
        </w:rPr>
        <w:t xml:space="preserve">, </w:t>
      </w:r>
      <w:hyperlink r:id="rId428" w:history="1">
        <w:r>
          <w:rPr>
            <w:rFonts w:ascii="arial" w:eastAsia="arial" w:hAnsi="arial" w:cs="arial"/>
            <w:i/>
            <w:color w:val="0077CC"/>
            <w:sz w:val="20"/>
            <w:u w:val="single"/>
            <w:shd w:val="clear" w:color="auto" w:fill="FFFFFF"/>
            <w:lang w:val="en-US" w:eastAsia="en-US" w:bidi="ar-SA"/>
          </w:rPr>
          <w:t>2001 BCSC 1473</w:t>
        </w:r>
      </w:hyperlink>
      <w:r>
        <w:rPr>
          <w:rFonts w:ascii="arial" w:eastAsia="arial" w:hAnsi="arial" w:cs="arial"/>
          <w:color w:val="000000"/>
          <w:sz w:val="20"/>
          <w:lang w:val="en-US" w:eastAsia="en-US" w:bidi="ar-SA"/>
        </w:rPr>
        <w:t xml:space="preserve"> at paragraph 6, the Court summarized the factors to be considered in determining the difficulty of the matter for the purpose of s. 2(2) of Appendix B to the </w:t>
      </w:r>
      <w:r>
        <w:rPr>
          <w:rFonts w:ascii="arial" w:eastAsia="arial" w:hAnsi="arial" w:cs="arial"/>
          <w:b/>
          <w:i/>
          <w:color w:val="000000"/>
          <w:sz w:val="20"/>
          <w:lang w:val="en-US" w:eastAsia="en-US" w:bidi="ar-SA"/>
        </w:rPr>
        <w:t>Rules of Court</w:t>
      </w:r>
      <w:r>
        <w:rPr>
          <w:rFonts w:ascii="arial" w:eastAsia="arial" w:hAnsi="arial" w:cs="arial"/>
          <w:color w:val="000000"/>
          <w:sz w:val="20"/>
          <w:lang w:val="en-US" w:eastAsia="en-US" w:bidi="ar-SA"/>
        </w:rPr>
        <w:t xml:space="preserve"> as follows:</w:t>
      </w:r>
      <w:r>
        <w:rPr>
          <w:rFonts w:ascii="arial" w:eastAsia="arial" w:hAnsi="arial" w:cs="arial"/>
          <w:sz w:val="20"/>
          <w:lang w:val="en-US" w:eastAsia="en-US" w:bidi="ar-SA"/>
        </w:rPr>
        <w:cr/>
      </w:r>
    </w:p>
    <w:p>
      <w:pPr>
        <w:numPr>
          <w:numId w:val="10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length of the trial;</w:t>
      </w:r>
    </w:p>
    <w:p>
      <w:pPr>
        <w:numPr>
          <w:numId w:val="10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complexity of the issues involved;</w:t>
      </w:r>
    </w:p>
    <w:p>
      <w:pPr>
        <w:numPr>
          <w:numId w:val="10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number and complexity of pre-trial applications;</w:t>
      </w:r>
    </w:p>
    <w:p>
      <w:pPr>
        <w:numPr>
          <w:numId w:val="10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or not the action was hard fought with little or nothing being conceded along the way;</w:t>
      </w:r>
    </w:p>
    <w:p>
      <w:pPr>
        <w:numPr>
          <w:numId w:val="10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number and length of Examinations for Discovery;</w:t>
      </w:r>
    </w:p>
    <w:p>
      <w:pPr>
        <w:numPr>
          <w:numId w:val="10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number and complexity of Experts' Reports; and</w:t>
      </w:r>
    </w:p>
    <w:p>
      <w:pPr>
        <w:numPr>
          <w:numId w:val="10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extent of the effort required in the collection and proof of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Taking these factors into account, it is my view that this matter was of more than ordinary difficulty, but not of unusual difficulty.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terms of the degree of importance, there were other greenhouse growers in Delta which had an interest in this litigation but the matter was not of general public importance. In my opinion, the matter was of more than ordinary importance, but not of unusual importance.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 conclude that the difficulty and importance of this action both lead to the conclusion that scale 4 is appropriate. Accordingly, I grant the Defendant its party and party costs of this action assessed at scale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TYSOE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34" style="position:absolute;z-index:25185792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29"/>
          <w:headerReference w:type="default" r:id="rId430"/>
          <w:footerReference w:type="even" r:id="rId431"/>
          <w:footerReference w:type="default" r:id="rId432"/>
          <w:headerReference w:type="first" r:id="rId433"/>
          <w:footerReference w:type="first" r:id="rId43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35" w:history="1">
        <w:r>
          <w:rPr>
            <w:rFonts w:ascii="arial" w:eastAsia="arial" w:hAnsi="arial" w:cs="arial"/>
            <w:b/>
            <w:bCs/>
            <w:i/>
            <w:color w:val="0077CC"/>
            <w:kern w:val="32"/>
            <w:sz w:val="28"/>
            <w:szCs w:val="32"/>
            <w:u w:val="single"/>
            <w:shd w:val="clear" w:color="auto" w:fill="FFFFFF"/>
            <w:lang w:val="en-US" w:eastAsia="en-US" w:bidi="ar-SA"/>
          </w:rPr>
          <w:t>Wright v. McArthur, [2005] B.C.J. No. 2882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Nanaimo,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Lander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25,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28,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Nanaimo Registry No. S41058</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[2005] B.C.J. No. 2882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2005 BCSC 1797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146 A.C.W.S. (3d) 388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Timothy Barry Wright, plaintiff, and James McArthur,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35" style="position:absolute;z-index:2516807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43" w:name="Keywords_21"/>
      <w:bookmarkEnd w:id="143"/>
      <w:r>
        <w:rPr>
          <w:rFonts w:ascii="arial" w:eastAsia="arial" w:hAnsi="arial" w:cs="arial"/>
          <w:b/>
          <w:color w:val="000000"/>
          <w:sz w:val="20"/>
          <w:lang w:val="en-US" w:eastAsia="en-US" w:bidi="ar-SA"/>
        </w:rPr>
        <w:t>Tort law — Occupiers' liability — Duty of occupier — To invitees — Application by the defendant occupier for summary judgment dismissing the plaintiff invitee's action — Application allowed — The invitee fell off a deck after being warned that the deck was under renovation and the railings were not yet in place — The occupier was not obligated to make the deck off limits — The warning was reasonable.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44" w:name="Case Summary_19"/>
            <w:bookmarkEnd w:id="14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 McArthur, for summary judgment dismissing the plaintiff, Wright's, action -- McArthur was renovating a house, including the decks -- The upper deck, which was eight feet off the ground, did not yet have a railing in place -- There was a plan to install railings -- Wright visited McArthur unannounced -- McArthur gave Wright a tour of the house -- It was agreed that McArthur warned Wright and the other visitors to be careful because there were no railings on the deck -- Wright took the other visitors on a boat ride and McArthur wanted to take a picture -- He backed up on the deck, forgot about the absence of the railings, and fell off the deck causing injury -- Wright argued that McArthur should have made the deck off-limits and since he did not, he breached his duty under the Occupiers' Liability Act -- HELD: Application allowed -- The action was dismissed -- Although McArthur may have breached his duty under the Building Code, this was insufficient to establish liability -- McArthur did not breach his obligations under the Occupiers' Liability Act -- He was only obligated to do what was reasonable and not what would have been perfect -- The warning was sufficient; it was still daylight; Wright was not intoxicated; and Wright was not paying attention -- There was also an obligation on Wright, as an invitee, to take "proper care" for his own safety.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45" w:name="Legislation Cited_20"/>
      <w:bookmarkEnd w:id="14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36" style="position:absolute;z-index:2517319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Building Code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British Columbia Supreme Court Rules Rule 18A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Occupiers Liability Act s. 3, s. 3(1), s. 3(3), s. 4</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46" w:name="Counsel_21"/>
      <w:bookmarkEnd w:id="146"/>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37" style="position:absolute;z-index:2517831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A. de Turberville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M.E. MacKenzie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47" w:name="Judgment_21"/>
      <w:bookmarkEnd w:id="147"/>
      <w:r>
        <w:pict>
          <v:line id="_x0000_s1138" style="position:absolute;z-index:251834368"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8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48" w:name="LANDER J."/>
            <w:bookmarkEnd w:id="148"/>
            <w:r>
              <w:rPr>
                <w:rFonts w:ascii="arial" w:eastAsia="arial" w:hAnsi="arial" w:cs="arial"/>
                <w:b/>
                <w:color w:val="000000"/>
                <w:sz w:val="30"/>
                <w:lang w:val="en-US" w:eastAsia="en-US" w:bidi="ar-SA"/>
              </w:rPr>
              <w:t>LANDER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application under Rule 18A brought by the defendant against the plaintiff for an order that the claim of the plaintiff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did not object to the determination of this matter by way of Rule 18A.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On May 12, 2002, the plaintiff Mr. Wright, his son, Chad, and Chad's girlfriend, Cathy Davidson, dropped by the defendant, Mr. McArthur's house for a visit. This house is in Port Alberni and situated on Sproat Lake. In the year 2002 Mr. McArthur had a 16 foot K &amp; C Corba speed boat which he would dock at his next door neighbour's house when using it on Sproat Lake.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 McArthur deposed that he had made extensive renovations to the house since he purchased it. In or about April or May 2002 he installed a deck off the lower floor and off the main level of the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McArthur deposed that both the upper and lower decks were located at the rear of the house overlooking the lake. The upper deck is situated approximately 8 feet above the lower deck.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McArthur further deposed that on May 12th, 2002, he had not yet installed a railing on either the lower or upper decks. It was his plan to install railings but he had not installed any sort of temporary railing because he did not want to put any unnecessary holes or punctures in the fibreglass which he had laid on the deck.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While Mr. McArthur was out on his speed boat with a friend and passing his home he noticed that there were people on the lower deck. He went to the house and greeted the plaintiff, the plaintiff's son Chad and Chad's girlfriend. These people had arrived unannounced. The defendant then took the plaintiff, his son, Chad and girlfriend on a tour of the house. It is agreed that after the tour everyone went to the upper deck and were sitting on chairs which were placed against the wall of the house. It is further agreed that Mr. McArthur warned these persons to be careful as there were no railings on the deck.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After sitting on the deck for approximately 1 1/2 to 2 hours, the defendant took the plaintiff's son and son's girlfriend on a ride in his speedboat. The plaintiff did not go on the boat ride. At this point the evidence differs between the plaintiff and the defendant as to whether prior to departure for the boat ride the plaintiff said he wanted to take a picture of his son and his son's girlfriend in Mr. McArthur's boat. The plaintiff says that he told the defendant he was going to do this however the defendant says that the plaintiff did not tell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While the defendant and the others were out in the boat the plaintiff went to his vehicle to get his camera. As the boat came close to the dock the plaintiff got up to take a picture. He says he was holding on the camera with both hands and that there was a branch in his way so he stepped to the side, moved the branch, the branch remained in his way and he took another step to the side at which time he fell off the deck and was injured.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his affidavit, the plaintiff deposes that he had been warned that there were no railings and he states that he never forgot that there were no railings on the deck.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defendant takes the position that the plaintiff is solely liable for his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plaintiff acknowledges he is contributory negligent because he took a step that resulted in his fall while he was trying to take a picture and at that time he remembered there were no guardrails on the deck. However, it is his view that primary responsibility rests with the defendant because the defendant should have put the deck "off limits" and the defendant's failure to do so was not reasonable. He argues that the defendant is responsible for the following reasons:</w:t>
      </w:r>
      <w:r>
        <w:rPr>
          <w:rFonts w:ascii="arial" w:eastAsia="arial" w:hAnsi="arial" w:cs="arial"/>
          <w:sz w:val="20"/>
          <w:lang w:val="en-US" w:eastAsia="en-US" w:bidi="ar-SA"/>
        </w:rPr>
        <w:cr/>
      </w:r>
    </w:p>
    <w:p>
      <w:pPr>
        <w:numPr>
          <w:numId w:val="10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breached the BC Building Code by not having a guard rail and this should make the defendant liable.</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breached the Occupiers Liability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issues to be decided on this application are as follows:</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Does the breach of the BC Building Code establish that the defendant is liable?</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defendant breach the Occupiers Liability Act?</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there an assumption of risk by the plaintiff?</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Were the defendant's actions reasonable in the circumstances? Should the deck have been placed "off limits"?</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there is a breach of the Occupiers Liability Act has the plaintiff established causation?</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both the plaintiff and defendant are liable how should liability be apportioned?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47"/>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Issue #1</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Did the Defendant's breach of the Building Code, I find that it does not automatically render him liable.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evidence is that the deck the plaintiff fell from was still under construction and the railings that are required for a deck of that height pursuant to the BC Building Code had not yet been installed.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plaintiff's submission on this issue is that the defendant's breach of the Building Code is sufficient to make the defendant primarily 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Case law in BC suggests that the mere breach of the Building Code is not sufficient to attract liability and establish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(Kerriaff v. Gunerud </w:t>
      </w:r>
      <w:hyperlink r:id="rId436" w:history="1">
        <w:r>
          <w:rPr>
            <w:rFonts w:ascii="arial" w:eastAsia="arial" w:hAnsi="arial" w:cs="arial"/>
            <w:i/>
            <w:color w:val="0077CC"/>
            <w:sz w:val="20"/>
            <w:u w:val="single"/>
            <w:shd w:val="clear" w:color="auto" w:fill="FFFFFF"/>
            <w:lang w:val="en-US" w:eastAsia="en-US" w:bidi="ar-SA"/>
          </w:rPr>
          <w:t>[1989] B.C.J. No. 2</w:t>
        </w:r>
      </w:hyperlink>
      <w:r>
        <w:rPr>
          <w:rFonts w:ascii="arial" w:eastAsia="arial" w:hAnsi="arial" w:cs="arial"/>
          <w:color w:val="000000"/>
          <w:sz w:val="20"/>
          <w:lang w:val="en-US" w:eastAsia="en-US" w:bidi="ar-SA"/>
        </w:rPr>
        <w:t xml:space="preserve">, and Allen v. Redford Motor Ltd </w:t>
      </w:r>
      <w:hyperlink r:id="rId437" w:history="1">
        <w:r>
          <w:rPr>
            <w:rFonts w:ascii="arial" w:eastAsia="arial" w:hAnsi="arial" w:cs="arial"/>
            <w:i/>
            <w:color w:val="0077CC"/>
            <w:sz w:val="20"/>
            <w:u w:val="single"/>
            <w:shd w:val="clear" w:color="auto" w:fill="FFFFFF"/>
            <w:lang w:val="en-US" w:eastAsia="en-US" w:bidi="ar-SA"/>
          </w:rPr>
          <w:t>[1989] B.C.J No. 2221</w:t>
        </w:r>
      </w:hyperlink>
      <w:r>
        <w:rPr>
          <w:rFonts w:ascii="arial" w:eastAsia="arial" w:hAnsi="arial" w:cs="arial"/>
          <w:color w:val="000000"/>
          <w:sz w:val="20"/>
          <w:lang w:val="en-US" w:eastAsia="en-US" w:bidi="ar-SA"/>
        </w:rPr>
        <w:t xml:space="preserve">) but it may be a standard by which construction standards adopted may be measured (Dorsey v. Austrian Chalet In </w:t>
      </w:r>
      <w:hyperlink r:id="rId438" w:history="1">
        <w:r>
          <w:rPr>
            <w:rFonts w:ascii="arial" w:eastAsia="arial" w:hAnsi="arial" w:cs="arial"/>
            <w:i/>
            <w:color w:val="0077CC"/>
            <w:sz w:val="20"/>
            <w:u w:val="single"/>
            <w:shd w:val="clear" w:color="auto" w:fill="FFFFFF"/>
            <w:lang w:val="en-US" w:eastAsia="en-US" w:bidi="ar-SA"/>
          </w:rPr>
          <w:t>[1992] B.C.J. No. 1766</w:t>
        </w:r>
      </w:hyperlink>
      <w:r>
        <w:rPr>
          <w:rFonts w:ascii="arial" w:eastAsia="arial" w:hAnsi="arial" w:cs="arial"/>
          <w:color w:val="000000"/>
          <w:sz w:val="20"/>
          <w:lang w:val="en-US" w:eastAsia="en-US" w:bidi="ar-SA"/>
        </w:rPr>
        <w:t>). (Only one of these cases Dorsey was cited by counsel, it was cited by counsel for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defendant cannot be liable solely on the basis of a breach of the Building Code. The plaintiff still needs to prove that the defendant breached the obligations under the Occupiers Liability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47"/>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Issue #2</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Did the defendant meet its obligations under the Occupiers Liability Act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defendant's position is that the warning he gave to his guests to be careful because the deck did not have railings met his obligations to take reasonable care to ensure the safety of the plaintiff as required under the Occupiers Liability Act. The defendant's position is that the plaintiff was the author of his own misfortune.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The plaintiff contends that he did not willingly assume the risks of injury from being on the deck and that this defence was specifically rejected by the Supreme Court of Canada decision in Waldick v. Malcolm </w:t>
      </w:r>
      <w:r>
        <w:rPr>
          <w:rFonts w:ascii="arial" w:eastAsia="arial" w:hAnsi="arial" w:cs="arial"/>
          <w:i/>
          <w:color w:val="000000"/>
          <w:sz w:val="20"/>
          <w:lang w:val="en-US" w:eastAsia="en-US" w:bidi="ar-SA"/>
        </w:rPr>
        <w:t>83 D.L.R. (4th) 114</w:t>
      </w:r>
      <w:r>
        <w:rPr>
          <w:rFonts w:ascii="arial" w:eastAsia="arial" w:hAnsi="arial" w:cs="arial"/>
          <w:color w:val="000000"/>
          <w:sz w:val="20"/>
          <w:lang w:val="en-US" w:eastAsia="en-US" w:bidi="ar-SA"/>
        </w:rPr>
        <w:t xml:space="preserve"> (S.C.C.).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Further, the plaintiff argues that the warning given by the defendant was not sufficient to relieve the defendant from his duty under the Occupiers liability Act to take all care in the circumstances to see that Mr. Wright was reasonably safe. He argues that the defendant should have shown the guests the deck through the sliding glass door and then refused to take them onto the deck, and then put the deck "off limits". In support of the proposition that the defendant had an obligation to put the deck "off limits" the plaintiff cites Chretien v. Jensen </w:t>
      </w:r>
      <w:hyperlink r:id="rId439" w:history="1">
        <w:r>
          <w:rPr>
            <w:rFonts w:ascii="arial" w:eastAsia="arial" w:hAnsi="arial" w:cs="arial"/>
            <w:i/>
            <w:color w:val="0077CC"/>
            <w:sz w:val="20"/>
            <w:u w:val="single"/>
            <w:shd w:val="clear" w:color="auto" w:fill="FFFFFF"/>
            <w:lang w:val="en-US" w:eastAsia="en-US" w:bidi="ar-SA"/>
          </w:rPr>
          <w:t>[1998] B.C.J. No. 2938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 find that the manner in which the plaintiff has laid out his argument improperly combines s. 3(1) and 3(3) of the Occupiers Liability Act. Since 3(1) and 3(3) of the Occupiers Liability Act place very different obligations on an occupier I have set out the relevant sections of the Occupiers Liability Act and the flaws I see in the plaintiff's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relevant sections of the Occupiers Liability Act are s. 3(1)-3(3):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3(1) An occupier of premises owes a duty to take that care that in all the circumstances of the case is reasonable to see that a person, and the person's property, on the premises, and property on the premises of a person, whether or not that person personally enters on the premises, will be reasonably safe in using the premises.</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duty of care referred to in subsection (1) applies in relation to the</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condition of the premises,</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activities on the premises, or</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conduct of third parties on the premises.</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Despite subsection (1), an occupier has no duty of care to a person in respect of risks willingly assumed by that person other than a duty not to</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create a danger with intent to do harm to the person or damage to the person's property, or</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act with reckless disregard to the safety of the person or the integrity of the person's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Voluntary Assumption of Risk s. 3(3) Occupiers Liability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plaintiff focuses a significant part of his submission on his assertion that he did not voluntarily "assume the risk" of being on the balcony. In support of this submission he cites the Supreme Court of Canada's decision in Waldick. That decision dealt with the interpretation of section 3 and 4 of the Ontario Occupier's Liability Act which is very similar to s. 3 of the British Columbia Occupier's Liability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Waldick the defendant argued he should not be liable as the plaintiff had "willingly assumed the risk". The issue before the Court was what was meant by the terms "risks willingly assumed." In its decision, the Court said that "risk willingly assumed" meant more than mere knowledge of the risks. The Court said that "risks willingly assumed" was intended to embody and preserve the volenti doctrine and mere knowledge of the risks did not constitute "risks willingly assumed." The Court was clear that in order for the volenti doctrine to apply the plaintiff would have to have assumed both the physical and legal risks, and that there must be clear proof that the plaintiff assumed the risks.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Given the similarities between the Ontario and the British Columbia legislation it is safe to assume that the term "risk is willingly assumed" contained in s. 3(3) of the British Columbia Act is also a codification of the volenti doctrine.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 find that there is no evidence to support a claim that the plaintiff "willingly assumed the risk" under s. 3(3). However, a review of the defendant's documents shows that the defendant is not focusing his argument on the issue of voluntary assumption of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Had there been a voluntary assumption of risk the defendant would absolutely have no liability as s. 3(3) of the British Columbia Act provides that where a "risk is willingly assumed" no liability can be attributed to an occupier for any act or omission unless the occupier creates a danger with intent to do harm or has </w:t>
      </w:r>
      <w:r>
        <w:rPr>
          <w:rFonts w:ascii="arial" w:eastAsia="arial" w:hAnsi="arial" w:cs="arial"/>
          <w:color w:val="000000"/>
          <w:sz w:val="20"/>
          <w:u w:val="single"/>
          <w:lang w:val="en-US" w:eastAsia="en-US" w:bidi="ar-SA"/>
        </w:rPr>
        <w:t>a reckless disregard to the safety of the person or the integrity of their property</w:t>
      </w:r>
      <w:r>
        <w:rPr>
          <w:rFonts w:ascii="arial" w:eastAsia="arial" w:hAnsi="arial" w:cs="arial"/>
          <w:color w:val="000000"/>
          <w:sz w:val="20"/>
          <w:lang w:val="en-US" w:eastAsia="en-US" w:bidi="ar-SA"/>
        </w:rPr>
        <w:t>. (emphasis mine).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While the plaintiff I have found did not "willingly assume" the risk under s. 3(3) of the Occupiers Liability Act, the plaintiff still has the onus to establish that the defendant failed to meet its obligations under s. 3(1) of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Under s. 3(1) of the Act the duty of the occupier is to take care to see that in all the circumstances the plaintiff is reasonably safe using the premises. The occupier however is not the insurer and a standard of perfection is not required (Premji v. Westfair Foods, </w:t>
      </w:r>
      <w:hyperlink r:id="rId440" w:history="1">
        <w:r>
          <w:rPr>
            <w:rFonts w:ascii="arial" w:eastAsia="arial" w:hAnsi="arial" w:cs="arial"/>
            <w:i/>
            <w:color w:val="0077CC"/>
            <w:sz w:val="20"/>
            <w:u w:val="single"/>
            <w:shd w:val="clear" w:color="auto" w:fill="FFFFFF"/>
            <w:lang w:val="en-US" w:eastAsia="en-US" w:bidi="ar-SA"/>
          </w:rPr>
          <w:t>[2000] B.C.J. No. 1571</w:t>
        </w:r>
      </w:hyperlink>
      <w:r>
        <w:rPr>
          <w:rFonts w:ascii="arial" w:eastAsia="arial" w:hAnsi="arial" w:cs="arial"/>
          <w:color w:val="000000"/>
          <w:sz w:val="20"/>
          <w:lang w:val="en-US" w:eastAsia="en-US" w:bidi="ar-SA"/>
        </w:rPr>
        <w:t xml:space="preserve">, </w:t>
      </w:r>
      <w:hyperlink r:id="rId440" w:history="1">
        <w:r>
          <w:rPr>
            <w:rFonts w:ascii="arial" w:eastAsia="arial" w:hAnsi="arial" w:cs="arial"/>
            <w:i/>
            <w:color w:val="0077CC"/>
            <w:sz w:val="20"/>
            <w:u w:val="single"/>
            <w:shd w:val="clear" w:color="auto" w:fill="FFFFFF"/>
            <w:lang w:val="en-US" w:eastAsia="en-US" w:bidi="ar-SA"/>
          </w:rPr>
          <w:t>2000 BCPC 35</w:t>
        </w:r>
      </w:hyperlink>
      <w:r>
        <w:rPr>
          <w:rFonts w:ascii="arial" w:eastAsia="arial" w:hAnsi="arial" w:cs="arial"/>
          <w:color w:val="000000"/>
          <w:sz w:val="20"/>
          <w:lang w:val="en-US" w:eastAsia="en-US" w:bidi="ar-SA"/>
        </w:rPr>
        <w:t xml:space="preserve">, affirmed </w:t>
      </w:r>
      <w:hyperlink r:id="rId441" w:history="1">
        <w:r>
          <w:rPr>
            <w:rFonts w:ascii="arial" w:eastAsia="arial" w:hAnsi="arial" w:cs="arial"/>
            <w:i/>
            <w:color w:val="0077CC"/>
            <w:sz w:val="20"/>
            <w:u w:val="single"/>
            <w:shd w:val="clear" w:color="auto" w:fill="FFFFFF"/>
            <w:lang w:val="en-US" w:eastAsia="en-US" w:bidi="ar-SA"/>
          </w:rPr>
          <w:t>[2001] B.C.J. No. 319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uncontradicted evidence of both the plaintiff and the defendant is that the defendant warned everyone that the deck was still under construction and there was no railing on the deck. In fact in his affidavit the plaintiff he states that the defendant said "come and sit down and just be careful there are no railings" (para. 12 of Mr. Wright's affidavit).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defendant submits that he met his obligations under the Occupiers Liability Act by warning the plaintiff that the deck had not railings and placing the chairs right in front of the door and as far away from the edge of the deck as physically 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While the plaintiff acknowledges that the defendant did warn everyone about the lack of the railing, the plaintiff argues that the warning given by the defendant about the lack of railing was not sufficient to relieve him from his duty under the Occupier's Liability Act. He argues that the defendant should have shown them the deck through the sliding glass door and then refused to take them onto the deck and then put the deck "off limits" (para. 23 plaintiffs brief of argument). In support of this argument he cites the majority decision in Chretien v. Jensen </w:t>
      </w:r>
      <w:hyperlink r:id="rId439" w:history="1">
        <w:r>
          <w:rPr>
            <w:rFonts w:ascii="arial" w:eastAsia="arial" w:hAnsi="arial" w:cs="arial"/>
            <w:i/>
            <w:color w:val="0077CC"/>
            <w:sz w:val="20"/>
            <w:u w:val="single"/>
            <w:shd w:val="clear" w:color="auto" w:fill="FFFFFF"/>
            <w:lang w:val="en-US" w:eastAsia="en-US" w:bidi="ar-SA"/>
          </w:rPr>
          <w:t>[1998] B.C.J. No. 2938</w:t>
        </w:r>
      </w:hyperlink>
      <w:r>
        <w:rPr>
          <w:rFonts w:ascii="arial" w:eastAsia="arial" w:hAnsi="arial" w:cs="arial"/>
          <w:color w:val="000000"/>
          <w:sz w:val="20"/>
          <w:lang w:val="en-US" w:eastAsia="en-US" w:bidi="ar-SA"/>
        </w:rPr>
        <w:t xml:space="preserve"> in which the Court stated that that to meet the duty under the Occupiers Liability Act it may be appropriate to put certain property off limits.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It is true that in Chretien as well as an obiter comment in Waldick the Courts have suggested that to meet the duty may be appropriate to put certain property off limits in certain circumstances order to meet the test of exercising reasonable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 find that the plaintiff's argument that there can be a duty to place certain property off limits would imply a higher standard of reasonableness of care pursuant to s. 3(1) of the Occupiers Liability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The concern that I have just commented on reflected recent judgements from the BC Courts including the judgement of the BC Court of Appeal in Duddle v. City of Vernon, </w:t>
      </w:r>
      <w:hyperlink r:id="rId442" w:history="1">
        <w:r>
          <w:rPr>
            <w:rFonts w:ascii="arial" w:eastAsia="arial" w:hAnsi="arial" w:cs="arial"/>
            <w:i/>
            <w:color w:val="0077CC"/>
            <w:sz w:val="20"/>
            <w:u w:val="single"/>
            <w:shd w:val="clear" w:color="auto" w:fill="FFFFFF"/>
            <w:lang w:val="en-US" w:eastAsia="en-US" w:bidi="ar-SA"/>
          </w:rPr>
          <w:t>[2004] B.C.J. No. 1430</w:t>
        </w:r>
      </w:hyperlink>
      <w:r>
        <w:rPr>
          <w:rFonts w:ascii="arial" w:eastAsia="arial" w:hAnsi="arial" w:cs="arial"/>
          <w:color w:val="000000"/>
          <w:sz w:val="20"/>
          <w:lang w:val="en-US" w:eastAsia="en-US" w:bidi="ar-SA"/>
        </w:rPr>
        <w:t xml:space="preserve">, </w:t>
      </w:r>
      <w:hyperlink r:id="rId442" w:history="1">
        <w:r>
          <w:rPr>
            <w:rFonts w:ascii="arial" w:eastAsia="arial" w:hAnsi="arial" w:cs="arial"/>
            <w:i/>
            <w:color w:val="0077CC"/>
            <w:sz w:val="20"/>
            <w:u w:val="single"/>
            <w:shd w:val="clear" w:color="auto" w:fill="FFFFFF"/>
            <w:lang w:val="en-US" w:eastAsia="en-US" w:bidi="ar-SA"/>
          </w:rPr>
          <w:t>2004 BCCA 390</w:t>
        </w:r>
      </w:hyperlink>
      <w:r>
        <w:rPr>
          <w:rFonts w:ascii="arial" w:eastAsia="arial" w:hAnsi="arial" w:cs="arial"/>
          <w:color w:val="000000"/>
          <w:sz w:val="20"/>
          <w:lang w:val="en-US" w:eastAsia="en-US" w:bidi="ar-SA"/>
        </w:rPr>
        <w:t xml:space="preserve"> (B.C.C.A.). In Duddle the issue was whether the City was liable for the injuries sustained when the plaintiff, Mr. Duddle, dove off a pier that was maintained by the City of Vernon. The pier was not meant to be dived from. There were numerous signs on and around the pier stating that the water was shallow and diving was not allowed. Despite these warnings Mr. Duddle dived off the pier and was rendered a quadriplegic. Mr. Duddle claimed against the City on the basis that they violated s. 3(1) of the Occupiers Liability Act in that they failed to make the premises reasonably safe.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trial judge in Duddle found the city 25% liable even though the City had posted warnings. In coming to his decision, the trial judge quoted part of the judgment in Waldick in which the Court said that an occupier might want to put part of his property off limits rather than make it safe. In looking at all the circumstances, the trial judge found the municipality liable on the bases that it "did not do all it could have done to prevent this accident in all of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Court of Appeal held that the trial judge made an error of law. The Court of Appeal found that the test applied by the trial judge ("whether the city did all it could do") effectively fixed the City with a standard of perfection and this was an error of law, the standard in Occupier's Liability cases is the standard of reasonableness.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Further the Court of Appeal found that the City had acted reasonably and that the sole reason for the accident was Mr. Duddle's failure to take proper care and found the plaintiff solely 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the case at bar, the plaintiff's argument is very similar to that of the plaintiff in Duddle. The plaintiff appears to be suggesting that the defendant McArthur had a duty to ensure he was safe by denying access to the deck rather than an obligation to ensure he was reasonably safe. To accept the plaintiff's argument that the deck should have been placed off limits would, I find, be the same error of law that the trial judge made in Duddle. It would require perfection on the part of the defendant rather than reasonable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decisions in Chretien and Waldick are distinguishable from Duddle. In Chretien and Waldick the plaintiffs were given no warning of any danger while in Duddle and the case at bar, the plaintiffs were warned of a danger, yet chose to engage in an activity that exposed them to that very danger.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Courts, I find, have been clear that there is an obligation on invitees and others to take "proper care" for their own safety (Duddle). I find that on the evidence before me does not support the conclusion that the plaintiff took proper care of himself given that he was warned and knew that there were no railings on the deck.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On the issue of reasonableness and whether an occupier has acted reasonably the courts have held that there are many factors to be considered and the factors depend on the circumstances of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the case at bar the relevant factors are; (1) the fact that the plaintiff and the others were aware that the deck was under construction, and were aware that there were no railings on the deck, (2) it was still daylight, ( 3) the plaintiff was not intoxicated, and (4) the plaintiff was not paying attention to where the deck ended when he got up to take the picture despite knowing that the deck had no railings.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On the evidence, I find that the defendant's actions in issuing the warning of the lack of railings before permitting people to sit on the deck, was reasonable. I find that to accept the plaintiff's submission that the defendant had to do more, such as put the deck off limits, is holding the defendant to a standard of perfection not a standard of reasonableness.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 find that the defendant's actions in this situation were reasonable and he should be found to have not breached his duty of care under the Occupiers Liability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 find that the plaintiff's action is dismissed with costs to the defendant on Scale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LANDER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39" style="position:absolute;z-index:25185894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43"/>
          <w:headerReference w:type="default" r:id="rId444"/>
          <w:footerReference w:type="even" r:id="rId445"/>
          <w:footerReference w:type="default" r:id="rId446"/>
          <w:headerReference w:type="first" r:id="rId447"/>
          <w:footerReference w:type="first" r:id="rId44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49" w:history="1">
        <w:r>
          <w:rPr>
            <w:rFonts w:ascii="arial" w:eastAsia="arial" w:hAnsi="arial" w:cs="arial"/>
            <w:b/>
            <w:bCs/>
            <w:i/>
            <w:color w:val="0077CC"/>
            <w:kern w:val="32"/>
            <w:sz w:val="28"/>
            <w:szCs w:val="32"/>
            <w:u w:val="single"/>
            <w:shd w:val="clear" w:color="auto" w:fill="FFFFFF"/>
            <w:lang w:val="en-US" w:eastAsia="en-US" w:bidi="ar-SA"/>
          </w:rPr>
          <w:t>Yeh v. Yuen, [2004] B.C.J. No. 1420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Master Groves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9,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9,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New Westminster Registry No. S067641</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[2004] B.C.J. No. 1420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2004 BCSC 921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132 A.C.W.S. (3d) 464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William Yeh, plaintiff, and Szeming Yuen, Douglas Moseley and Burnaby Hospital,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40" style="position:absolute;z-index:2516817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49" w:name="Keywords_22"/>
      <w:bookmarkEnd w:id="149"/>
      <w:r>
        <w:rPr>
          <w:rFonts w:ascii="arial" w:eastAsia="arial" w:hAnsi="arial" w:cs="arial"/>
          <w:b/>
          <w:color w:val="000000"/>
          <w:sz w:val="20"/>
          <w:lang w:val="en-US" w:eastAsia="en-US" w:bidi="ar-SA"/>
        </w:rPr>
        <w:t>Civil procedure — Disposition without trial — Dismissal of action — Delay or failure to prosecute — Prejudice to defendant.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50" w:name="Case Summary_20"/>
            <w:bookmarkEnd w:id="15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 doctors, Yuen and Moseley, for dismissal of Yeh's action on the ground of failure to prosecute and violation of the Rules relating to discovery, production of documents, and particulars. The police took Yeh to the hospital following a domestic dispute. He appeared to be in a state of mental anguish. At the hospital, Yuen and Moseley assessed Yeh and signed involuntary certificates of committal pursuant to the Mental Heath Act. Yeh claimed he was falsely imprisoned and defamed. Yeh was unresponsive during discovery and responded to requests for production of documents by sending irrelevant documents including pictures of Saddam Hussein.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51" w:name="Holdings of Court_14"/>
            <w:bookmarkEnd w:id="151"/>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delay in the case was inordinate because the claim was filed close to expiry of the limitation period, the statement of claim was filed 15 months later, and, yet, Yeh was doing nothing to advance the claim. It was now five years since the events at issue. The delay was inexcusable and self-representation was not an excuse. The passage of time raised a presumption of prejudice against Yuen and Moseley, which Yeh had failed to rebut. Accordingly, dismissal was warranted for failure to prosecute. In addition, Yeh violated the Rules. He attended discovery only after a court order was issued and was unresponsive during discovery. His list of documents was inadequate and he refused to produce documents without explanation or sent irrelevant documents. Also, he failed to respond to demands for particulars. Instead, Yeh continued to behave in a bizarre fashion. Accordingly, dismissal was warranted on the basis of non-compliance with the Rules as well.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52" w:name="Legislation Cited_21"/>
      <w:bookmarkEnd w:id="15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41" style="position:absolute;z-index:2517329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Rules 1(5), 2(2), 2(5), 2(7), 18A.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Mental Health Act, </w:t>
      </w:r>
      <w:r>
        <w:rPr>
          <w:rFonts w:ascii="arial" w:eastAsia="arial" w:hAnsi="arial" w:cs="arial"/>
          <w:i/>
          <w:color w:val="000000"/>
          <w:sz w:val="20"/>
          <w:lang w:val="en-US" w:eastAsia="en-US" w:bidi="ar-SA"/>
        </w:rPr>
        <w:t>R.S.B.C. 1996, c. 288</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53" w:name="Counsel_22"/>
      <w:bookmarkEnd w:id="153"/>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42" style="position:absolute;z-index:2517841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Plaintiff appeared on his own behalf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Yuen and Moseley: S. Ion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54" w:name="Judgment_22"/>
      <w:bookmarkEnd w:id="154"/>
      <w:r>
        <w:pict>
          <v:line id="_x0000_s1143" style="position:absolute;z-index:251835392"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55" w:name="MASTER GROVES"/>
            <w:bookmarkEnd w:id="155"/>
            <w:r>
              <w:rPr>
                <w:rFonts w:ascii="arial" w:eastAsia="arial" w:hAnsi="arial" w:cs="arial"/>
                <w:b/>
                <w:color w:val="000000"/>
                <w:sz w:val="30"/>
                <w:lang w:val="en-US" w:eastAsia="en-US" w:bidi="ar-SA"/>
              </w:rPr>
              <w:t>MASTER GROVES</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application brought on by the defendants to dismiss the plaintiff's claim for want of prosecution pursuant to Rule 2(7). Additionally, the defendants applied to dismiss the plaintiff's claim based on his failure to comply with the Rules of Court specifically as they relate to the obligation to attend at an examination for discovery, the obligation to produce documents, and the obligation to provide particulars of a claim when so demanded. This relief is requested pursuant to Rule 2(2) and Rule 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This action relates to an allegation of false imprisonment arising from the plaintiff's involuntary committal under the Mental Health Act </w:t>
      </w:r>
      <w:r>
        <w:rPr>
          <w:rFonts w:ascii="arial" w:eastAsia="arial" w:hAnsi="arial" w:cs="arial"/>
          <w:i/>
          <w:color w:val="000000"/>
          <w:sz w:val="20"/>
          <w:lang w:val="en-US" w:eastAsia="en-US" w:bidi="ar-SA"/>
        </w:rPr>
        <w:t>RSBC 1996, c. 288</w:t>
      </w:r>
      <w:r>
        <w:rPr>
          <w:rFonts w:ascii="arial" w:eastAsia="arial" w:hAnsi="arial" w:cs="arial"/>
          <w:color w:val="000000"/>
          <w:sz w:val="20"/>
          <w:lang w:val="en-US" w:eastAsia="en-US" w:bidi="ar-SA"/>
        </w:rPr>
        <w:t xml:space="preserve"> and an allegation of defamation. The facts surrounding the committal appear to be that the plaintiff, who is a practicing dentist, was involved in what appears to be a domestic dispute with his wife, the details of which are unclear. The police were involved and the defendant voluntarily, though in a police vehicle, attended at the Burnaby General Hospital in the early hours of July 5, 1999. He was it seems in a state of mental anguish at the time. The defendant Douglas Moseley was the emergency room physician who first attended to the plaintiff in the early morning hours of July 5, 1999. An assessment was made and a involuntary certificate of committal was signed.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defendant Szeming Yuen was the psychiatrist who assessed the plaintiff on July 5 and 6, 1999 and who signed a second involuntary committal.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defendant's period of committal under the certificates was approximately 36 hours from his admission at approximately 1:00 a.m. on July 5,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There was a Rule 18A summary trial application brought on by the defendant Burnaby Hospital on the 17 of October, 2003 before Madam Justice L. Smith, and the action against the Burnaby Hospital was dismissed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 chronology of events surrounding this litigation is important to consider when assessing the merits of the defendants' application. The chronology is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2477"/>
        <w:gridCol w:w="238"/>
        <w:gridCol w:w="6090"/>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July 5-6/99</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plaintiff is involuntarily committed to the Burnaby Hospital.</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June 20/01</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Writ of summons is filed. Plaintiff appears to be unrepresented at this time. This is filed within days of the limitation period expiring.</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Sept 11/02</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Plaintiff filed statement of claim with the assistance of counsel, Mr. Piamonte. It is delivered shortly thereafter. This is over three years after the alleged incident.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Sept/02-Apr/03</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 number of letters are exchanged between Mr. Piamonte and defendants' counsel. Mr. Piamonte requests the defendants to hold off filing a statement of defence as he is awaiting an "expert opinion" as to whether to proceed.</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Apr 9/03</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Mr. Piamonte writes to defendants' counsel and advises that he is no longer acting for the plaintiff. This necessitates the filing of the statement of defence.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614"/>
        <w:gridCol w:w="616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May 1/03</w:t>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Statement of defence filed.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2477"/>
        <w:gridCol w:w="238"/>
        <w:gridCol w:w="6090"/>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June 4/03</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Demand for discovery of documents and notice to produce are served on the plaintiff. Additionally, defendants serve a demand for particulars as to the plaintiff's allegation of defamation set out in the statement of claim. This is close to four years after the alleged incident.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Oct 3/03</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Plaintiff's counsel again serves a demand for discovery of documents and notice to produce and demand for particulars.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Oct 6/03</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At the hearing of the Burnaby Hospital's Rule 18A application, Madam Justice L. Smith directs the plaintiff to produce his list of documents and respond to the demand for particulars.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Oct 7-Dec 14/03</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Defendants' counsel write to the plaintiff on a number of occasions requesting that he comply with their demands to produce list of documents and requesting a response to the demand for particulars. The plaintiff responds occasionally and forwards seemingly irrelevant documents and no list of documents. Plaintiff also apologizes for his solicitor not responding to the demand though he has no solicitor. The irrelevant documents include various newspaper articles, laser copy photographs of Saddam Hussein and individuals in lingerie with the plaintiff's handwritten notes thereon.</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Dec 18/03</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Defence counsel writes to the plaintiff requesting an opportunity to schedule an examination for discovery.</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Dec 29/03</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Defendants' counsel sets examination for discovery for January 19th, 2004 and sends out what is then a second authorization for the defendant's medical information, the records of a Dr. Lim. The discovery is scheduled for January 19th, 2004.</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Jan 13/04</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Plaintiff writes defendants' counsel saying he is collecting documents and that he was "Not finished yet, waiting for court's judgment." In the same letter he writes, "The medical records must be completely and totally destroyed, destroyed, destroyed."</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Jan 19/04</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Plaintiff fails to attend the scheduled examination for discovery.</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Feb 3, 2004</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 second appointment for an examination for discovery is scheduled for February 12th, 2004. Plaintiff given notice of defendants' counsel's intention to apply to court to have his claim dismissed for failure to comply with the Rules of Court if he does not attend.</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Feb 9/04</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Plaintiff writes to defendants' counsel indicating he will not attend at the examination for discovery but says he will "appoint solicitors" to attend.</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Feb 12/04</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Plaintiff attends at examination for discovery but refuses to speak when addressed by counsel for the defendants. Instead, the plaintiff shakes his head, motions with his hands over his mouth, gives the court reporter a brown envelope and leaves the room.</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May 19/04</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On the 19th of May 2004 the defendants' application to dismiss the claim is heard before me in New Westminster. I order, inter alia, the defendants to attend at an examination for discovery which I scheduled for the 27th of May 2004 at the New Westminster Courthouse. Additionally, I order that the plaintiff must deliver to the defendants his written response to the demand for particulars of the allegation of defamation on or before May 27, 2004 and he must produce his list of documents by that date as well.</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May 27/04</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Defendant appears at the examination for discovery; he produces the list of documents in a non-prescribed form. The list is limited and clearly inadequate. He fails to comply with the demand for particulars, instead, producing copies of the committal forms signed by the two doctors; he stays for the examination for discovery.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 have read the examination for discovery transcript in its entirety. Though the plaintiff did attend at the examination for discovery, it appears on balance to have been a useless exercise. Examples of this are numerous.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 was repeatedly asked whether he had a discussion about his involuntary commitment with anyone other than his lawyer. He was asked this question approximately six times and he failed to answer the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 was asked a series of questions regarding treatment and medication he had taken in recent years. His only response to this repeated question was that that was his claim that he did not trust psychiatrists and will never trust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 was asked about his assistant, Rose, who is his long-time employee in his dental practice. He appeared to be reluctant to provide her name. He would not answer questions regarding any discussions he had with his assistant, Rose, as to his hospitalization. He refused to answer the questions with comments such as "Don't toy with the law", and "Why did you reject my lawyer?" and comments to the effect that he would not answer without his lawyer present. Of note of course, the plaintiff has no lawyer.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He was asked about a factual circumstance just prior to his committal when his wife gave him a sealed envelope. He was asked 11 times what he thought was in the envelope. He refused to answer.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He was later asked who gave him the envelope and his answer was, "A stupid person". The plaintiff had earlier stated in his examination for discovery that his wife had given him the envelope and that he thought she was "taking advantage of 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As noted earlier, my order of the 19th of May 2004 required the defendant to attend at an examination for discovery in the New Westminster Courthouse. In the hearing room at the courthouse there was a flip-chart style placard which was presumably left behind from some previous activity in that room. Written on that flip chart were the following sentences: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safety of yourself and your children must remain your top priority. Everyone is responsible for protecting children from being victims of abuse and witnessing on-going violence.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On numerous occasions in the examination for discovery, Dr. Yeh referred to that placard and read from the placard as his response to examination for discovery questions.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As part of my order on the 19th of May 2004 I reset the hearing of the defendants' application before me in Vancouver on June 9th, 2004. At that time, based on what transpired at the examination for discovery, defendants' counsel renewed their application to dismiss the plaintiff's claim for want of prosecution and to dismiss for failure to comply with the Rules of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Rule 2(7) provides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Dismissal for want of prosecution</w:t>
      </w:r>
    </w:p>
    <w:p>
      <w:pPr>
        <w:numPr>
          <w:numId w:val="10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upon application by a party it appears to the court that there is a want of prosecution in a proceeding, the court may order that the proceeding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order for an application to dismiss an action for want of prosecution to succeed, the following must be demonstrated:</w:t>
      </w:r>
      <w:r>
        <w:rPr>
          <w:rFonts w:ascii="arial" w:eastAsia="arial" w:hAnsi="arial" w:cs="arial"/>
          <w:sz w:val="20"/>
          <w:lang w:val="en-US" w:eastAsia="en-US" w:bidi="ar-SA"/>
        </w:rPr>
        <w:cr/>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there has been an inordinate delay;</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inordinate delay is inexcusable; and</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that the defendant is likely to be seriously prejudiced by the delay. (See Irving v. Irving, </w:t>
      </w:r>
      <w:hyperlink r:id="rId450" w:history="1">
        <w:r>
          <w:rPr>
            <w:rFonts w:ascii="arial" w:eastAsia="arial" w:hAnsi="arial" w:cs="arial"/>
            <w:i/>
            <w:color w:val="0077CC"/>
            <w:sz w:val="20"/>
            <w:u w:val="single"/>
            <w:shd w:val="clear" w:color="auto" w:fill="FFFFFF"/>
            <w:lang w:val="en-US" w:eastAsia="en-US" w:bidi="ar-SA"/>
          </w:rPr>
          <w:t>[1982] B.C.J. No. 970</w:t>
        </w:r>
      </w:hyperlink>
      <w:r>
        <w:rPr>
          <w:rFonts w:ascii="arial" w:eastAsia="arial" w:hAnsi="arial" w:cs="arial"/>
          <w:color w:val="000000"/>
          <w:sz w:val="20"/>
          <w:lang w:val="en-US" w:eastAsia="en-US" w:bidi="ar-SA"/>
        </w:rPr>
        <w:t xml:space="preserve"> and March v. Tam, </w:t>
      </w:r>
      <w:hyperlink r:id="rId451" w:history="1">
        <w:r>
          <w:rPr>
            <w:rFonts w:ascii="arial" w:eastAsia="arial" w:hAnsi="arial" w:cs="arial"/>
            <w:i/>
            <w:color w:val="0077CC"/>
            <w:sz w:val="20"/>
            <w:u w:val="single"/>
            <w:shd w:val="clear" w:color="auto" w:fill="FFFFFF"/>
            <w:lang w:val="en-US" w:eastAsia="en-US" w:bidi="ar-SA"/>
          </w:rPr>
          <w:t>[2002] B.C.J. No. 1749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In the case of Busse v. Robinson Morelli Chertkow, </w:t>
      </w:r>
      <w:hyperlink r:id="rId452" w:history="1">
        <w:r>
          <w:rPr>
            <w:rFonts w:ascii="arial" w:eastAsia="arial" w:hAnsi="arial" w:cs="arial"/>
            <w:i/>
            <w:color w:val="0077CC"/>
            <w:sz w:val="20"/>
            <w:u w:val="single"/>
            <w:shd w:val="clear" w:color="auto" w:fill="FFFFFF"/>
            <w:lang w:val="en-US" w:eastAsia="en-US" w:bidi="ar-SA"/>
          </w:rPr>
          <w:t>[1999] B.C.J. No. 1101</w:t>
        </w:r>
      </w:hyperlink>
      <w:r>
        <w:rPr>
          <w:rFonts w:ascii="arial" w:eastAsia="arial" w:hAnsi="arial" w:cs="arial"/>
          <w:color w:val="000000"/>
          <w:sz w:val="20"/>
          <w:lang w:val="en-US" w:eastAsia="en-US" w:bidi="ar-SA"/>
        </w:rPr>
        <w:t>, the court further held that once the defendants have established that there has been an inordinate delay that is inexcusable, the burden moves to the plaintiff to establish on a balance of probabilities that the defendant has not been prejudiced or that other circumstances would make it unjust to terminate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plaintiff's argument for inordinate delay raises a number of significant points. First off, Rule 1(5) of the Rules of Court says that the object of the Rules generally is to secure the "just, speedy and inexpensive determination of every proceeding on its merits". As noted in Irving v. Irving, supra, what is considered inordinate delay depends on the facts of each particular case. Counsel for the defendants argues that this case involves the recollection of witnesses for circumstances which are now essentially five years from the date the cause of action allegedly arose and the date of this application. The witnesses are professional physicians, who see many people in their role as emergency room doctors and psychiatrists assigned to a hospital. In the broader scheme of things, the event of the plaintiff's attendance at the hospital can logically be viewed as an insignificant or perhaps better put, routine, aspect of their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all this time, the plaintiff has, after a third attempt, and a court order, attended an examination for discovery but was completely unresponsive to questions at that time. Though he has provided a list of documents, it falls far short of the documents that one would expect in this type of claim. Specifically, there is a complete lack of medical evidence to justify his position. Additionally, he has totally failed to provide any reasonable response to the demand for particulars. Essentially, the plaintiff has done absolutely nothing to prosecute his claim and when asked in court on the last court attendance on June 9th, 2004 as to whether or not he had explanation for the delay or for his conduct at the examination for discovery he simply repeated the mantra he regularly repeated at the examination for discovery being "The safety of yourself and your children must remain your top priority."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these circumstances, circumstances where the claim is filed on almost the last day prior to the expiry of the limitation period, where a statement of claim is delivered 15 months later, and when, five years after the alleged incident the plaintiff has done nothing to advance his claim, the delay is inordinate.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second aspect of the test is, is the delay inexcusable. I note that the plaintiff is unrepresented by counsel though he has occasionally had the benefit of discussing matters with counsel throughout this litigation and he was at a significant time, prior to the filing of the statement of claim, clearly obtaining counsel's assistance. The fact of self-representation, however, does not make a delay excusable. The defendants have repeatedly invited the plaintiff to advance the litigation and instead he has responded by sending irrelevant materials (unrelated newspaper clippings and copies of photographs of Saddam Hussein, etc.) to counsel for the defendants. There is no reason provided by the plaintiff as to why he has taken virtually no steps to move the litigation along.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Turning to the third consideration, has the delay caused serious prejudice or is it likely to cause serious prejudice to the applicant? As stated in Busse v. Robinson Morelli, supra, once the defendants have established that there has been inordinate delay that is inexcusable, the burden moves to the plaintiff to establish on the balance of probabilities that the defendants have not been seriously prejudiced or that the circumstances would make it unjust to terminate the action. In Clue v. Jones (unreported decision: Vancouver Registry C981562, April 5, 2001), Master Donaldson held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is a medical malpractice case, and there are a number of authorities which have made reference to the difficulty and stress that professionals must cope with when facing a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and one can only be guided by decisions in the past which conclude that the pressure on a professional who is alleged to have been negligent is more stressful or difficult to deal with than that of a normal defendant or a non-professional defendant in, for example, a debt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principle in that case is equally true in this case where two medical professionals, though not necessarily facing a medical malpractice case, are facing litigation related to their conduct as physicians. They are accused of false imprisonment and defamation. These are very serious matters which are no doubt weighing heavily on the minds of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As noted in Stryk v. Curtain et al., </w:t>
      </w:r>
      <w:hyperlink r:id="rId453" w:history="1">
        <w:r>
          <w:rPr>
            <w:rFonts w:ascii="arial" w:eastAsia="arial" w:hAnsi="arial" w:cs="arial"/>
            <w:i/>
            <w:color w:val="0077CC"/>
            <w:sz w:val="20"/>
            <w:u w:val="single"/>
            <w:shd w:val="clear" w:color="auto" w:fill="FFFFFF"/>
            <w:lang w:val="en-US" w:eastAsia="en-US" w:bidi="ar-SA"/>
          </w:rPr>
          <w:t>[2001] B.C.J. No. 128</w:t>
        </w:r>
      </w:hyperlink>
      <w:r>
        <w:rPr>
          <w:rFonts w:ascii="arial" w:eastAsia="arial" w:hAnsi="arial" w:cs="arial"/>
          <w:color w:val="000000"/>
          <w:sz w:val="20"/>
          <w:lang w:val="en-US" w:eastAsia="en-US" w:bidi="ar-SA"/>
        </w:rPr>
        <w:t xml:space="preserve">, </w:t>
      </w:r>
      <w:hyperlink r:id="rId453" w:history="1">
        <w:r>
          <w:rPr>
            <w:rFonts w:ascii="arial" w:eastAsia="arial" w:hAnsi="arial" w:cs="arial"/>
            <w:i/>
            <w:color w:val="0077CC"/>
            <w:sz w:val="20"/>
            <w:u w:val="single"/>
            <w:shd w:val="clear" w:color="auto" w:fill="FFFFFF"/>
            <w:lang w:val="en-US" w:eastAsia="en-US" w:bidi="ar-SA"/>
          </w:rPr>
          <w:t>2001 BCSC 137</w:t>
        </w:r>
      </w:hyperlink>
      <w:r>
        <w:rPr>
          <w:rFonts w:ascii="arial" w:eastAsia="arial" w:hAnsi="arial" w:cs="arial"/>
          <w:color w:val="000000"/>
          <w:sz w:val="20"/>
          <w:lang w:val="en-US" w:eastAsia="en-US" w:bidi="ar-SA"/>
        </w:rPr>
        <w:t>, the court held at paragraph 11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Although it seems draconian to dismiss the plaintiff's action, it is also unfair to allow the very serious allegations of the defendants to remain outstanding.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this case, I accept that the ability of the defendants to defend the action has been prejudiced by the passage of time. I have found that the delay has been both inordinate and inexcusable and that gives rise to the presumption of prejudice to the defendants which the plaintiff is entitled to rebut. The plaintiff has failed to rebut the presumption in any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addition to establishing that the action must be dismissed for want of prosecution, the plaintiff has also steadfastly refused to comply with the Rules of Court. Rule 2(2) and 2(5) of the Rules of Court reads as follows:</w:t>
      </w:r>
      <w:r>
        <w:rPr>
          <w:rFonts w:ascii="arial" w:eastAsia="arial" w:hAnsi="arial" w:cs="arial"/>
          <w:sz w:val="20"/>
          <w:lang w:val="en-US" w:eastAsia="en-US" w:bidi="ar-SA"/>
        </w:rPr>
        <w:cr/>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subrules (3) and (4), where there has been a failure to comply with these rules, the court may</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set aside a proceeding, either wholly or in part,</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set aside any step taken in the proceeding, or a document or order made in the proceeding,</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allow an amendment to be made under Rule 24,</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dismiss the proceeding or strike out the statement of defence and grant judgment, or</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make any other order it thinks just.</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a person, contrary to these rules and without lawful excuse,</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refuses or neglects to obey a subpoena or to attend at the time and place appointed for his or her examination for discovery,</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refuses to be sworn or to affirm or to answer any question put to him or her,</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refuses or neglects to produce or permit to be inspected any document or other property,</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refuses or neglects to answer interrogatories or to make discovery of documents, or</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refuses or neglects to attend for or submit to a medical examination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then</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 person is the plaintiff, petitioner or a present officer of a corporate plaintiff or petitioner, or a partner in or manager of a partnership plaintiff or petitioner, the court may dismiss the proceeding, and</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 person is the defendant, respondent or a third party, or a present officer of a corporate defendant, respondent or third party, or a partner in or manager of a partnership defendant, respondent or third party, the court may order the proceeding to continue as if no appearance had been entered or no defence had been filed.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Though the plaintiff has reluctantly attended at an examination for discovery, his conduct at the examination for discovery clearly falls short of any reasonable expectation that the Rules would place on him to answer questions in a straightforward manner. In my view, the plaintiff has refused to answer questions put to him at an examination for discovery. Additionally, as noted earlier, the plaintiff has failed to respond to the demand for particulars, despite repeated requests, despite the direction of Madam Justice L. Smith on the 6th of October 2003 and despite my order of the 19th of May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Where a party has engaged in obstructive conduct falling within the parameters of Rule 2(5), it is incumbent on that party to explain the reasons for the conduct and to show there is a lawful excuse for that conduct. (See Ultra Fuels Ltd. v. Kern, </w:t>
      </w:r>
      <w:hyperlink r:id="rId454" w:history="1">
        <w:r>
          <w:rPr>
            <w:rFonts w:ascii="arial" w:eastAsia="arial" w:hAnsi="arial" w:cs="arial"/>
            <w:i/>
            <w:color w:val="0077CC"/>
            <w:sz w:val="20"/>
            <w:u w:val="single"/>
            <w:shd w:val="clear" w:color="auto" w:fill="FFFFFF"/>
            <w:lang w:val="en-US" w:eastAsia="en-US" w:bidi="ar-SA"/>
          </w:rPr>
          <w:t>[1992] B.C.J. No. 1697</w:t>
        </w:r>
      </w:hyperlink>
      <w:r>
        <w:rPr>
          <w:rFonts w:ascii="arial" w:eastAsia="arial" w:hAnsi="arial" w:cs="arial"/>
          <w:color w:val="000000"/>
          <w:sz w:val="20"/>
          <w:lang w:val="en-US" w:eastAsia="en-US" w:bidi="ar-SA"/>
        </w:rPr>
        <w:t xml:space="preserve"> (Court of Appeal)). Here, the plaintiff has provided no excuse for his continuous non-compliance with the Rules of Court. He has continuously prejudiced the defendants and has thwarted their attempts to deal with the plaintiff's claim in a timely manner. For the above-noted reasons, I conclude that the plaintiff's claim must also be dismissed for failure to comply with the Rules pursuant to Rule 2(5). Any other result would be a serious injustice to the defendants who have acted in accordance with the rules and have pushed for resolution of this issue, and have continuously requested that the plaintiff advance the litigation. Any other result, in light of the plaintiff's bizarre and obstruction of behaviour, would have the effect of bringing the administration of justice into disrepute.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plaintiff's claim against the remaining defendants is dismissed. The defendants shall have their costs of this application on Scale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MASTER GROVES</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44" style="position:absolute;z-index:2518599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55"/>
          <w:headerReference w:type="default" r:id="rId456"/>
          <w:footerReference w:type="even" r:id="rId457"/>
          <w:footerReference w:type="default" r:id="rId458"/>
          <w:headerReference w:type="first" r:id="rId459"/>
          <w:footerReference w:type="first" r:id="rId46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461" w:history="1">
        <w:r>
          <w:rPr>
            <w:rFonts w:ascii="arial" w:eastAsia="arial" w:hAnsi="arial" w:cs="arial"/>
            <w:b/>
            <w:bCs/>
            <w:i/>
            <w:color w:val="0077CC"/>
            <w:kern w:val="32"/>
            <w:sz w:val="28"/>
            <w:szCs w:val="32"/>
            <w:u w:val="single"/>
            <w:shd w:val="clear" w:color="auto" w:fill="FFFFFF"/>
            <w:lang w:val="en-US" w:eastAsia="en-US" w:bidi="ar-SA"/>
          </w:rPr>
          <w:t>Zhao v. Ma, [2013] B.C.J. No. 2599</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J.E.D. Savage J. (In Chambers)</w:t>
      </w:r>
    </w:p>
    <w:p>
      <w:pPr>
        <w:spacing w:before="120" w:line="260" w:lineRule="atLeast"/>
        <w:jc w:val="center"/>
        <w:rPr>
          <w:lang w:val="en-US" w:eastAsia="en-US" w:bidi="ar-SA"/>
        </w:rPr>
      </w:pPr>
      <w:r>
        <w:rPr>
          <w:rFonts w:ascii="arial" w:eastAsia="arial" w:hAnsi="arial" w:cs="arial"/>
          <w:color w:val="000000"/>
          <w:sz w:val="20"/>
          <w:lang w:val="en-US" w:eastAsia="en-US" w:bidi="ar-SA"/>
        </w:rPr>
        <w:t>Heard: October 29, 2013.</w:t>
      </w:r>
    </w:p>
    <w:p>
      <w:pPr>
        <w:spacing w:before="120" w:line="260" w:lineRule="atLeast"/>
        <w:jc w:val="center"/>
        <w:rPr>
          <w:lang w:val="en-US" w:eastAsia="en-US" w:bidi="ar-SA"/>
        </w:rPr>
      </w:pPr>
      <w:r>
        <w:rPr>
          <w:rFonts w:ascii="arial" w:eastAsia="arial" w:hAnsi="arial" w:cs="arial"/>
          <w:color w:val="000000"/>
          <w:sz w:val="20"/>
          <w:lang w:val="en-US" w:eastAsia="en-US" w:bidi="ar-SA"/>
        </w:rPr>
        <w:t>Oral judgment: October 29, 2013.</w:t>
      </w:r>
    </w:p>
    <w:p>
      <w:pPr>
        <w:spacing w:before="120" w:line="260" w:lineRule="atLeast"/>
        <w:jc w:val="center"/>
        <w:rPr>
          <w:lang w:val="en-US" w:eastAsia="en-US" w:bidi="ar-SA"/>
        </w:rPr>
      </w:pPr>
      <w:r>
        <w:rPr>
          <w:rFonts w:ascii="arial" w:eastAsia="arial" w:hAnsi="arial" w:cs="arial"/>
          <w:color w:val="000000"/>
          <w:sz w:val="20"/>
          <w:lang w:val="en-US" w:eastAsia="en-US" w:bidi="ar-SA"/>
        </w:rPr>
        <w:t>Docket: S115990</w:t>
      </w:r>
    </w:p>
    <w:p>
      <w:pPr>
        <w:spacing w:before="120" w:line="260" w:lineRule="atLeast"/>
        <w:jc w:val="center"/>
        <w:rPr>
          <w:lang w:val="en-US" w:eastAsia="en-US" w:bidi="ar-SA"/>
        </w:rPr>
      </w:pPr>
      <w:r>
        <w:rPr>
          <w:rFonts w:ascii="arial" w:eastAsia="arial" w:hAnsi="arial" w:cs="arial"/>
          <w:color w:val="000000"/>
          <w:sz w:val="20"/>
          <w:lang w:val="en-US" w:eastAsia="en-US" w:bidi="ar-SA"/>
        </w:rPr>
        <w:t>Registry: Vancouver</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[2013] B.C.J. No. 2599</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2013 BCSC 2174</w:t>
      </w:r>
    </w:p>
    <w:p>
      <w:pPr>
        <w:spacing w:before="120" w:line="260" w:lineRule="atLeast"/>
        <w:rPr>
          <w:lang w:val="en-US" w:eastAsia="en-US" w:bidi="ar-SA"/>
        </w:rPr>
      </w:pPr>
      <w:r>
        <w:rPr>
          <w:rFonts w:ascii="arial" w:eastAsia="arial" w:hAnsi="arial" w:cs="arial"/>
          <w:color w:val="000000"/>
          <w:sz w:val="20"/>
          <w:lang w:val="en-US" w:eastAsia="en-US" w:bidi="ar-SA"/>
        </w:rPr>
        <w:t>Between Mei Qing Zhao, Plaintiff, and Roy Sui Cheong Ma and Isabel Judith Jorge Ma, Defendants, and Sutton Group - West Coast Realty, Julia Lau and Hong Jun Zhao, Third Parties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(25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145" style="position:absolute;z-index:251682816"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156" w:name="Keywords_23"/>
      <w:bookmarkEnd w:id="156"/>
      <w:r>
        <w:rPr>
          <w:rFonts w:ascii="arial" w:eastAsia="arial" w:hAnsi="arial" w:cs="arial"/>
          <w:b/>
          <w:color w:val="000000"/>
          <w:sz w:val="20"/>
          <w:lang w:val="en-US" w:eastAsia="en-US" w:bidi="ar-SA"/>
        </w:rPr>
        <w:t>Real property law — Sale of land — Agreement of purchase and sale — Breach of — Damages — Action by the purchaser for damages for breach of an agreement of purchase and sale of a property allowed — Plaintiff awarded damages of $137,000 -- transaction did not proceed as the vendors had repudiated the contract in writing — Plaintiff was entitled to the difference in the value of the property between the agreed upon price and value of the property on date of repudiation.</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157" w:name="Case Summary_21"/>
            <w:bookmarkEnd w:id="157"/>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Action by the purchaser for damages for breach of an agreement of purchase and sale of a property. The plaintiff sought summary trial. The defendant vendors argued that they executed the contract under duress and misrepresentation. The defendants argued that they repudiated the contract in 2011 by correspondence from their solicitor. The contract was duly executed with each page initialled. It was accepted in January 2011. The contract was assigned in August 2011 to the plaintiff from her husband. She tendered documents required for closing and had available the purchase monies. The transaction did not proceed as the vendors had repudiated the contract at least by April 2011. On the date the contract was executed, the value of the property was $1,950,000. At the date of the repudiation the market value of the property was $2,200,000. The agreed upon price at the time of sale was $2,063,000. </w:t>
            </w:r>
            <w:r>
              <w:rPr>
                <w:lang w:val="en-US" w:eastAsia="en-US" w:bidi="ar-SA"/>
              </w:rPr>
              <w:cr/>
            </w:r>
          </w:p>
          <w:p>
            <w:pPr>
              <w:spacing w:before="120" w:line="260" w:lineRule="atLeast"/>
              <w:ind w:left="240"/>
              <w:jc w:val="both"/>
              <w:rPr>
                <w:lang w:val="en-US" w:eastAsia="en-US" w:bidi="ar-SA"/>
              </w:rPr>
            </w:pPr>
            <w:bookmarkStart w:id="158" w:name="Holdings of Court_15"/>
            <w:bookmarkEnd w:id="158"/>
            <w:r>
              <w:rPr>
                <w:rFonts w:ascii="arial" w:eastAsia="arial" w:hAnsi="arial" w:cs="arial"/>
                <w:color w:val="000000"/>
                <w:sz w:val="20"/>
                <w:lang w:val="en-US" w:eastAsia="en-US" w:bidi="ar-SA"/>
              </w:rPr>
              <w:t>HELD: Action allowed.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The plaintiff was awarded damages of $137,000. Given the amount involved, the complexity of the matter, the urgency, prejudice by delay, the cost of proceeding to a conventional trial, the pleadings and the course of proceedings, it was fair and just to determine the issues by way of summary trial. The plaintiff had established that the defendants breached the contract by repudiating the contract in April 2011. The value as of the date of repudiation was determined to be $2,200,000. </w:t>
            </w:r>
            <w:r>
              <w:rPr>
                <w:lang w:val="en-US" w:eastAsia="en-US" w:bidi="ar-SA"/>
              </w:rPr>
              <w:cr/>
            </w:r>
          </w:p>
          <w:p>
            <w:pPr>
              <w:rPr>
                <w:lang w:val="en-US" w:eastAsia="en-US" w:bidi="ar-SA"/>
              </w:rPr>
            </w:pPr>
          </w:p>
        </w:tc>
      </w:tr>
    </w:tbl>
    <w:p>
      <w:pPr>
        <w:jc w:val="both"/>
        <w:rPr>
          <w:lang w:val="en-US" w:eastAsia="en-US" w:bidi="ar-SA"/>
        </w:rPr>
      </w:pPr>
      <w:bookmarkStart w:id="159" w:name="Legislation Cited_22"/>
      <w:bookmarkEnd w:id="159"/>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lang w:val="en-US" w:eastAsia="en-US" w:bidi="ar-SA"/>
        </w:rPr>
      </w:pPr>
      <w:r>
        <w:pict>
          <v:line id="_x0000_s1146" style="position:absolute;z-index:251734016"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Rules of Court, Rule 9-7</w:t>
      </w:r>
      <w:r>
        <w:rPr>
          <w:lang w:val="en-US" w:eastAsia="en-US" w:bidi="ar-SA"/>
        </w:rPr>
        <w:cr/>
      </w:r>
    </w:p>
    <w:p>
      <w:pPr>
        <w:keepNext/>
        <w:spacing w:before="240" w:line="340" w:lineRule="atLeast"/>
        <w:rPr>
          <w:lang w:val="en-US" w:eastAsia="en-US" w:bidi="ar-SA"/>
        </w:rPr>
      </w:pPr>
      <w:bookmarkStart w:id="160" w:name="Counsel_23"/>
      <w:bookmarkEnd w:id="160"/>
      <w:r>
        <w:rPr>
          <w:rFonts w:ascii="arial" w:eastAsia="arial" w:hAnsi="arial" w:cs="arial"/>
          <w:b/>
          <w:color w:val="000000"/>
          <w:sz w:val="28"/>
          <w:lang w:val="en-US" w:eastAsia="en-US" w:bidi="ar-SA"/>
        </w:rPr>
        <w:t>Counsel</w:t>
      </w:r>
    </w:p>
    <w:p>
      <w:pPr>
        <w:spacing w:line="60" w:lineRule="exact"/>
        <w:rPr>
          <w:lang w:val="en-US" w:eastAsia="en-US" w:bidi="ar-SA"/>
        </w:rPr>
      </w:pPr>
      <w:r>
        <w:pict>
          <v:line id="_x0000_s1147" style="position:absolute;z-index:251785216"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the Plaintiff: K.G. McKenzie.</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Defendants: W. Ryan.</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Third Parties: K.A. Murray.</w:t>
      </w:r>
      <w:r>
        <w:rPr>
          <w:lang w:val="en-US" w:eastAsia="en-US" w:bidi="ar-SA"/>
        </w:rPr>
        <w:cr/>
      </w:r>
    </w:p>
    <w:p>
      <w:pPr>
        <w:spacing w:after="240"/>
        <w:rPr>
          <w:lang w:val="en-US" w:eastAsia="en-US" w:bidi="ar-SA"/>
        </w:rPr>
      </w:pPr>
      <w:bookmarkStart w:id="161" w:name="Judgment_23"/>
      <w:bookmarkEnd w:id="161"/>
      <w:r>
        <w:pict>
          <v:line id="_x0000_s1148" style="position:absolute;z-index:251836416" from="0,12pt" to="512pt,12pt" strokecolor="#009ddb" strokeweight="1.5pt">
            <v:stroke linestyle="single"/>
          </v:line>
        </w:pict>
      </w:r>
    </w:p>
    <w:p>
      <w:pPr>
        <w:spacing w:before="120" w:line="260" w:lineRule="atLeast"/>
        <w:jc w:val="center"/>
        <w:rPr>
          <w:lang w:val="en-US" w:eastAsia="en-US" w:bidi="ar-SA"/>
        </w:rPr>
      </w:pPr>
      <w:r>
        <w:rPr>
          <w:rFonts w:ascii="arial" w:eastAsia="arial" w:hAnsi="arial" w:cs="arial"/>
          <w:b/>
          <w:color w:val="000000"/>
          <w:sz w:val="20"/>
          <w:lang w:val="en-US" w:eastAsia="en-US" w:bidi="ar-SA"/>
        </w:rPr>
        <w:t>Oral Reasons for Judgment</w:t>
      </w:r>
      <w:r>
        <w:rPr>
          <w:lang w:val="en-US" w:eastAsia="en-US" w:bidi="ar-SA"/>
        </w:rPr>
        <w:cr/>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871"/>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162" w:name="J.E.D. SAVAGE J. (orally)"/>
            <w:bookmarkEnd w:id="162"/>
            <w:r>
              <w:rPr>
                <w:rFonts w:ascii="arial" w:eastAsia="arial" w:hAnsi="arial" w:cs="arial"/>
                <w:b/>
                <w:color w:val="000000"/>
                <w:sz w:val="30"/>
                <w:lang w:val="en-US" w:eastAsia="en-US" w:bidi="ar-SA"/>
              </w:rPr>
              <w:t>J.E.D. SAVAGE J. (orally)</w:t>
            </w:r>
          </w:p>
        </w:tc>
      </w:tr>
    </w:tbl>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614"/>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560"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b/>
                <w:color w:val="000000"/>
                <w:sz w:val="18"/>
                <w:u w:val="single"/>
                <w:lang w:val="en-US" w:eastAsia="en-US" w:bidi="ar-SA"/>
              </w:rPr>
              <w:t>I.</w:t>
            </w:r>
          </w:p>
        </w:tc>
        <w:tc>
          <w:tcPr>
            <w:tcW w:w="6656"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b/>
                <w:color w:val="000000"/>
                <w:sz w:val="18"/>
                <w:u w:val="single"/>
                <w:lang w:val="en-US" w:eastAsia="en-US" w:bidi="ar-SA"/>
              </w:rPr>
              <w:t>Introduction</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application for summary trial. The plaintiff is the wife and assignee under a contract dated January 28, 2011 for the purchase of property civically described as 4068 W. 38th Avenue in Vancouver, B.C. (the "Contract"). At all times the plaintiff was ready, willing and able to complete under the Contract.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In response to the notice of civil claim, the defendants say that they executed the Contract "under duress and misrepresentation". The defendant pleads on or about April 6, 2011 the "Defendants Solicitors wrote the [plaintiffs and third parties] repudiating" the Contract by correspondence from their solicitor. The defendants reiterate in response to the application that they "... repudiated the contract by letter dated April 8, 2011".</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defendants have third-partied the real estate brokerage company, their listing agent, and the plaintiff's husband who signed the Contract. In third party proceedings they make various claims against their broker, the real estate listing company, including claims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misrepresentation. There is a pleading that the defendant Zhao acted in concert with the real estate brokerage company and the listing agent.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says that this case is a simple one of vendor remorse in a rising market. The defendants say it is an example of a flip gone wrong. I find it unnecessary to characterize the matter either way in order to make a determination.</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614"/>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560"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b/>
                <w:color w:val="000000"/>
                <w:sz w:val="18"/>
                <w:u w:val="single"/>
                <w:lang w:val="en-US" w:eastAsia="en-US" w:bidi="ar-SA"/>
              </w:rPr>
              <w:t>II.</w:t>
            </w:r>
          </w:p>
        </w:tc>
        <w:tc>
          <w:tcPr>
            <w:tcW w:w="6656"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b/>
                <w:color w:val="000000"/>
                <w:sz w:val="18"/>
                <w:u w:val="single"/>
                <w:lang w:val="en-US" w:eastAsia="en-US" w:bidi="ar-SA"/>
              </w:rPr>
              <w:t>Summary Trial, Rule 9-7</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Counsel for the defendants did not present any authorities but made the submission during argument that the matter is not suitable for a summary trial under R. 9-7. That objection was based primarily on two grounds: (1) that there are conflicts in the evidence requiring a trial, and (2) the defendants should be given time to marshal expert evidence on the competence of one of the vendors.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The leading authorities provide that a court can give judgment under R. 9-7 despite conflicts in the evidence. See, for example, </w:t>
      </w:r>
      <w:r>
        <w:rPr>
          <w:rFonts w:ascii="arial" w:eastAsia="arial" w:hAnsi="arial" w:cs="arial"/>
          <w:i/>
          <w:color w:val="000000"/>
          <w:sz w:val="20"/>
          <w:lang w:val="en-US" w:eastAsia="en-US" w:bidi="ar-SA"/>
        </w:rPr>
        <w:t>Inspiration Management Ltd. v. McDermid St. Lawrence Ltd.</w:t>
      </w:r>
      <w:r>
        <w:rPr>
          <w:rFonts w:ascii="arial" w:eastAsia="arial" w:hAnsi="arial" w:cs="arial"/>
          <w:color w:val="000000"/>
          <w:sz w:val="20"/>
          <w:lang w:val="en-US" w:eastAsia="en-US" w:bidi="ar-SA"/>
        </w:rPr>
        <w:t xml:space="preserve"> </w:t>
      </w:r>
      <w:hyperlink r:id="rId291" w:history="1">
        <w:r>
          <w:rPr>
            <w:rFonts w:ascii="arial" w:eastAsia="arial" w:hAnsi="arial" w:cs="arial"/>
            <w:i/>
            <w:color w:val="0077CC"/>
            <w:sz w:val="20"/>
            <w:u w:val="single"/>
            <w:shd w:val="clear" w:color="auto" w:fill="FFFFFF"/>
            <w:lang w:val="en-US" w:eastAsia="en-US" w:bidi="ar-SA"/>
          </w:rPr>
          <w:t>(1989), 36 B.C.L.R. (2d) 202</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Salem v. Priority Building Services Ltd.</w:t>
      </w:r>
      <w:r>
        <w:rPr>
          <w:rFonts w:ascii="arial" w:eastAsia="arial" w:hAnsi="arial" w:cs="arial"/>
          <w:color w:val="000000"/>
          <w:sz w:val="20"/>
          <w:lang w:val="en-US" w:eastAsia="en-US" w:bidi="ar-SA"/>
        </w:rPr>
        <w:t xml:space="preserve">, </w:t>
      </w:r>
      <w:hyperlink r:id="rId462" w:history="1">
        <w:r>
          <w:rPr>
            <w:rFonts w:ascii="arial" w:eastAsia="arial" w:hAnsi="arial" w:cs="arial"/>
            <w:i/>
            <w:color w:val="0077CC"/>
            <w:sz w:val="20"/>
            <w:u w:val="single"/>
            <w:shd w:val="clear" w:color="auto" w:fill="FFFFFF"/>
            <w:lang w:val="en-US" w:eastAsia="en-US" w:bidi="ar-SA"/>
          </w:rPr>
          <w:t>2005 BCCA 617</w:t>
        </w:r>
      </w:hyperlink>
      <w:r>
        <w:rPr>
          <w:rFonts w:ascii="arial" w:eastAsia="arial" w:hAnsi="arial" w:cs="arial"/>
          <w:color w:val="000000"/>
          <w:sz w:val="20"/>
          <w:lang w:val="en-US" w:eastAsia="en-US" w:bidi="ar-SA"/>
        </w:rPr>
        <w:t xml:space="preserve"> at para. 20; </w:t>
      </w:r>
      <w:r>
        <w:rPr>
          <w:rFonts w:ascii="arial" w:eastAsia="arial" w:hAnsi="arial" w:cs="arial"/>
          <w:i/>
          <w:color w:val="000000"/>
          <w:sz w:val="20"/>
          <w:lang w:val="en-US" w:eastAsia="en-US" w:bidi="ar-SA"/>
        </w:rPr>
        <w:t>Orangeville Raceway Ltd. v. Wood Gundy Inc.</w:t>
      </w:r>
      <w:r>
        <w:rPr>
          <w:rFonts w:ascii="arial" w:eastAsia="arial" w:hAnsi="arial" w:cs="arial"/>
          <w:color w:val="000000"/>
          <w:sz w:val="20"/>
          <w:lang w:val="en-US" w:eastAsia="en-US" w:bidi="ar-SA"/>
        </w:rPr>
        <w:t xml:space="preserve"> </w:t>
      </w:r>
      <w:hyperlink r:id="rId463" w:history="1">
        <w:r>
          <w:rPr>
            <w:rFonts w:ascii="arial" w:eastAsia="arial" w:hAnsi="arial" w:cs="arial"/>
            <w:i/>
            <w:color w:val="0077CC"/>
            <w:sz w:val="20"/>
            <w:u w:val="single"/>
            <w:shd w:val="clear" w:color="auto" w:fill="FFFFFF"/>
            <w:lang w:val="en-US" w:eastAsia="en-US" w:bidi="ar-SA"/>
          </w:rPr>
          <w:t>(1995), 6 B.C.L.R. (3d) 391</w:t>
        </w:r>
      </w:hyperlink>
      <w:r>
        <w:rPr>
          <w:rFonts w:ascii="arial" w:eastAsia="arial" w:hAnsi="arial" w:cs="arial"/>
          <w:color w:val="000000"/>
          <w:sz w:val="20"/>
          <w:lang w:val="en-US" w:eastAsia="en-US" w:bidi="ar-SA"/>
        </w:rPr>
        <w:t xml:space="preserve">, </w:t>
      </w:r>
      <w:hyperlink r:id="rId463" w:history="1">
        <w:r>
          <w:rPr>
            <w:rFonts w:ascii="arial" w:eastAsia="arial" w:hAnsi="arial" w:cs="arial"/>
            <w:i/>
            <w:color w:val="0077CC"/>
            <w:sz w:val="20"/>
            <w:u w:val="single"/>
            <w:shd w:val="clear" w:color="auto" w:fill="FFFFFF"/>
            <w:lang w:val="en-US" w:eastAsia="en-US" w:bidi="ar-SA"/>
          </w:rPr>
          <w:t>[1995] B.C.J. No. 1254</w:t>
        </w:r>
      </w:hyperlink>
      <w:r>
        <w:rPr>
          <w:rFonts w:ascii="arial" w:eastAsia="arial" w:hAnsi="arial" w:cs="arial"/>
          <w:color w:val="000000"/>
          <w:sz w:val="20"/>
          <w:lang w:val="en-US" w:eastAsia="en-US" w:bidi="ar-SA"/>
        </w:rPr>
        <w:t xml:space="preserve"> (C.A.) at paras. 26-33. To the same effect is the decision of the Court of Appeal in </w:t>
      </w:r>
      <w:r>
        <w:rPr>
          <w:rFonts w:ascii="arial" w:eastAsia="arial" w:hAnsi="arial" w:cs="arial"/>
          <w:i/>
          <w:color w:val="000000"/>
          <w:sz w:val="20"/>
          <w:lang w:val="en-US" w:eastAsia="en-US" w:bidi="ar-SA"/>
        </w:rPr>
        <w:t>MacMillan v. Kaiser Equipment Ltd.,</w:t>
      </w:r>
      <w:r>
        <w:rPr>
          <w:rFonts w:ascii="arial" w:eastAsia="arial" w:hAnsi="arial" w:cs="arial"/>
          <w:color w:val="000000"/>
          <w:sz w:val="20"/>
          <w:lang w:val="en-US" w:eastAsia="en-US" w:bidi="ar-SA"/>
        </w:rPr>
        <w:t xml:space="preserve"> </w:t>
      </w:r>
      <w:hyperlink r:id="rId464" w:history="1">
        <w:r>
          <w:rPr>
            <w:rFonts w:ascii="arial" w:eastAsia="arial" w:hAnsi="arial" w:cs="arial"/>
            <w:i/>
            <w:color w:val="0077CC"/>
            <w:sz w:val="20"/>
            <w:u w:val="single"/>
            <w:shd w:val="clear" w:color="auto" w:fill="FFFFFF"/>
            <w:lang w:val="en-US" w:eastAsia="en-US" w:bidi="ar-SA"/>
          </w:rPr>
          <w:t>2004 BCCA 270</w:t>
        </w:r>
      </w:hyperlink>
      <w:r>
        <w:rPr>
          <w:rFonts w:ascii="arial" w:eastAsia="arial" w:hAnsi="arial" w:cs="arial"/>
          <w:color w:val="000000"/>
          <w:sz w:val="20"/>
          <w:lang w:val="en-US" w:eastAsia="en-US" w:bidi="ar-SA"/>
        </w:rPr>
        <w:t>. In that case, the summary trial judge determined that the case was suitable for summary trial despite the conflicts in the evidence. The Court of Appeal said: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[22] The principles relating to the applicability of the summary trial procedure are not in dispute. It should be noted that the mere fact that there is a conflict in the evidence does not in and of itself preclude a chambers judge from proceeding under Rule 18A. A summary trial almost invariably involves the resolution of credibility issues for it is only in the rarest of cases that there will be a complete agreement on the evidence. The crucial question is whether the court is able to achieve a just and fair result by proceeding summarily.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Mariotto v.</w:t>
      </w:r>
      <w:r>
        <w:rPr>
          <w:rFonts w:ascii="arial" w:eastAsia="arial" w:hAnsi="arial" w:cs="arial"/>
          <w:color w:val="000000"/>
          <w:sz w:val="20"/>
          <w:lang w:val="en-US" w:eastAsia="en-US" w:bidi="ar-SA"/>
        </w:rPr>
        <w:t xml:space="preserve"> Waterman, </w:t>
      </w:r>
      <w:hyperlink r:id="rId465" w:history="1">
        <w:r>
          <w:rPr>
            <w:rFonts w:ascii="arial" w:eastAsia="arial" w:hAnsi="arial" w:cs="arial"/>
            <w:i/>
            <w:color w:val="0077CC"/>
            <w:sz w:val="20"/>
            <w:u w:val="single"/>
            <w:shd w:val="clear" w:color="auto" w:fill="FFFFFF"/>
            <w:lang w:val="en-US" w:eastAsia="en-US" w:bidi="ar-SA"/>
          </w:rPr>
          <w:t>(1996), 32 B.C.L.R. (3d) 125</w:t>
        </w:r>
      </w:hyperlink>
      <w:r>
        <w:rPr>
          <w:rFonts w:ascii="arial" w:eastAsia="arial" w:hAnsi="arial" w:cs="arial"/>
          <w:color w:val="000000"/>
          <w:sz w:val="20"/>
          <w:lang w:val="en-US" w:eastAsia="en-US" w:bidi="ar-SA"/>
        </w:rPr>
        <w:t xml:space="preserve"> at pp. 126-127 the Court of Appeal said that a judge should be careful but courageous in resolving a matter under this rule, if it can be done without injustice. In my view that reasoning applies here.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second basis for opposing summary trial is that the defendants should be given time to marshal expert evidence regarding the competence of one of the defendants. The difficulty with this submission is that the defendants have asserted the question of competence or capacity since the notice of repudiation in April 2011. These matters are reiterated in the response to civil claim filed September 28, 2011 and in the third party notice filed in February, 2012.</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my view a summary trial cannot be defeated by vague references as to what may be adduced in the future if the matter is allowed to proceed. A party is required to marshal their evidence for such an application, and a determination should be made based on the pleadings as framed and the evidence before the court, not on assertions as to what the evidence might be.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the circumstances here, given the amount involved, the complexity of the matter, the urgency, prejudice by delay, the cost of proceeding to a conventional trial, the pleadings and the course of proceedings, it is fair and just to determine the issues under Rule 9-7.</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III.</w:t>
      </w:r>
      <w:r>
        <w:rPr>
          <w:rFonts w:ascii="arial" w:eastAsia="arial" w:hAnsi="arial" w:cs="arial"/>
          <w:color w:val="000000"/>
          <w:sz w:val="20"/>
          <w:lang w:val="en-US" w:eastAsia="en-US" w:bidi="ar-SA"/>
        </w:rPr>
        <w:t xml:space="preserve"> </w:t>
      </w:r>
      <w:r>
        <w:rPr>
          <w:rFonts w:ascii="arial" w:eastAsia="arial" w:hAnsi="arial" w:cs="arial"/>
          <w:b/>
          <w:color w:val="000000"/>
          <w:sz w:val="20"/>
          <w:u w:val="single"/>
          <w:lang w:val="en-US" w:eastAsia="en-US" w:bidi="ar-SA"/>
        </w:rPr>
        <w:t>Merits of the Application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this case the evidence before the court establishes that the defendants signed a listing agreement which is dated January 25, 2011 with their realtors on or before signing the Contract. The vendors signed a property disclosure statement which is also dated January 25, 2011.</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Contract was dated January 27, 2011 and open for acceptance until 9:59pm on January 28, 2011. The Contract was duly executed with each page initialled. It shows it was accepted on January 28, 2011.</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Listing Agreement specifies the listing price as $2,063,000. The purchase price is for $2,063,000.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Contract was assigned on August 23, 2011 to the plaintiff from her husband. She tendered documents required for closing and had available the purchase monies. The transaction did not proceed as the vendors had repudiated the contract at least by April 8, 2011. The solicitor for the vendor reminded the solicitor for the purchaser of the repudiation of April 8, 2011 by letter dated August 29, 2011.</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defendants in their pleadings raise various matters as between themselves and the third party brokerage and listing agent. There are significant conflicts in the evidence between the listing agent and the defendants. In my view it is unnecessary to resolve those conflicts in dealing with this application. The various assertions that the defendants make against the third party brokerage and their listing agent are not matters that affect the relationship between themselves and the purchasers. The purchasers do not, for example, owe any fiduciary duty to the vendors.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The defendant also argued that repudiation occurred earlier than April 8, 2011. Although this argument is inconsistent with the pleadings, in my opinion the evidence falls well short of establishing an earlier date for repudiation. In my opinion, until the defendants unequivocally advised the plaintiffs that they would not complete, there was no repudiation of the Contract; that is, it was necessary that the statement or action be such as to indicate an intention to breach the contract so as to give the other an excuse for non-performance. That unequivocal intention not to be bound by the Contract was evidenced by the solicitor's letter: see </w:t>
      </w:r>
      <w:r>
        <w:rPr>
          <w:rFonts w:ascii="arial" w:eastAsia="arial" w:hAnsi="arial" w:cs="arial"/>
          <w:i/>
          <w:color w:val="000000"/>
          <w:sz w:val="20"/>
          <w:lang w:val="en-US" w:eastAsia="en-US" w:bidi="ar-SA"/>
        </w:rPr>
        <w:t>Terrien Bros. Construction Ltd. v. Delaurier</w:t>
      </w:r>
      <w:r>
        <w:rPr>
          <w:rFonts w:ascii="arial" w:eastAsia="arial" w:hAnsi="arial" w:cs="arial"/>
          <w:color w:val="000000"/>
          <w:sz w:val="20"/>
          <w:lang w:val="en-US" w:eastAsia="en-US" w:bidi="ar-SA"/>
        </w:rPr>
        <w:t xml:space="preserve">, </w:t>
      </w:r>
      <w:hyperlink r:id="rId466" w:history="1">
        <w:r>
          <w:rPr>
            <w:rFonts w:ascii="arial" w:eastAsia="arial" w:hAnsi="arial" w:cs="arial"/>
            <w:i/>
            <w:color w:val="0077CC"/>
            <w:sz w:val="20"/>
            <w:u w:val="single"/>
            <w:shd w:val="clear" w:color="auto" w:fill="FFFFFF"/>
            <w:lang w:val="en-US" w:eastAsia="en-US" w:bidi="ar-SA"/>
          </w:rPr>
          <w:t>2006 BCSC 1645</w:t>
        </w:r>
      </w:hyperlink>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other matter concerns the competence of one of the parties to the transaction. The defendants have had some years now to marshal evidence to prove their case regarding competence. The only objective evidence produced are a couple of Costco pharmacy records regarding medications in 2010. There is not, for example, a letter or affidavit from a physician. Moreover, the fact that one of the defendant's was on medication does not establish that she was incompetent at the time the transactions were completed.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the circumstances, the plaintiff has established that the defendants breached the Contract by repudiating the Contract on April 8, 2011. She is entitled to damages.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614"/>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560"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b/>
                <w:color w:val="000000"/>
                <w:sz w:val="18"/>
                <w:u w:val="single"/>
                <w:lang w:val="en-US" w:eastAsia="en-US" w:bidi="ar-SA"/>
              </w:rPr>
              <w:t>IV.</w:t>
            </w:r>
          </w:p>
        </w:tc>
        <w:tc>
          <w:tcPr>
            <w:tcW w:w="6656"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b/>
                <w:color w:val="000000"/>
                <w:sz w:val="18"/>
                <w:u w:val="single"/>
                <w:lang w:val="en-US" w:eastAsia="en-US" w:bidi="ar-SA"/>
              </w:rPr>
              <w:t>Damages</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All of the parties accept that the damages are the difference in value between the value as of the Contract date and the value as at the repudiation date.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only appraisal evidence before the Court as of the Contract date is that provided in the Grover Elliot Appraisal. I find that as January 28, 2011 the market value of the property was $1,950,000.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At the date of the repudiation the market value of the property according to the Grover Elliot Appraisal is $2,200,000. The agreed upon price at the time of sale was $2,063,000. Based on these appraisals, the damages suffered by the plaintiff is $137,000, the difference between these two sums.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plaintiff has produced an appraisal for the property as of April 8, 2011 by Burgess Cawley Sullivan. They value the property at $2,280,000. Based on this appraisal the damages suffered by the plaintiff as a result of the repudiation of the defendants is $217,000.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difference in value between $2,200,000 and $2,280,000 is small. Although the plaintiff raised an issue with the Grover Elliot Appraisal they chose not to require cross-examination of the appraiser, but instead argued that the appraiser should have, in effect, determined a different value based on one comparable. Given the group of comparables utilized by the appraiser I am unable to conclude that it would have changed his opinion of value.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It is incumbent on the plaintiff to establish damages. In my opinion the difference between these two appraisals is so small that it is within normal appraisal tolerances. Appraisal is not an exact science. In the circumstances, given the small difference between the valuations, and noting that appraisal is not an exact science, for the purpose of calculating the plaintiff's damages I find the value as of April 8, 2011 to be $2,200,000.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the circumstances, I assess damages at $137,000.</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J.E.D. SAVAGE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9" style="position:absolute;z-index:25186099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67"/>
          <w:headerReference w:type="default" r:id="rId468"/>
          <w:footerReference w:type="even" r:id="rId469"/>
          <w:footerReference w:type="default" r:id="rId470"/>
          <w:headerReference w:type="first" r:id="rId471"/>
          <w:footerReference w:type="first" r:id="rId47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73" w:history="1">
        <w:r>
          <w:rPr>
            <w:rFonts w:ascii="arial" w:eastAsia="arial" w:hAnsi="arial" w:cs="arial"/>
            <w:b/>
            <w:bCs/>
            <w:i/>
            <w:color w:val="0077CC"/>
            <w:kern w:val="32"/>
            <w:sz w:val="28"/>
            <w:szCs w:val="32"/>
            <w:u w:val="single"/>
            <w:shd w:val="clear" w:color="auto" w:fill="FFFFFF"/>
            <w:lang w:val="en-US" w:eastAsia="en-US" w:bidi="ar-SA"/>
          </w:rPr>
          <w:t>391043 Alberta Ltd. v. Village of Canal Flats, [2014] B.C.J. No. 1949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J.E.D. Savage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July 16,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July 16,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S140314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[2014] B.C.J. No. 1949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2014 BCSC 1421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391043 Alberta Ltd., Plaintiff, and Village of Canal Flats and Robert Sabine,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(11 paras.)</w:t>
      </w:r>
    </w:p>
    <w:p>
      <w:pPr>
        <w:jc w:val="both"/>
        <w:rPr>
          <w:rFonts w:ascii="arial" w:eastAsia="arial" w:hAnsi="arial" w:cs="arial"/>
          <w:sz w:val="20"/>
          <w:lang w:val="en-US" w:eastAsia="en-US" w:bidi="ar-SA"/>
        </w:rPr>
      </w:pPr>
      <w:bookmarkStart w:id="163" w:name="Counsel_24"/>
      <w:bookmarkEnd w:id="16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50" style="position:absolute;z-index:2516838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P.C. Ballem and G. Geldart.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A. Crabtree.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64" w:name="Judgment_24"/>
      <w:bookmarkEnd w:id="164"/>
      <w:r>
        <w:pict>
          <v:line id="_x0000_s1151" style="position:absolute;z-index:251735040"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A correction was released by the Court August 25, 2014; the change has been made to the text and the correction is appended to this document.]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Oral 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871"/>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65" w:name="J.E.D. SAVAGE J. (orally)_0"/>
            <w:bookmarkEnd w:id="165"/>
            <w:r>
              <w:rPr>
                <w:rFonts w:ascii="arial" w:eastAsia="arial" w:hAnsi="arial" w:cs="arial"/>
                <w:b/>
                <w:color w:val="000000"/>
                <w:sz w:val="30"/>
                <w:lang w:val="en-US" w:eastAsia="en-US" w:bidi="ar-SA"/>
              </w:rPr>
              <w:t>J.E.D. SAVAGE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This is an application under Rule 9-5(1)(a)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and s. 287 of the </w:t>
      </w:r>
      <w:r>
        <w:rPr>
          <w:rFonts w:ascii="arial" w:eastAsia="arial" w:hAnsi="arial" w:cs="arial"/>
          <w:i/>
          <w:color w:val="000000"/>
          <w:sz w:val="20"/>
          <w:lang w:val="en-US" w:eastAsia="en-US" w:bidi="ar-SA"/>
        </w:rPr>
        <w:t>Local Government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323</w:t>
      </w:r>
      <w:r>
        <w:rPr>
          <w:rFonts w:ascii="arial" w:eastAsia="arial" w:hAnsi="arial" w:cs="arial"/>
          <w:color w:val="000000"/>
          <w:sz w:val="20"/>
          <w:lang w:val="en-US" w:eastAsia="en-US" w:bidi="ar-SA"/>
        </w:rPr>
        <w:t xml:space="preserve"> to strike a personal claim against a municipal public officer.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In this case the municipal corporation, the Village of Canal Flats, is also named as a defendant. The writ of summons in this matter was filed nearly six years ago. Surprisingly, the action is at an early stage. There has been no discovery of documents or examinations for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An amended notice of civil claim was filed in September 2013. The amended notice of civil claims is prolix, running some 151 paragraphs. In the amended notice of civil claim various allegations are made, including those of the defendants "falsely and negligently" making various representations relied upon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Section 287(2) of the </w:t>
      </w:r>
      <w:r>
        <w:rPr>
          <w:rFonts w:ascii="arial" w:eastAsia="arial" w:hAnsi="arial" w:cs="arial"/>
          <w:i/>
          <w:color w:val="000000"/>
          <w:sz w:val="20"/>
          <w:lang w:val="en-US" w:eastAsia="en-US" w:bidi="ar-SA"/>
        </w:rPr>
        <w:t>Local Government Act</w:t>
      </w:r>
      <w:r>
        <w:rPr>
          <w:rFonts w:ascii="arial" w:eastAsia="arial" w:hAnsi="arial" w:cs="arial"/>
          <w:color w:val="000000"/>
          <w:sz w:val="20"/>
          <w:lang w:val="en-US" w:eastAsia="en-US" w:bidi="ar-SA"/>
        </w:rPr>
        <w:t xml:space="preserve"> gives a municipal public officer or former municipal public officer a complete defence to a cause of action arising out of the performance of his or her duties or powers in the absence of dishonesty,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malicious or wilful misconduct. Those are matters largely contingent on the state of mind of the municipal public officer.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There are no express allegations of dishonesty,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malice or wilful misconduct in these pleadings, which is probably what gives rise to this application. I was referred to an earlier decision between these parties in </w:t>
      </w:r>
      <w:r>
        <w:rPr>
          <w:rFonts w:ascii="arial" w:eastAsia="arial" w:hAnsi="arial" w:cs="arial"/>
          <w:i/>
          <w:color w:val="000000"/>
          <w:sz w:val="20"/>
          <w:lang w:val="en-US" w:eastAsia="en-US" w:bidi="ar-SA"/>
        </w:rPr>
        <w:t>391043 Alberta Ltd. v. Village of Canal Flats</w:t>
      </w:r>
      <w:r>
        <w:rPr>
          <w:rFonts w:ascii="arial" w:eastAsia="arial" w:hAnsi="arial" w:cs="arial"/>
          <w:color w:val="000000"/>
          <w:sz w:val="20"/>
          <w:lang w:val="en-US" w:eastAsia="en-US" w:bidi="ar-SA"/>
        </w:rPr>
        <w:t xml:space="preserve">, </w:t>
      </w:r>
      <w:hyperlink r:id="rId474" w:history="1">
        <w:r>
          <w:rPr>
            <w:rFonts w:ascii="arial" w:eastAsia="arial" w:hAnsi="arial" w:cs="arial"/>
            <w:i/>
            <w:color w:val="0077CC"/>
            <w:sz w:val="20"/>
            <w:u w:val="single"/>
            <w:shd w:val="clear" w:color="auto" w:fill="FFFFFF"/>
            <w:lang w:val="en-US" w:eastAsia="en-US" w:bidi="ar-SA"/>
          </w:rPr>
          <w:t>2008 BCSC 1043</w:t>
        </w:r>
      </w:hyperlink>
      <w:r>
        <w:rPr>
          <w:rFonts w:ascii="arial" w:eastAsia="arial" w:hAnsi="arial" w:cs="arial"/>
          <w:color w:val="000000"/>
          <w:sz w:val="20"/>
          <w:lang w:val="en-US" w:eastAsia="en-US" w:bidi="ar-SA"/>
        </w:rPr>
        <w:t xml:space="preserve">. In that case Justice Bracken found that the municipal public officer wrongfully insisted on compliance with certain bylaws. As noted by the applicant, that falls well short of any finding which would preclude the operation of the defence afforded by s. 287(2) of the </w:t>
      </w:r>
      <w:r>
        <w:rPr>
          <w:rFonts w:ascii="arial" w:eastAsia="arial" w:hAnsi="arial" w:cs="arial"/>
          <w:i/>
          <w:color w:val="000000"/>
          <w:sz w:val="20"/>
          <w:lang w:val="en-US" w:eastAsia="en-US" w:bidi="ar-SA"/>
        </w:rPr>
        <w:t>Local Government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The parties are not in disagreement on the law which I summarize from the leading decisions of </w:t>
      </w:r>
      <w:r>
        <w:rPr>
          <w:rFonts w:ascii="arial" w:eastAsia="arial" w:hAnsi="arial" w:cs="arial"/>
          <w:i/>
          <w:color w:val="000000"/>
          <w:sz w:val="20"/>
          <w:lang w:val="en-US" w:eastAsia="en-US" w:bidi="ar-SA"/>
        </w:rPr>
        <w:t>McNaughton v. Baker</w:t>
      </w:r>
      <w:r>
        <w:rPr>
          <w:rFonts w:ascii="arial" w:eastAsia="arial" w:hAnsi="arial" w:cs="arial"/>
          <w:color w:val="000000"/>
          <w:sz w:val="20"/>
          <w:lang w:val="en-US" w:eastAsia="en-US" w:bidi="ar-SA"/>
        </w:rPr>
        <w:t xml:space="preserve"> </w:t>
      </w:r>
      <w:hyperlink r:id="rId475" w:history="1">
        <w:r>
          <w:rPr>
            <w:rFonts w:ascii="arial" w:eastAsia="arial" w:hAnsi="arial" w:cs="arial"/>
            <w:i/>
            <w:color w:val="0077CC"/>
            <w:sz w:val="20"/>
            <w:u w:val="single"/>
            <w:shd w:val="clear" w:color="auto" w:fill="FFFFFF"/>
            <w:lang w:val="en-US" w:eastAsia="en-US" w:bidi="ar-SA"/>
          </w:rPr>
          <w:t>(1988), 25 B.C.L.R. (2d) 17</w:t>
        </w:r>
      </w:hyperlink>
      <w:r>
        <w:rPr>
          <w:rFonts w:ascii="arial" w:eastAsia="arial" w:hAnsi="arial" w:cs="arial"/>
          <w:color w:val="000000"/>
          <w:sz w:val="20"/>
          <w:lang w:val="en-US" w:eastAsia="en-US" w:bidi="ar-SA"/>
        </w:rPr>
        <w:t xml:space="preserve"> (C.A.), and </w:t>
      </w:r>
      <w:r>
        <w:rPr>
          <w:rFonts w:ascii="arial" w:eastAsia="arial" w:hAnsi="arial" w:cs="arial"/>
          <w:i/>
          <w:color w:val="000000"/>
          <w:sz w:val="20"/>
          <w:lang w:val="en-US" w:eastAsia="en-US" w:bidi="ar-SA"/>
        </w:rPr>
        <w:t>Hildebrand v. Fox</w:t>
      </w:r>
      <w:r>
        <w:rPr>
          <w:rFonts w:ascii="arial" w:eastAsia="arial" w:hAnsi="arial" w:cs="arial"/>
          <w:color w:val="000000"/>
          <w:sz w:val="20"/>
          <w:lang w:val="en-US" w:eastAsia="en-US" w:bidi="ar-SA"/>
        </w:rPr>
        <w:t xml:space="preserve">, </w:t>
      </w:r>
      <w:hyperlink r:id="rId476" w:history="1">
        <w:r>
          <w:rPr>
            <w:rFonts w:ascii="arial" w:eastAsia="arial" w:hAnsi="arial" w:cs="arial"/>
            <w:i/>
            <w:color w:val="0077CC"/>
            <w:sz w:val="20"/>
            <w:u w:val="single"/>
            <w:shd w:val="clear" w:color="auto" w:fill="FFFFFF"/>
            <w:lang w:val="en-US" w:eastAsia="en-US" w:bidi="ar-SA"/>
          </w:rPr>
          <w:t>2008 BCCA 434</w:t>
        </w:r>
      </w:hyperlink>
      <w:r>
        <w:rPr>
          <w:rFonts w:ascii="arial" w:eastAsia="arial" w:hAnsi="arial" w:cs="arial"/>
          <w:color w:val="000000"/>
          <w:sz w:val="20"/>
          <w:lang w:val="en-US" w:eastAsia="en-US" w:bidi="ar-SA"/>
        </w:rPr>
        <w:t xml:space="preserve"> as follows:</w:t>
      </w:r>
      <w:r>
        <w:rPr>
          <w:rFonts w:ascii="arial" w:eastAsia="arial" w:hAnsi="arial" w:cs="arial"/>
          <w:sz w:val="20"/>
          <w:lang w:val="en-US" w:eastAsia="en-US" w:bidi="ar-SA"/>
        </w:rPr>
        <w:cr/>
      </w:r>
    </w:p>
    <w:p>
      <w:pPr>
        <w:numPr>
          <w:numId w:val="1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Pleadings will not be struck unless it is plain and obvious that they disclose no reasonable cause of action;</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 evidence is admissible in the application;</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facts as alleged are assumed to be true;</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not required to plead specific causes of action;</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sufficient if material facts are pleaded that can support one or more causes of action;</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liberal approach is taken to sufficiency, and the facts should not be weighed;</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power to strike should only be exercises where the case "is absolutely beyond doubt".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In my view the decision of Willcock J., as he then was, in </w:t>
      </w:r>
      <w:r>
        <w:rPr>
          <w:rFonts w:ascii="arial" w:eastAsia="arial" w:hAnsi="arial" w:cs="arial"/>
          <w:i/>
          <w:color w:val="000000"/>
          <w:sz w:val="20"/>
          <w:lang w:val="en-US" w:eastAsia="en-US" w:bidi="ar-SA"/>
        </w:rPr>
        <w:t>Bains v. Green</w:t>
      </w:r>
      <w:r>
        <w:rPr>
          <w:rFonts w:ascii="arial" w:eastAsia="arial" w:hAnsi="arial" w:cs="arial"/>
          <w:color w:val="000000"/>
          <w:sz w:val="20"/>
          <w:lang w:val="en-US" w:eastAsia="en-US" w:bidi="ar-SA"/>
        </w:rPr>
        <w:t xml:space="preserve">, </w:t>
      </w:r>
      <w:hyperlink r:id="rId477" w:history="1">
        <w:r>
          <w:rPr>
            <w:rFonts w:ascii="arial" w:eastAsia="arial" w:hAnsi="arial" w:cs="arial"/>
            <w:i/>
            <w:color w:val="0077CC"/>
            <w:sz w:val="20"/>
            <w:u w:val="single"/>
            <w:shd w:val="clear" w:color="auto" w:fill="FFFFFF"/>
            <w:lang w:val="en-US" w:eastAsia="en-US" w:bidi="ar-SA"/>
          </w:rPr>
          <w:t>2012 BCSC 1733</w:t>
        </w:r>
      </w:hyperlink>
      <w:r>
        <w:rPr>
          <w:rFonts w:ascii="arial" w:eastAsia="arial" w:hAnsi="arial" w:cs="arial"/>
          <w:color w:val="000000"/>
          <w:sz w:val="20"/>
          <w:lang w:val="en-US" w:eastAsia="en-US" w:bidi="ar-SA"/>
        </w:rPr>
        <w:t xml:space="preserve"> is apposite here: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[50] Care must be taken in considering the application not to weigh the merits of the case or dismiss an arguable case with a slim chance of success. If a sufficient case is made out in the pleadings to support a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plaintiff ought to be permitted to seek to establish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at trial. There is, in my view, sufficient allegation of a duty of care, the breach of the standard of care and damages to permit the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to stand.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Hildebrand</w:t>
      </w:r>
      <w:r>
        <w:rPr>
          <w:rFonts w:ascii="arial" w:eastAsia="arial" w:hAnsi="arial" w:cs="arial"/>
          <w:color w:val="000000"/>
          <w:sz w:val="20"/>
          <w:lang w:val="en-US" w:eastAsia="en-US" w:bidi="ar-SA"/>
        </w:rPr>
        <w:t>, Tysoe J.A., speaking for the court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[26] To pose the question in the words used by the Supreme Court of Canada in </w:t>
      </w:r>
      <w:r>
        <w:rPr>
          <w:rFonts w:ascii="arial" w:eastAsia="arial" w:hAnsi="arial" w:cs="arial"/>
          <w:i/>
          <w:color w:val="000000"/>
          <w:sz w:val="20"/>
          <w:lang w:val="en-US" w:eastAsia="en-US" w:bidi="ar-SA"/>
        </w:rPr>
        <w:t>Hunt</w:t>
      </w:r>
      <w:r>
        <w:rPr>
          <w:rFonts w:ascii="arial" w:eastAsia="arial" w:hAnsi="arial" w:cs="arial"/>
          <w:color w:val="000000"/>
          <w:sz w:val="20"/>
          <w:lang w:val="en-US" w:eastAsia="en-US" w:bidi="ar-SA"/>
        </w:rPr>
        <w:t xml:space="preserve"> quoted above, is there a chance that Ms. Hildebrand might succeed in her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In my view, the question must be answered in the affirmative. Although it is often difficult to prove claims of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there is a chance that Ms. Hildebrand might succeed in her claim against Mr. Fox. As stated in </w:t>
      </w:r>
      <w:r>
        <w:rPr>
          <w:rFonts w:ascii="arial" w:eastAsia="arial" w:hAnsi="arial" w:cs="arial"/>
          <w:i/>
          <w:color w:val="000000"/>
          <w:sz w:val="20"/>
          <w:lang w:val="en-US" w:eastAsia="en-US" w:bidi="ar-SA"/>
        </w:rPr>
        <w:t>Minnes</w:t>
      </w:r>
      <w:r>
        <w:rPr>
          <w:rFonts w:ascii="arial" w:eastAsia="arial" w:hAnsi="arial" w:cs="arial"/>
          <w:color w:val="000000"/>
          <w:sz w:val="20"/>
          <w:lang w:val="en-US" w:eastAsia="en-US" w:bidi="ar-SA"/>
        </w:rPr>
        <w:t>, the fact that Ms. Hildebrand's claim might be weak or unlikely to succeed is not a ground for striking it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The plaintiff has pleaded material facts capable of supporting the elements of a cause of action of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municipal public officer. Discovery will permit the plaintiff to obtain particulars and weight the merits of the claim made personally against the applicant.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jurisprudence suggests that after discovery an application to strike a claim may be seen in a different light. Of course the merits of the plaintiff including the municipal public officer as a defendant, in light of s. 287, and where it is not alleged that the municipal public officer was acting outside the context of his employment, will be assessed at a later stage.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application is dismissed. The costs of this application go to the plaintiff but are payable in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J.E.D. SAVAGE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CORRECTION</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Released: August 25,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On the front page G. Geldart has been added as Counsel for the Plaintiff.</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52" style="position:absolute;z-index:25178624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78"/>
          <w:headerReference w:type="default" r:id="rId479"/>
          <w:footerReference w:type="even" r:id="rId480"/>
          <w:footerReference w:type="default" r:id="rId481"/>
          <w:headerReference w:type="first" r:id="rId482"/>
          <w:footerReference w:type="first" r:id="rId48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84" w:history="1">
        <w:r>
          <w:rPr>
            <w:rFonts w:ascii="arial" w:eastAsia="arial" w:hAnsi="arial" w:cs="arial"/>
            <w:b/>
            <w:bCs/>
            <w:i/>
            <w:color w:val="0077CC"/>
            <w:kern w:val="32"/>
            <w:sz w:val="28"/>
            <w:szCs w:val="32"/>
            <w:u w:val="single"/>
            <w:shd w:val="clear" w:color="auto" w:fill="FFFFFF"/>
            <w:lang w:val="en-US" w:eastAsia="en-US" w:bidi="ar-SA"/>
          </w:rPr>
          <w:t>Abdi v. Bottomley, [2018] B.C.J. No. 7015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J.M. Gropper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20,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June 20,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S147738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[2018] B.C.J. No. 7015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2018 BCSC 2332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Alla Abdi, Plaintiff, and Paul Bottomley, Roberta Bottomley, and City of Burnaby, Defendants, and Paul Bottomley and Roberta Bottomley,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(25 paras.)</w:t>
      </w:r>
    </w:p>
    <w:p>
      <w:pPr>
        <w:jc w:val="both"/>
        <w:rPr>
          <w:rFonts w:ascii="arial" w:eastAsia="arial" w:hAnsi="arial" w:cs="arial"/>
          <w:sz w:val="20"/>
          <w:lang w:val="en-US" w:eastAsia="en-US" w:bidi="ar-SA"/>
        </w:rPr>
      </w:pPr>
      <w:bookmarkStart w:id="166" w:name="Counsel_25"/>
      <w:bookmarkEnd w:id="16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53" style="position:absolute;z-index:2516848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J.S. Stanley, P.J. Bosco.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and Third Parties Paul and Roberta Bottomley: M.D. Murphy.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City of Burnaby: D.J.A. Bell, S.L. Hamilton.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67" w:name="Judgment_25"/>
      <w:bookmarkEnd w:id="167"/>
      <w:r>
        <w:pict>
          <v:line id="_x0000_s1154" style="position:absolute;z-index:25173606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Oral Ruling re Mitigation and Contributory</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Issues put before the Jury </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8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68" w:name="J.M. GROPPER J. (orally)_0"/>
            <w:bookmarkEnd w:id="168"/>
            <w:r>
              <w:rPr>
                <w:rFonts w:ascii="arial" w:eastAsia="arial" w:hAnsi="arial" w:cs="arial"/>
                <w:b/>
                <w:color w:val="000000"/>
                <w:sz w:val="30"/>
                <w:lang w:val="en-US" w:eastAsia="en-US" w:bidi="ar-SA"/>
              </w:rPr>
              <w:t>J.M. GROPPER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defendants seek to have the issues of mitigation and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put before the jury. The plaintiff opposes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Whether there is any evidence on a given issue is a matter of law and thus within the sphere of responsibility and power of the trial judge to determine. Where the court concludes, as a matter of law, that there is no evidence to support an allegation, the issue ought to be taken away from the jury's consideration.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Earlier jurisprudence addressed this, where, after the jury had rendered their verdict, the trial judge refused to give effect to aspects of the jury's verdict where the trial judge determined that there was no evidence to support the findings of the jury. Contemporary jurisprudence suggests a preferable course of action is for the trial judge to determine whether the issue should be properly placed before the jury for its consideration.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Maras v. Seemore Entertainment Ltd.</w:t>
      </w:r>
      <w:r>
        <w:rPr>
          <w:rFonts w:ascii="arial" w:eastAsia="arial" w:hAnsi="arial" w:cs="arial"/>
          <w:color w:val="000000"/>
          <w:sz w:val="20"/>
          <w:lang w:val="en-US" w:eastAsia="en-US" w:bidi="ar-SA"/>
        </w:rPr>
        <w:t xml:space="preserve">, </w:t>
      </w:r>
      <w:hyperlink r:id="rId485" w:history="1">
        <w:r>
          <w:rPr>
            <w:rFonts w:ascii="arial" w:eastAsia="arial" w:hAnsi="arial" w:cs="arial"/>
            <w:i/>
            <w:color w:val="0077CC"/>
            <w:sz w:val="20"/>
            <w:u w:val="single"/>
            <w:shd w:val="clear" w:color="auto" w:fill="FFFFFF"/>
            <w:lang w:val="en-US" w:eastAsia="en-US" w:bidi="ar-SA"/>
          </w:rPr>
          <w:t>2014 BCSC 1121</w:t>
        </w:r>
      </w:hyperlink>
      <w:r>
        <w:rPr>
          <w:rFonts w:ascii="arial" w:eastAsia="arial" w:hAnsi="arial" w:cs="arial"/>
          <w:color w:val="000000"/>
          <w:sz w:val="20"/>
          <w:lang w:val="en-US" w:eastAsia="en-US" w:bidi="ar-SA"/>
        </w:rPr>
        <w:t xml:space="preserve"> Mr. Justice Abrioux set out the principles of what issues and questions ought to be left before a jury at para. 11: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 Insofar as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provocation are concerned, I have considered counsel's submissions within the context of the following principles:</w:t>
      </w:r>
    </w:p>
    <w:p>
      <w:pPr>
        <w:numPr>
          <w:numId w:val="1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my task is to determine whether there is any evidence on which the jury, properly instructed and acting reasonably, could find for the plaintiff as against the defendants on the issues in question;</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there is direct evidence on an issue, I am not to weigh the evidence, but only to consider whether it meets the threshold of reasonableness such that the jury, properly instructed, could make the requisite finding;</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case of elements of a cause of action supported solely by circumstantial evidence, I should engage in a limited weighing of the evidence to ensure that it is reasonably capable of bridging the inferential gap between the evidence proffered and the element to be proved;</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judge does not decide whether the jury will accept the evidence, but rather whether the inference that the party seeks in its favour could be drawn from the evidence adduced, if the jury chose to accept it;</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for the judge to determine whether there is some evidence on each element of the cause of action required to be proved by the party; it is for the jury to determine whether that evidence is sufficient to justify a verdict for the party on that issue;</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"mere speculation" does not constitute evidence which meets the standard of reasonableness; and</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test in terms of the threshold is a low 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Mitigation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 test for failure to mitigate was summarized by Mr. Justice Preston in </w:t>
      </w:r>
      <w:r>
        <w:rPr>
          <w:rFonts w:ascii="arial" w:eastAsia="arial" w:hAnsi="arial" w:cs="arial"/>
          <w:i/>
          <w:color w:val="000000"/>
          <w:sz w:val="20"/>
          <w:lang w:val="en-US" w:eastAsia="en-US" w:bidi="ar-SA"/>
        </w:rPr>
        <w:t>Antoniali v. Massey</w:t>
      </w:r>
      <w:r>
        <w:rPr>
          <w:rFonts w:ascii="arial" w:eastAsia="arial" w:hAnsi="arial" w:cs="arial"/>
          <w:color w:val="000000"/>
          <w:sz w:val="20"/>
          <w:lang w:val="en-US" w:eastAsia="en-US" w:bidi="ar-SA"/>
        </w:rPr>
        <w:t xml:space="preserve">, </w:t>
      </w:r>
      <w:hyperlink r:id="rId486" w:history="1">
        <w:r>
          <w:rPr>
            <w:rFonts w:ascii="arial" w:eastAsia="arial" w:hAnsi="arial" w:cs="arial"/>
            <w:i/>
            <w:color w:val="0077CC"/>
            <w:sz w:val="20"/>
            <w:u w:val="single"/>
            <w:shd w:val="clear" w:color="auto" w:fill="FFFFFF"/>
            <w:lang w:val="en-US" w:eastAsia="en-US" w:bidi="ar-SA"/>
          </w:rPr>
          <w:t>2008 BCSC 1085</w:t>
        </w:r>
      </w:hyperlink>
      <w:r>
        <w:rPr>
          <w:rFonts w:ascii="arial" w:eastAsia="arial" w:hAnsi="arial" w:cs="arial"/>
          <w:color w:val="000000"/>
          <w:sz w:val="20"/>
          <w:lang w:val="en-US" w:eastAsia="en-US" w:bidi="ar-SA"/>
        </w:rPr>
        <w:t xml:space="preserve"> at para. 31 as follows: (1) that a certain activity would have reduced or eliminated the effect of the injuries; (2) that a reasonable person in the plaintiff's circumstances would have followed such a program; (3) that the plaintiff unreasonably failed to follow such a program; and (4) the extent to which the plaintiff's damages would have been reduced if she had undertaken the activity.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defendants assert that Ms. Abdi failed to mitigate her damages by not continuing to take medication and engage in counselling approximately two and a half years ago, and that by doing so, she failed to take reasonable steps to mitigate the loss that she suffered as a consequence of the accident. They refer to the evidence given by each of the physicians who conducted independent medical examinations of the plaintiff earlier this year that say that medication and counselling would likely improve her condition. Specifically, the defendants refer to the evidence of Dr. Ganesan, who was called as an expert witness by the City of Burnaby, who said that the plaintiff would have benefited by continuing the counselling and taking medication for depression and anxiety had that course of treatment not been disrupted.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 agreed that she stopped counselling and taking medication two and a half years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respect of whether medication and counselling would have reduced or eliminated the effect of the injuries, the plaintiff says that the experts' reports are based on independent medical examinations and while they may suggest that medication and counselling will improve her condition in the future, all of the reports were issued in early 2018. The plaintiff says there is no evidence that her condition would have improved in the approximately six months between the issuance of the reports and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 asserts that the experts were not treating physicians and could not make recommendations or treat the plaintiff. She says that the recommendations made by the experts do not provide evidence that taking medication and engaging in counselling would have reduced or eliminated the effect of the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 points out that she devoted her energy to returning to work and mitigating her financial and emotional losses, and in doing so she has already mitigated the damages that she is claiming from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Regarding whether a reasonable person in the plaintiff's circumstances would have taken medication or undergone counselling, the plaintiff says there is no evidence that she was aware of the recommendations made by the experts or that her treating doctors or caregivers made such recommendations. The plaintiff argues that there is no evidence that her actions were unreasonable. What she did not do needs to be measured against what she did do. She did see her family doctor. She underwent multiple surgeries. She took medication. She saw mental health professionals and made impressive and early efforts to return to work which all the experts agree was therapeutic for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considering the matter of mitigation, the Court must examine the totality of her efforts.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plaintiff says that there is no evidence that her damages would have been reduced if she had undertaken the medical recommendations between the issuance of the expert reports and the date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 consider that there is some evidence, particularly that of Dr. Ganesan, upon which a reasonable jury properly instructed could find that had the plaintiff continued to take medication and undergo counselling two and a half years ago, that her condition would have improved and that a reasonable person in the plaintiff's circumstances would have continued with medication and counselling. I find that the plaintiff unreasonably and abruptly stopped taking the medication and counselling, and that to some extent, her losses would have been reduced had she continued with medication and counselling.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evidence goes beyond mere speculation and has an air of reality. The defence of mitigation will be put before the jury for its consideration.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 xml:space="preserve">Contributory </w:t>
      </w: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For the issue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to be put to the jury, the defendants must tender reasonable evidence upon these two points: (1) the plaintiff demonstrated an absence of reasonable care by choosing to sit by the fire pit; and (2) her decision to sit by the fire caused or contributed to her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defendants refer to the evidence of Paul Bottomley that he poured oil on the fire on the evening of May 14, 2014, three times, and that Ms. Abdi and others were sitting around the fire when Mr. Bottomley poured oil on the fire a second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 note parenthetically that it was the third time that he poured oil on the fire that the explosion erupted and injured the plaintiff. Mr. Bottomley's daughter, Jacqueline Bottomley, said the same 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defendants say that if the plaintiff's position is that fire and the existence of the wheel rim or fire pit is inherently dangerous, especially where there is someone reckless around it, then it was negligent of the plaintiff not to remove herself from the fire pit and the fire.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 have reviewed the evidence that is contained in my notes. There is no evidence that Ms. Abdi saw Mr. Bottomley put oil on the fire before the third time that caused the explosion. Even if she was present for the second pour, Paul and Jacqueline Bottomley resiled from their evidence that Ms. Abdi was there for the second pour in cross-examination. Neither of them could say that one of the girls present for the second pour was Ms. Abdi.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defendants also refer to the camp fire at Cultus Lake that Ms. Abdi attended shortly before the May 14, 2014, incident, where Sidney Bottomley poured oil on the fire as Ms. Abdi and others were sitting or standing close by, within a couple of feet according to Sidney Bottomley's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If Ms. Abdi saw Sidney pour oil on the fire at Cultus Lake, which is not clear in the evidence, the situation was markedly different. Sidney Bottomley warned everyone present that he was putting oil on the fire. Whether Ms. Abdi saw him do that or whether she was close to the fire was not established in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All of those who were present on May 14, 2014, who gave evidence, including the Bottomleys, who knew that oil would be poured on the fire, did not perceive it to be dangerous to be near the fire. Ms. Abdi and Ms. Shokrollah gave evidence that they were seated at the fire for just a few minutes before Mr. Bottomley poured the oil onto it. They both perceived immediately that it was dangerous. Ms. Abdi said she did not have time to react before the explosion took place. Neither Ms. Abdi or Ms. Shokrollah were aware of what Mr. Bottomley was doing. Mr. Bottomley issued no warnings before he poured oil on the fire.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I find that there is no evidence upon which a jury properly instructed and acting reasonably could find for the defendants against the plaintiff on the issue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It is mere speculation, even on the low threshold required. There is no evidence that the plaintiff demonstrated an absence of reasonable care by choosing to sit by the fire pit. The defendants must provide evidence in respect of both parts of the test of mitigation.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As I have found that there is no evidence to support the first aspect, therefore the defence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cannot be put to the jury for its consideration.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J.M. GROPPER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55" style="position:absolute;z-index:25178726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87"/>
          <w:headerReference w:type="default" r:id="rId488"/>
          <w:footerReference w:type="even" r:id="rId489"/>
          <w:footerReference w:type="default" r:id="rId490"/>
          <w:headerReference w:type="first" r:id="rId491"/>
          <w:footerReference w:type="first" r:id="rId49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93" w:history="1">
        <w:r>
          <w:rPr>
            <w:rFonts w:ascii="arial" w:eastAsia="arial" w:hAnsi="arial" w:cs="arial"/>
            <w:b/>
            <w:bCs/>
            <w:i/>
            <w:color w:val="0077CC"/>
            <w:kern w:val="32"/>
            <w:sz w:val="28"/>
            <w:szCs w:val="32"/>
            <w:u w:val="single"/>
            <w:shd w:val="clear" w:color="auto" w:fill="FFFFFF"/>
            <w:lang w:val="en-US" w:eastAsia="en-US" w:bidi="ar-SA"/>
          </w:rPr>
          <w:t>Andrews v. Mainster, [2014] B.C.J. No. 556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P.J. Pearlman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11-15 and 18-22,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31,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M111313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[2014] B.C.J. No. 556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2014 BCSC 541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Brenda Andrews, Plaintiff, and Gail Mainster and Harold Chaim Gutovich,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(332 paras.)</w:t>
      </w:r>
    </w:p>
    <w:p>
      <w:pPr>
        <w:jc w:val="both"/>
        <w:rPr>
          <w:rFonts w:ascii="arial" w:eastAsia="arial" w:hAnsi="arial" w:cs="arial"/>
          <w:sz w:val="20"/>
          <w:lang w:val="en-US" w:eastAsia="en-US" w:bidi="ar-SA"/>
        </w:rPr>
      </w:pPr>
      <w:bookmarkStart w:id="169" w:name="Counsel_26"/>
      <w:bookmarkEnd w:id="16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56" style="position:absolute;z-index:2516858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I. Kordic and D. Mah.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J.W. Joudrey and J. Grewal.</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70" w:name="Judgment_26"/>
      <w:bookmarkEnd w:id="170"/>
      <w:r>
        <w:pict>
          <v:line id="_x0000_s1157" style="position:absolute;z-index:25173708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71" w:name="P.J. PEARLMAN J."/>
            <w:bookmarkEnd w:id="171"/>
            <w:r>
              <w:rPr>
                <w:rFonts w:ascii="arial" w:eastAsia="arial" w:hAnsi="arial" w:cs="arial"/>
                <w:b/>
                <w:color w:val="000000"/>
                <w:sz w:val="30"/>
                <w:lang w:val="en-US" w:eastAsia="en-US" w:bidi="ar-SA"/>
              </w:rPr>
              <w:t>P.J. PEARLMAN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This is an assessment of damages for physical and psychological injuries sustained by the plaintiff, Brenda Andrews, in a motor vehicle accident which occurred on October 10, 2009 at the intersection of West 16th Avenue and Fir Street in Vancouver, British Columbia. The plaintiff was driving west on West 16th toward Fir Street when a vehicle driven by the defendant Gail Mainster and owned by the defendant Harold Chaim Gutovich struck her vehicle while making a left turn from Fir Street. Liability has already been determined. By Reasons for Judgment indexed as </w:t>
      </w:r>
      <w:r>
        <w:rPr>
          <w:rFonts w:ascii="arial" w:eastAsia="arial" w:hAnsi="arial" w:cs="arial"/>
          <w:i/>
          <w:color w:val="000000"/>
          <w:sz w:val="20"/>
          <w:lang w:val="en-US" w:eastAsia="en-US" w:bidi="ar-SA"/>
        </w:rPr>
        <w:t>Andrews v. Mainster</w:t>
      </w:r>
      <w:r>
        <w:rPr>
          <w:rFonts w:ascii="arial" w:eastAsia="arial" w:hAnsi="arial" w:cs="arial"/>
          <w:color w:val="000000"/>
          <w:sz w:val="20"/>
          <w:lang w:val="en-US" w:eastAsia="en-US" w:bidi="ar-SA"/>
        </w:rPr>
        <w:t xml:space="preserve">, </w:t>
      </w:r>
      <w:hyperlink r:id="rId494" w:history="1">
        <w:r>
          <w:rPr>
            <w:rFonts w:ascii="arial" w:eastAsia="arial" w:hAnsi="arial" w:cs="arial"/>
            <w:i/>
            <w:color w:val="0077CC"/>
            <w:sz w:val="20"/>
            <w:u w:val="single"/>
            <w:shd w:val="clear" w:color="auto" w:fill="FFFFFF"/>
            <w:lang w:val="en-US" w:eastAsia="en-US" w:bidi="ar-SA"/>
          </w:rPr>
          <w:t>2012 BCSC 823</w:t>
        </w:r>
      </w:hyperlink>
      <w:r>
        <w:rPr>
          <w:rFonts w:ascii="arial" w:eastAsia="arial" w:hAnsi="arial" w:cs="arial"/>
          <w:color w:val="000000"/>
          <w:sz w:val="20"/>
          <w:lang w:val="en-US" w:eastAsia="en-US" w:bidi="ar-SA"/>
        </w:rPr>
        <w:t>, the Honourable Mr. Justice Masuhara found the defendant Gail Mainster to be entirely at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plaintiff claims that she suffered a fractured sternum and soft tissue injuries to her chest, neck, right arm, shoulders, low back and right hip as a result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She also claims that the motor vehicle accident caused her psychological injuries which have disabled her from employment in any capacity since October 10, 2009. Ms. Andrews claims non-pecuniary damages, special damages totalling $78,833.57, damages for past wage loss, loss of future earning capacity and costs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Counsel have requested that submissions on any income tax gross-up and management fees be deferred until after the court delivers Reasons for Judgment on the assessment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issues raised in this action are:</w:t>
      </w:r>
      <w:r>
        <w:rPr>
          <w:rFonts w:ascii="arial" w:eastAsia="arial" w:hAnsi="arial" w:cs="arial"/>
          <w:sz w:val="20"/>
          <w:lang w:val="en-US" w:eastAsia="en-US" w:bidi="ar-SA"/>
        </w:rPr>
        <w:cr/>
      </w:r>
    </w:p>
    <w:p>
      <w:pPr>
        <w:numPr>
          <w:numId w:val="1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injuries did the plaintiff suffer as a result of the October 10, 2010 motor vehicle accident?</w:t>
      </w:r>
    </w:p>
    <w:p>
      <w:pPr>
        <w:numPr>
          <w:numId w:val="1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accident cause or contribute to the plaintiff's ongoing pain and psychiatric disorders?</w:t>
      </w:r>
    </w:p>
    <w:p>
      <w:pPr>
        <w:numPr>
          <w:numId w:val="1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amounts, if any, are payable to the plaintiff for non-pecuniary damages, past income loss, loss of future earning capacity, cost of future care and special damages?</w:t>
      </w:r>
    </w:p>
    <w:p>
      <w:pPr>
        <w:numPr>
          <w:numId w:val="1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Has the plaintiff failed to mitigate her damages, and if so, to what extent?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order to address these issues, it will be necessary to assess the credibility and reliability of the plaintiff's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POSITIONS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submits that but for the motor vehicle accident of October 10, 2009 she would not have suffered the emotional and psychological collapse which continues to render her dysfunctional. Prior to the motor vehicle accident, the plaintiff experienced fluctuating levels of depression and anxiety and recurring complaints of pain in her neck and back, and pain that radiated from right shoulder down to her right hand. However, the plaintiff says none of these symptoms interfered with her functioning at work, or socially.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 submits that the motor vehicle accident was a highly traumatic experience for her and that her pre-accident history of emotional trauma and anxiety made her particularly vulnerable to further impairment of her emotional and psychological functioning. The plaintiff submits that she suffered both physical and psychiatric injuries in the motor vehicle accident. Ms. Andrews says although she has made a substantial but incomplete recovery from her physical injuries, her psychiatric injuries have severely impaired her emotional boundaries, disabled her from any employment at the present time, and may prevent her from ever resuming her former employment as a counsellor to First Nations residential school survivors.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defendants acknowledge that the plaintiff is entitled to damages for the physical and psychological injuries she sustained in the motor vehicle accident. However, they say that on the weight of the evidence, the plaintiff's psychological condition had reached a crisis point by September 2009, and that most of the plaintiff's post-accident complaints were caused by her pre-existing condition, rather than by the accident. The plaintiff had a long-standing history of fluctuating levels of anxiety and depression. Although the plaintiff had managed to function before the motor vehicle accident, the defendants submit that the clinical notes of the plaintiff's family physician, Dr. Zhang, for September 2009, that the plaintiff was depressed, irritable and "losing her mind", show that Ms. Andrews' psychological disorders had reached a crisis level shortly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defendants argue it is probable that the plaintiff was suffering profound distress because she was unable to maintain emotional boundaries between herself and the clients she was counselling, who had serious psychological problems, and histories of childhood neglect and abuse similar to that suffered by the plaintiff. The defendants invite the court to find that the plaintiff's desire to help people with whom she empathized deeply, combined with her inability to cope with the demands of counselling residential school survivors, took a heavy emotional and psychological toll on the plaintiff, which reached the crisis point as her contract with Health Canada came to an end in September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defendants rely upon the evidence of their expert in psychiatry, Dr. Vallance, that the plaintiff should never have attempted to counsel residential school survivors, given her own emotional and psychological problems. Dr. Vallance also gave evidence that because the plaintiff's self-identity was so closely tied to her academic and workplace success, she would never admit to herself that she could not maintain proper emotional boundaries with her clients.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defendants submit that the motor vehicle accident caused a temporary exacerbation of the plaintiff's pre-existing physical and psychological symptoms which had likely resolved by May 2010, before Ms. Andrews and her dog were attacked by two off-leash German Shepherds. The defendants contend that event, and subsequent traumatic incidents, including the plaintiff's second encounter in August 2011 with the owner of the German Shepherds and her witnessing of a sexual assault in July 2012, have all contributed to her ongoing anxiety, stress and dysfunction. The defendants submit that damages should be assessed for a seven month temporary exacerbation of the plaintiff's pre-existing conditions. They argue that Ms. Andrews has no entitlement to damages for loss of future earning capacity, or 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plaintiff, who was 51 years old at the time of the accident, and 55 at the time of trial, is a member of the Blood First Nation. She spent her early childhood, until age five on the Blood Reserve, located near Cardston, Alberta. The plaintiff was the second of her mother's four children. Sometime between the ages of three and five, Ms. Andrews spent approximately a year at St. Paul's Residential School, located on the Blood Reserve. The plaintiff was the youngest child at the school. She recalls that if one child misbehaved, they were all spanked. She has no other recollection of being subjected to any form of abuse at the residential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1962, the plaintiff moved with her mother and step-father to Calgary, and two years later to Ottawa, where her step-father was employed as an engineer. Around 1969, her step-father moved the family back to Calgary, although he continued to work in Ottawa for another year. During the year she was alone in Calgary, the plaintiff's mother drank heavily, was unable to cope with the demands of four young children and physically abused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During grades eight and nine, the plaintiff associated with a group of friends and young adults who consumed alcohol and used drugs. Through her remaining years in school, and until 1987, the plaintiff abused alcohol and also used drugs intermittently. Ms. Andrews completed grade eight, and took some courses in successive grades until she quit school in grade 11. After Ms. Andrews left school, she worked in various retail positions and as a waitress in nightclubs and restaurants. She also found some work as a model and actress.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1981, the plaintiff moved to Vancouver where she continued to work as a waitress, bartender and model. In 1987, the plaintiff, then 30 years old, decided to put an end to her alcohol abuse. She was referred to the Aurora House Residential Treatment Centre where she successfully completed a six-week rehabilitation program. The plaintiff has not consumed alcohol or used illicit drugs since then.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1988, Ms. Andrews enrolled in Langara College's University Transfer Program while continuing to work part-time as a waitress.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September 1992, the plaintiff enrolled at the University of British Columbia and obtained her Bachelor of Arts in Anthropology in 1996. While attending university she worked part-time for Air Canada as a customer service agent.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February 1997, Ms. Andrews obtained a part-time position as a First Nations Student Advisor at Vancouver Community College. She continued in that position until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2000, the plaintiff began her Master of Education Degree in Counselling Psychology at the University of British Columbia. She obtained her Master's Degree in May 2004. Ms. Andrews achieved high grades throughout her studies at UBC, and takes well-deserved pride in her academic success.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plaintiff's objective, upon completing her Master's Degree, was to provide counselling services to residential school survivors.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July 2004, the plaintiff resigned from her position at Vancouver Community College in order to pursue her desired career. She then commenced employment with the Indian Residential Schools Survivors Society ("IRSSS") as a contractor, at an hourly rate of $24.73. She was engaged by IRSSS to assist First Nations people participating in the Residential Schools compensation process. In January 2005, the plaintiff obtained a full-time position with IRSSS as a Resolution Health Support Worker at an annual salary of $50,000. In June 2005, the plaintiff moved into the position of a therapist at IRSSS and her salary increased to $60,000 per year. While employed with IRSSS, Ms. Andrews also provided counselling services to First Nations youth at risk in the Downtown Eastside through the Watari Society, for 12 hours a week at the rate of $30 per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plaintiff left her employment with IRSSS in January 2007, when she obtained her certification as a Registered Clinical Counsellor. As a self-employed counsellor she provided services through Health Canada to claimants participating in the informal claims resolution process for residential school survivors. From June 2008 until September 2009, Ms. Andrews commuted on a weekly basis from Vancouver to Port Hardy in order to serve the large number of claimants located on northern Vancouver Island. Health Canada paid the plaintiff a per diem rate for counselling which started at $650 and had increased to $900 per day by September 2009 when she terminated her contract with Health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Ms. Andrews testified that her services as an aboriginal counsellor to residential school survivors were in demand, that she received referrals from her clients, and from lawyers involved in the compensation process, and that she had never found it necessary to market her services in Vancouver.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plaintiff's last day of work before the accident was September 26, 2009. She estimated that 80 percent of her work at Port Hardy was on reserve. As a member of the Blood First Nation, the plaintiff was not required to pay income tax on income earned from on reserve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November 2007, Ms. Andrews began a relationship with Mr. Frank Priolo, an aeronautical engineer who lives in Maryland, in the United States of America, but travels extensively for his work. The plaintiff described her relationship with Mr. Priolo as "up and down" until April 2009. Ms. Andrews and Mr. Priolo separated from February 2009 until April 2009 when they resumed their relationship. Since then, they have maintained their relationship. Mr. Priolo has provided much needed emotional support, as well as financial assistance, to the plaintiff since the accident. Ms. Andrews and Mr. Priolo became engaged in February 2013, but at the time of trial had not yet set a date for their marriage.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Immediately before the motor vehicle accident, the plaintiff was exploring her options for employment. She wanted to spend time with Mr. Priolo, and with her parents in Calgary. She was looking into opportunities for counselling work in Alberta, either through the Blackfoot Confederacy or in the Calgary area. The plaintiff was also considering the possibility of opening an office for her counselling practice in Vancouver. In addition, because Ms. Andrews anticipated that she and Mr. Priolo would be establishing a home base in the Washington, D.C. area, she had contacted an agency in Maryland to inquire about the requirements for licensing as a counsellor there. The plaintiff was also looking into the possibility of pursuing a Doctorate of Education at the University of British Columbia, either on a part-time basis or by distance education. She had made no firm plan to do so before the motor vehicle accident. However, if she enrolled in a doctoral program, she intended to work part time while she pursued her studies. The plaintiff had worked in order to support herself throughout her earlier post-secondary education. I accept her evidence that she planned to work part time if she enrolled in a PhD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Priolo understood that at the time of the accident the plaintiff intended to take some time off, and to investigate obtaining work in Calgary similar to the work she had done in Port Hardy with residential school survivors. Mr. Priolo confirmed that he and Ms. Andrews were planning, at the time of the accident, to set up a home base in Washington, D.C. The plaintiff had looked into obtaining a licence to practice as a Clinical Counsellor in the Washington area and had looked into obtaining full-time employment with the Bureau of Indian Affairs in Washington.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direct examination, Ms. Andrews was asked about her mental health history prior to the motor vehicle accident. She testified that she only saw depression and anxiety affecting her relationships with men. During bouts of deep depression or anxiety she would not eat, sometimes had difficulty sleeping, and would cry a lot. However, she was still able to work. The plaintiff testified that in the five years before the motor vehicle accident she had no personal counselling. Ms. Andrews explained that after she commenced her employment with IRSSS she was required to have counselling supervision. She met between one and three times a month with a psychologist, Tracy Good, to make sure that she was using the appropriate counselling methods with her clients and to ensure that she maintained boundaries between herself and her clients. The plaintiff testified that she had no counselling from Ms. Good for personal issues while she was employed with IRSSS but had seen Ms. Good previously for counselling during and after difficult relationships.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Ms. Andrews testified that she never missed work due to depression or anxiety before the motor vehicle accident. When shown the clinical record, the plaintiff did acknowledge that in March 2006 she took 10 days stress leave from her employment with IRSSS. Ms. Andrews attributed her stress in the workplace at that time to a difficult relationship with her supervisor. I find this was the only time the plaintiff lost from work as a result of stress or anxiety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According to the plaintiff, in September 2009, neither physical nor psychological problems were interfering with her life. However she acknowledged she was highly conflicted about her decision to leave Port Hardy and no longer serve her clients there. She testified that she had no plan to retire and thought she could continue to work as a therapist into her 70s.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direct examination, the plaintiff gave evidence that in September 2009 she had a busy social life, was closely connected with the First Nations community, ran 20 to 30 kilometers a week and participated in a range of sporting activities, including playing golf, cross-country skiing and bowling. She also visited her parents in Alberta frequently, entertained friends, went to the movies, shopped and hiked.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Plaintiff's Pre-Accident Medical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Ms. Andrews' pre-accident medical history involved a complex array of both physical and psychiatric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Plaintiff's Pre-Accident Physical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plaintiff had a history of fibromyalgia, first diagnosed in 1992. However there is no recent diagnosis or medical opinion suggesting that Ms. Andrews continued to suffer from that condition at the time of the October 2009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November 2005, the plaintiff saw her general practitioner, Dr. Mandy Karim, following an accident where the vehicle in which she was travelling as a passenger was rear-ended by another vehicle. Dr. Karim noted that the plaintiff complained of pain and numbness in her right shoulder and arm, and diagnosed a sprain to Ms. Andrews' cervical spine and right shoulder.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July 2006, following a slip and fall, the plaintiff complained of low back pain, tingling in her head, numb shoulders and a numb right arm. She received chiropractic treatment from Dr. Charles Campbell for her head, neck, upper and lower back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On February 6, 2008, the plaintiff attended at the Seymour Medical Clinic, where Dr. Rui Zhang, who was then her family physician, noted her complaints of neck, low back and right hip pain, and numbness and tingling in her right hand and toes. X-rays of the plaintiff's neck performed March 3, 2008 revealed the presence of degenerative disc disease from C5 to C7 and arthritis of the facets at C4-5 and C7-T1.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On March 3, 2008, the plaintiff saw a physiatrist, Dr. Ian Murray about her complaints of right arm pain and numbness. Dr. Murray diagnosed the plaintiff with arthritis of her neck and associated nerve root impingement. A CT scan of the neck on April 28, 2008 indicated severe disc disease at C5-6 and C6-7.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plaintiff was last seen at the Seymour Medical Clinic before the accident on September 15, 2009, at which time she complained of headaches affecting the back and sides of her head, neck pains, shoulder pains, and stress.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 find that before the accident, the plaintiff suffered from moderate to severe arthritis of the cervical spine that caused her neck pain and the radiating pain or numbness in her right shoulder and arm which troubled her intermittently. I also find that the plaintiff suffered from low back and right hip pain, headaches and insomnia from time to time before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Plaintiff's Pre-Accident Psychiatric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plaintiff reported that she suffered head injuries in 1981 and 1997. In 1981 Ms. Andrews struck her head on a dumpster lid while working as a waitress. In 1997, while riding in a jeep over rough terrain in Arizona, she struck her head on the vehicle's roll bar. Neither injury had any long term consequences. In light of her subsequent exceptional academic performance, I find that neither of these events impaired her cognitive 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plaintiff had a long-standing history of anxiety, depression and mood disorders prior to the motor vehicle accident. In August 2004 the plaintiff completed a questionnaire for the diet clinic she was then attending in which she reported the following symptoms:</w:t>
      </w:r>
      <w:r>
        <w:rPr>
          <w:rFonts w:ascii="arial" w:eastAsia="arial" w:hAnsi="arial" w:cs="arial"/>
          <w:sz w:val="20"/>
          <w:lang w:val="en-US" w:eastAsia="en-US" w:bidi="ar-SA"/>
        </w:rPr>
        <w:cr/>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can't decide easily (moderate);</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chronic fatigue (moderate);</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lack of energy (moderate);</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magnifies insignificant events (moderate);</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sleepy after meals (moderate);</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sleepy during the day (moderate);</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insomnia (severe); and</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poor memory (severe).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In a further questionnaire, which the plaintiff completed on July 9, 2007, she endorsed as "moderate" the following symptoms: chronic fatigue due to weight gain; insomnia; and sleepy during the day. Ms. Andrews identified as "moderate to severe" symptoms of insomnia and lack of energy.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Between July 11, 2007 and August 7, 2008 the plaintiff attended at the Seymour Medical Clinic on fifteen occasions for treatment for mood disorder, anxiety or depression. She received prescriptions for Wellbutrin, an anti-depressant, Seroquel, a psychotropic medication, and Ativan to relieve her anxiety.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July 2008, the plaintiff was referred by Dr. Zhang to the University of British Columbia Mood Disorders Clinic for a psychiatric assessment. Dr. Kevin Solomons saw the plaintiff. On December 4, 2008, he noted the plaintiff's history of childhood abuse and neglect, and reported that she was feeling "empty, worthless and miserable". Dr. Solomons diagnosed dysthymia, a mood disorder characterized by chronic low grade depression, and found no signs of post-traumatic stress or major depression. He recommended that the plaintiff continue Wellbutrin and counselling.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On March 27, 2009, during the plaintiff's separation from Mr. Priolo, Dr. Zhang noted that Ms. Andrews had no anxiety attack since breaking up with her boyfriend, but "still feels 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Prior the accident, the plaintiff's treatments included medications, counselling and Eye Movement Desensitization Reprocessing Therapy ("EMDR"). At the time of the accident, the plaintiff still had prescriptions for Wellbutrin, Seroquel and Ativan.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On September 1, 2009, the plaintiff saw Dr. Rui Zhang, who was then her family physician, at the Seymour Medical Clinic. Dr. Zhang's clinical note included the following entry: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Depression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"Losing mind" depressed, irritable, angry moments of despair not cleaning rooms. No suicidal plans but sleeps doesn't wake up.</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Saw psychiatrist twice. Doesn't find he helps.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plaintiff last saw Dr. Zhang on September 15, 2009. Dr. Zhang recorded that the plaintiff had a lot of worries, felt tense, lacked support in Vancouver and wanted to move back to Calgary and stay close to her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Dr. O'Shaughnessy, a leading forensic psychiatrist, examined Ms. Andrews at the request of her counsel on November 20,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Dr. O'Shaughnessy thought that before the accident the plaintiff suffered from dysthymia, which he described as a mood disorder characterized by "chronic low grade depressed moods often associated with significant psycho-social difficulties and/or underlying personality trait difficulties". He also diagnosed the plaintiff's pre-accident condition as involving possible previous episodes of major depressive disorder in remission with medications. Dr. O'Shaughnessy thought that before the accident the plaintiff also met the criteria for Cluster B personality traits or disorder. He explained that condition describes people who have problems with emotional regulation, relationship difficulties, problems with self-esteem as well as difficulties with their identity and self-management. He thought those symptoms had waxed and waned over the years, depending on the particular stresses affecting the plaintiff and how she was able to cope with them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 accept the opinion of Dr. O'Shaughnessy, shared by Dr. Vallance, that before the accident the plaintiff suffered from dysthymia, and had for many years experienced fluctuating levels of anxiety and depression that waxed and waned depending on the particular stressors affecting her from time to time. I also find that the plaintiff's sense of identity and self-worth was closely tied to her high level of academic achievement and her work as a counsellor for residential school survivors. I accept Dr. O' Shaughnessy's opinion that before the accident the plaintiff also had the problems with emotional regulation, low self-esteem and difficulties with relationships that he identified as comprising the Cluster B personality traits or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On October 10, 2009, at approximately 2:50 p.m., the plaintiff was driving home from Vancouver International Airport, where she had picked up Mr. Priolo. She was driving west on West 16th Avenue, toward the intersection of West 16th and Fir Streets at a speed of 40 to 45 kilometers per hour. Mr. Priolo was in the front passenger seat, holding the plaintiff's dog, Dixie. As the plaintiff proceeded toward the intersection with the green light in her favour, the defendant Mainster attempted a left turn and collided with the front end of the plaintiff's vehicle, which sustained significant damage. Ms. Andrews testified that upon impact she felt a "shock wave" and experienced excruciating pain in her chest. She recalled that Mr. Priolo undid her seatbelt and that she then opened the door, exited the vehicle and lay down on the road. The plaintiff testified that she "blacked out" briefly and then recalled someone assisting her onto the grass by the roadside, where she laid 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Mr. Priolo recalled that immediately after the collision the plaintiff was screaming and that he helped her out of her seatbelt. After he exited the vehicle, he found the plaintiff lying on the roadside crying, and complaining of chest pain. With the help of passersby, he assisted the plaintiff to the side of the road and remained with her until the plaintiff was taken by ambulance to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plaintiff was transported by ambulance to Vancouver General Hospital ("VGH"). Ms. Andrews testified that she was shocked, scared, felt pain in the center of her chest, and thought she was going to die.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X-rays taken at VGH of the plaintiff's chest and neck showed no acute injuries but revealed degenerative changes to the neck from C4 to C7. The emergency room records indicate there was no evidence of a head injury or head trauma. Ms. Andrews was given Extra Strength Tylenol and was discharged from the hospital. Mr. Priolo took her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When Ms. Andrews attended the Seymour Medical Clinic on October 13, 2009, she complained of chest pain, difficulty breathing, neck pains, right arm numbness, tingling and weakness, difficulty with sleep and anxiety.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On October 16, 2009, the plaintiff saw Dr. Karim and complained of chest pain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plaintiff underwent MRI scans of her brain and chest at Canadian Medical Imaging on October 20, 2009. The brain scan showed the presence of encephalomalacia, or atrophic changes of the brain in certain areas, as well as a right frontal lesion that was thought to be consistent with haemosiderin deposition due to high blood pressure or possibly trauma.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MRI chest scan showed two small undisplaced fractures of the plaintiff's sternum.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In his medical/legal report of October 17, 2012, Dr. Andrew Travlos, a physiatrist retained by the plaintiff to provide an opinion for this litigation, noted that the MRI brain scan took place 10 days after the accident and that this would not be sufficient time for wasting of the brain to have arisen from the accident, or for the development of a haemosiderin stain. Dr. Travlos opined that if there had been bleeding from the accident, the MRI scan would have shown an area of bleeding in the brain rather than the haemosiderin staining. I accept Dr. Travlos' opinion that the MRI brain scan findings pre-dated the accident, and find that the plaintiff did not suffer a concussion, or any traumatic brain injury as a result of the accident. I also note the plaintiff reported no loss of consciousness when she was examined at the VGH Emergency Department.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As for the plaintiff's evidence that she "blacked out", Dr. Travlos explained that patients who are concussed do not recall the experience. He thought that Ms. Andrew's detailed recollection of the accident and its aftermath weighed against a head injury or concussion.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If Ms. Andrews blacked out after getting out of her vehicle, she did so only briefly. She was conscious when Mr. Priolo came round to her side of the vehicle and assisted her off the road. Again, I accept Dr. Travlos' opinion, and find that the delayed onset of any blacking out militates against a concussion and was more likely due to low blood pressure or shock.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Plaintiff's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When Mr. Priolo saw the plaintiff at VGH after the accident she complained of pain in her chest and right shoulder. He also noticed that she would lose her train of thought, and seemed to have lapses of memory during their conversations.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Ms. Andrews was discharged from hospital later on the day of the accident. After Mr. Priolo took the plaintiff home, he cared for her for several days. He testified that during this time the plaintiff continued to be in a lot of pain, that she needed his help to get into and out of bed and to shower, and that she could not cook or do any laundry. The plaintiff also had difficulty sleeping and complained of nightmares.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 accept the plaintiff's evidence that in the days immediately following the motor vehicle accident, she had bruising to her chest and right shoulder, experienced pain in her chest, and numbness and tingling in her right arm. She had difficulty sleeping, and when she did sleep, experienced nightmares.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Following the motor vehicle accident, Mr. Priolo increased the frequency of his visits to Vancouver to help care for the plaintiff. Before the motor vehicle accident, he typically travelled about four times a year from Washington, D.C. to Vancouver, and Ms. Andrews travelled about the same number of times each year to Washington, D.C. Since the accident, Mr. Priolo travels to Vancouver between 15 and 20 times a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Mr. Priolo testified that the plaintiff continues to have memory lapses, expresses fear of her own death, and fears that he and her parents will die. When Mr. Priolo comes to Vancouver, he makes sure that the plaintiff is paying her bills and attends her medical and therapeutic appointments.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As a result of the injuries she suffered in the accident, Ms. Andrews required some assistance with personal care, cleaning and cooking until about February 2010. The physical injuries she attributes to the motor vehicle accident include increased pain in her neck, headaches, fractured chest, whiplash injuries, pain and numbness in her right arm and shoulder, and pain in her right hip and lower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Ms. Andrews described her psychological injuries as nightmares, isolation, rage, a loss of emotional boundaries, irrational fear, and fear of driving, which has improved over time. Whereas previously she had been able to work through her depression and anxiety, Ms. Andrews said she is now unable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plaintiff received physiotherapy which started soon after the motor vehicle accident and was continuing at the time of trial. She has found the physiotherapy to be helpful.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Ms. Andrews testified that counselling from Dr. Jung, a psychologist, which began in June 2010, and continued on a weekly basis until July 2012 was "helpful to a point". In July 2012, she changed to Dr. Joanne MacKinnon for EMDR therapy which she has found to be quite helpful. She is no longer as anxious with Mr. Priolo and has more hope for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Ms. Andrews described the May 2010 incident where Dixie, her small terrier, was attacked by two off-leash German Shepherds. In August 2011, she had a second encounter with the owner of the German Shepherds, who was threatening and abusive to her. The woman who owned the German Shepherds drove up to her while the plaintiff was walking her dog, threatened to kill her dog and told the plaintiff that she knew where she lived. Ms. Andrews was understandably disturbed and fearful following this incident. When asked why she had not related this incident to Dr. O'Shaughnessy and others she saw for medical/legal purposes, Ms. Andrews said that she did not recall the incident until it was brought up at her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plaintiff also described the incident in July 2012 where she witnessed a sexual assault very near her apartment and said that she was fearful when walking her dog following this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plaintiff testified that her physical injuries have improved. Her right arm is no longer numb and she has the full use of her right arm, although she believes it is still a little weak. Ms. Andrews said that her right hip gives her trouble from time to time but she is learning to manage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plaintiff testified in direct examination that by the time of trial she was 75 percent recovered from the physical injuries she sustained in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Ms. Andrews testified that on a typical day, if she has no appointments for treatment or therapy, she gets up between 10:00 a.m. and noon, takes the dog for a brief walk, and then returns to her apartment where she lays on the couch until 4:00 or 5:00 p.m. watching television or playing on her iPad. She walks to Granville Island to purchase groceries, and often will not shower. Typically, she spends her evenings on the couch watching television or reading. When Mr. Priolo is not in Vancouver, she will telephone him, or her parents. These are the only people she contacts on a regular basis. Ms. Andrews said she is still struggling with self-care, although she is able to look after herself when Mr. Priolo visits. Despite advice from her caregivers that she should go to bed and get up at consistent times, she continues to sleep during the afternoons and early evenings.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Ms. Andrews described the state of her apartment as "embarrassing". She said she finds completely cleaning her 700 square foot one bedroom apartment overwhelming.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plaintiff thought she had gained over 20 pounds since the accident and said that she did not really have to struggle with her weight before the accident because she was in good physical condition. However, the clinical record indicates the plaintiff attended weight loss clinics in 2004 and 2007 and in 2007 complained of chronic fatigue that she attributed to weight gain. I find that the plaintiff's weight fluctuated before and after the accident, and probably did so as her depression, and level of physical activity, waxed and waned.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Ms. Andrews has not worked since the motor vehicle accident. In 2011, she applied for two positions - one with Vancouver Community College and the other with an addiction center for seniors in Richmond. Ms. Andrews said that neither prospective employer called her for interviews, and that she had sent the wrong covering letter with her application to Richmond. She attributed that error to an impairment of her cognitive functions caused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With respect to future employment, Ms. Andrews testified that she dislikes being dependent and would like to return to work as a counsellor but is not yet ready to do so. She accepts that in her present psychological condition she would not be able to maintain appropriate boundaries with her clients. However, she hopes to return to work as a therapist and to serve clients in the First Nations community.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In her direct examination, Ms. Andrews was asked about previous car accidents. She recalled an incident around 2004 when her vehicle was rear-ended but said she was not injured. The plaintiff did not recall a motor vehicle accident in 2005 and did not remember receiving any treatment for it. Ms. Andrews did remember striking her head on the roll bar of the Jeep while in Arizona in 1997. She remembered somebody telling her to have the blow to her head checked as she was having neck problems at the time. However, Ms. Andrews does not recall receiving any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EXPERT MEDICAL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Dr. Thomas Kay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Dr. Thomas Kay, a psychologist, performed a two-day neuro-psychological evaluation of the plaintiff one year after the accident, on October 5 and 7, 2010. Unfortunately, Dr. Kay died before the trial. By reasons indexed as </w:t>
      </w:r>
      <w:r>
        <w:rPr>
          <w:rFonts w:ascii="arial" w:eastAsia="arial" w:hAnsi="arial" w:cs="arial"/>
          <w:i/>
          <w:color w:val="000000"/>
          <w:sz w:val="20"/>
          <w:lang w:val="en-US" w:eastAsia="en-US" w:bidi="ar-SA"/>
        </w:rPr>
        <w:t>Andrews v.</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Mainster</w:t>
      </w:r>
      <w:r>
        <w:rPr>
          <w:rFonts w:ascii="arial" w:eastAsia="arial" w:hAnsi="arial" w:cs="arial"/>
          <w:color w:val="000000"/>
          <w:sz w:val="20"/>
          <w:lang w:val="en-US" w:eastAsia="en-US" w:bidi="ar-SA"/>
        </w:rPr>
        <w:t xml:space="preserve">, </w:t>
      </w:r>
      <w:hyperlink r:id="rId495" w:history="1">
        <w:r>
          <w:rPr>
            <w:rFonts w:ascii="arial" w:eastAsia="arial" w:hAnsi="arial" w:cs="arial"/>
            <w:i/>
            <w:color w:val="0077CC"/>
            <w:sz w:val="20"/>
            <w:u w:val="single"/>
            <w:shd w:val="clear" w:color="auto" w:fill="FFFFFF"/>
            <w:lang w:val="en-US" w:eastAsia="en-US" w:bidi="ar-SA"/>
          </w:rPr>
          <w:t>2013 BCSC 501</w:t>
        </w:r>
      </w:hyperlink>
      <w:r>
        <w:rPr>
          <w:rFonts w:ascii="arial" w:eastAsia="arial" w:hAnsi="arial" w:cs="arial"/>
          <w:color w:val="000000"/>
          <w:sz w:val="20"/>
          <w:lang w:val="en-US" w:eastAsia="en-US" w:bidi="ar-SA"/>
        </w:rPr>
        <w:t>, I ruled that those parts of Dr. Kay's report that recorded the history he took from Ms. Andrews, discussed the tests he administered and set out his opinions on the results of his testing of the plaintiff's cognitive functioning met the requirements of necessity and reliability for their admission into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Dr. Kay was asked by plaintiff's counsel to evaluate the nature and extent of possible psychological or neuro-psychological injuries suffered by the plaintiff in the motor vehicle accident of October 10, 2009. In addition to interviewing Ms. Andrews, Dr. Kay administered a battery of cognitive tests. He found that the plaintiff performed extremely well on all of those tests with scores in the high average to superior range. On the Wechsler Adult Intelligence Scale, the plaintiff obtained an IQ of 126, at the 96th percentile, which falls in the superior range. She scored in the 99th percentile for immediate memory, and in the 97th percentile for delayed memory.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Dr. Kay's tests revealed no evidence of any memory deficit. There was nothing in Dr. Kay's neuro-psychological evaluation to suggest the plaintiff had suffered brain damage. Dr. Kay also concluded, on the basis of his interview of Ms. Andrews, that she had essentially continuous recall of the accident. He thought that any confusion the plaintiff experienced immediately following the accident was most likely due to pain and emotion, rather than to the plaintiff having suffered a concussion in the motor vehicle accident. Dr. Kay's report provides a unique assessment of the plaintiff's cognitive functioning one year following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Dr. Roy O'Shaughnessy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At the time of his examination in November 2012, Dr. O'Shaughnessy diagnosed the plaintiff as having:</w:t>
      </w:r>
      <w:r>
        <w:rPr>
          <w:rFonts w:ascii="arial" w:eastAsia="arial" w:hAnsi="arial" w:cs="arial"/>
          <w:sz w:val="20"/>
          <w:lang w:val="en-US" w:eastAsia="en-US" w:bidi="ar-SA"/>
        </w:rPr>
        <w:cr/>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pain disorder;</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generalized anxiety disorder;</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possible PTSD in partial remission.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He described a pain disorder as a somatoform illness in which the person's complaints of pain are thought to have a significant psychological component. Commonly, and in the plaintiff's case, both medical and psychological factors play a role in the patient's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Dr. O'Shaughnessy described generalized anxiety disorder as "chronic fears in a wide group of areas accompanied by free-floating anxiety symptoms. Persons with this disorder experience catastrophic thoughts and unrealistic fears which they are unable to suppress or control".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At page seven of his report, Dr. O'Shaughnessy offered this opinion: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review of the material here, it is clear that this woman did have pre-existing Anxiety Disorder but it became much worse post accident. Many of the anxiety themes have car accident content and certainly there are elements of PTSD evident. It is difficult, however, especially in retrospect, to determine how much of this is a new disorder, i.e. PTSD, versus aggravation of the pre-existing Anxiety Disorder. From a functional perspective, the issue is really somewhat moot insofar as this lady clearly has become much worse post accident whether it be due to an increase in the Anxiety Disorder or a new Anxiety Disorder, i.e. PTSD. Further, it interacts with the pain, resulting in the Pain Disorder.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Pain Disorder is more likely than not caused by the accident in question. I note in the past that she has had complaints of pain but not to the point where it caused any dysfunction nor did she have the same degree of preoccupation or perception of being impaired as she currently demonstrates.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Dr. Vallance, the defendant's expert in psychiatry, agrees with Dr. O'Shaughnessy's opinion that Ms. Andrews' pre-existing anxiety disorder became much worse after the accident and that her anxiety disorder interacts with her pain resulting in the pain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With respect to causation, Dr. O'Shaughnessy offered this opinion: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Issues of causation in this instance are clearly complicated. As above, she does have a pre-existing Anxiety Disorder and possible Mood Disorder and has had waxing and waning of symptoms depending on stresses over the years. From my review of the records and from my discussions with her, there appears to be a clear worsening of her symptoms post accident. This is entirely expected given that Anxiety Disorders and Mood Disorders themselves are extremely sensitive to psychosocial stresses in general and in particular to traumatic events such as car accidents of this type. Certainly the self-report and the medication and medical records documents indicate both an increase in symptoms and increase in dose of antidepressant medications consistent with the aggravation or worsening of her pre-existing disorder. She had been more functional before the accident and has become dysfunctional now.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addition, she has now developed a Pain Disorder that more likely than not would not have occurred but for the injuries sustained in the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above, it is possible she also developed a PTSD that was more evident early on. Certainly Dr. Kay notes greater symptoms when he saw her in 2010 consistent with a Post-Traumatic Stress Disorder than were evident when I saw her in 2012. The fright of the accident was obviously a significant event for her with evidence of anxiety at the scene and in the emergency room with increased anxiety symptoms thereafter.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Dr. O'Shaughnessy concluded his report with these observations on the plaintiff's functioning: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From a functional perspective, she was doing better before the accident although had been in a difficult period in the weeks preceding the accident given the decision to shift job and location. She has clearly had significant dysfunction post accident that persists to the present. At this point she is not working and frankly, given the nature of her symptoms and preoccupation, I do not think she is capable of work at the current time. It is likely that with appropriate treatment she will experience reduction in symptoms that will possibly allow her to return to her chosen field as a counsellor.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Dr. Vallance agreed that the plaintiff was probably not capable of work at the time that Dr. O'Shaughnessy prepared his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Dr. O'Shaughnessy refers at page three of his report to the difficulty in assessing the impact of the plaintiff's underlying and ongoing anxiety on her functioning. He described the plaintiff as having a complex presentation, which includes difficulties with mood regulation. Throughout much of her life, the plaintiff has experienced fluctuations in anxiety and depression. She sees herself as the victim of relationship difficulties and lacks full insight into the impact of anxiety and depression upon her functioning.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In Dr. O'Shaughnessy's opinion, these are long-standing difficulties that preceded the accident. However he thought there was a notable increase in the plaintiff's symptoms after the accident of October 10, 2009. He explained that whether one views the plaintiff's post motor vehicle accident symptoms as a new condition or as the exacerbation of a pre-existing condition, her functional capacity has worsened and she has experienced more mood disruptions and more catastrophic thoughts than she did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Dr. O'Shaughnessy thought that the plaintiff cannot function as a therapist or counsellor dealing with clients with high levels of anxiety, depression and trauma when she is preoccupied with her own symptoms and dysfunction.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Dr. O'Shaughnessy said in cross-examination that he relied more on the documented clinical record for the history or timelines of the plaintiff's psychological condition and its treatment than he did on Ms. Andrews' subjective reporting.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When Dr. O'Shaughnessy interviewed the plaintiff, she acknowledged that she had difficulties in setting and keeping appropriate boundaries. He agreed that anxiety disorders will wax and wane depending on what is happening in the patient's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Nothing that the plaintiff told Dr. O'Shaughnessy explained Dr. Zhang's clinical note of September 1, 2009 that the plaintiff was depressed, irritable, and was "losing her mind". At this time, the plaintiff had restored her relationship with Mr. Priolo.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Based on his interview with the plaintiff, it was clear to Dr. O'Shaughnessy that Ms. Andrews was experiencing on and off periods of anxiety and depression. He described the plaintiff as having a way of looking at her life that is different from what an objective observer would report. Dr. O'Shaughnessy said that the plaintiff sees events as much more dire than would the average person in similar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Dr. O'Shaughnessy was aware that the plaintiff, from her early childhood to age five, experienced periods of neglect and separation from her mother. He thought her recollection of the time spent at the residential school between the age of three and five was likely based on what she was told later. Dr. O'Shaughnessy explained that the memory of children under five is not reliable.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Dr. O'Shaughnessy understood that the plaintiff had abused alcohol between the ages of 15 to 30. Dr. O'Shaughnessy said the plaintiff told him that she had been involved in drug use through her teenage years. He understood that while the plaintiff, like other teens, had used drugs from time to time, there was no pattern of drug abuse by the plaintiff. He contrasted this with the clear pattern of abuse of alcohol by the plaintiff to age 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In cross-examination, Dr. O'Shaughnessy acknowledged that there is no objective way of determining the extent to which the plaintiff's complaints of physical pain were or are attributable to the accident or her pre-existing conditions. However, when the plaintiff is exposed to trauma, her underlying psychological and physical conditions are worsened. Following the motor vehicle accident, the plaintiff's functioning deteriorated. Previously, she had been able to function in her work as a counsellor when experiencing periods of anxiety or depression. However, she was unable to do so after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Dr. O'Shaughnessy agreed that both the incident of May 2010 when Ms. Andrews and her dog were attacked by two off-leash German Shepherds, and her encounter with the owner of the German Shepherds on August 15, 2011, who screamed obscenities at her and threatened to kill her and her dog would have elevated the plaintiff's level of anxiety and could have caused a set-back. Later in his cross examination, Dr. O'Shaughnessy agreed that the plaintiff's encounters with the German Shepherds and their abusive owner were events that traumatized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The plaintiff did not disclose to Dr. O'Shaughnessy that she had observed a sexual assault from the balcony of her home. He agreed that this was an event that would likely have a greater impact on an emotionally vulnerable person than on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Dr. O'Shaughnessy agreed that the fact the plaintiff was attending for her treatments at the time of trial, was making more of an effort to follow the recommendations of her care providers, was letting go of her emotional attachment to the accident, and reported that she was benefitting from seeing her psychologist, Ms. McKinnon, were all positive factors.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Dr. Maelor Vallance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Dr. Maelor Vallance performed an independent psychiatric examination of the plaintiff for the defendant on March 12, 2012. In his report of March 23, 2012, Dr. Vallance offered this opinion on the effect of the motor vehicle accident on the plaintiff's psychological condition: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Rather than produce features of a Post-Traumatic Stress Disorder I believe that having to deal with the increased pain that she experienced after the accident together with the disruption in her usual routines aggravated her pre-existing emotional problems. Dr. Solomons, in his report of December 4, 2008, described her vulnerabilities and ongoing emotional problems which he attributed to "a protracted and pernicious experience of childhood neglect and abuse." I agree with his summation and particularly the effect on self image bolstered only by her academic achievement and her issues of emotional dependency impacting on her interpersonal relationships, particularly with men. Given the post accident threat of an exacerbation of her pre-existing physical problems, her enforced dependency, not having the ego boost of her job, and lacking emotional supports for a time at least, she had an exacerbation of her pre-existing anxiety and depression. While these problems may have been escalating just before the accident such as reflected in her family doctor's records, even so, the effect of the accident would have added to that escalation. In turn, the increase in anxiety and depression would have increased her perception of pain and impairment and in that regard, I agree with Dr. Pisesky who refers to her emotional problems contributing to the presentation and her physical problems.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I met with Ms. Andrews, her emotional state had improved but she still presented with some features of clinical depression. She had been taking the antidepressant Cymbalta, presumably since it has a reputation, albeit controversial, of assisting in the management of pain. She reports that her mood was improving on the Cymbalta but she apparently developed a reaction to it and discontinued it. As she describes it, she went into withdrawal and had problems until about six or seven weeks ago when she again began to improve. She reported being somewhat brighter and less irritable and was feeling more hopeful. She was not at the time on antidepressant medication but I believe that she should be, most likely the Wellbutrin that she had been taking over a number of years. Prescriptions for Wellbutrin, Seroquel (Quetiapine) and Ativan had all been renewed just prior to the accident. Her condition when I met with her was probably as good, if not better, than her condition emotionally just prior to the accident as reflected in the records of Dr. Zhang.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In cross-examination, Dr. Vallance agreed that the plaintiff was vulnerable and fragile at the time of the accident and that her vulnerability and fragility arose in part from her history of childhood neglect and abuse, her pre-existing depression and anxiety and her personality type, which included a compulsive nature and borderline personality traits, including emotionality, fluctuations in mood and poor self-image. He also agreed that depression and anxiety will increase a patient's sense of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Dr. Vallance noted that the plaintiff had a long history of fluctuating levels of anxiety and depression and thought that Dr. Zhang's clinical records for September 1 and September 15, 2009, which note depression, irritability, and the plaintiff "losing her mind", suggested that her depression and anxiety were escalating before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Dr. Vallance testified in cross-examination that the plaintiff had pulled herself up by her boot straps after age 30. She had overcome her alcohol abuse and achieved academic success in which she took justifiable pride. She experienced considerable gain from her work, however her work had become central to her sense of self. Dr. Vallance thought the plaintiff's work as a counsellor was particularly stressful for her. Because her work was so central to her sense of identity and self-worth, she could not acknowledge her work as a source of her stress. Dr. Vallance does not believe the plaintiff should return to her former work as a counsellor to clients who are highly traumatized. He does believe that with therapy Ms. Andrews could return to work as a counsellor in some less stressful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Dr. Vallance agreed that the plaintiff's background made her more vulnerable to psychological dysfunction but thought she was already deteriorating before the motor vehicle accident, which escalated her downward path.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In cross-examination, Dr. Vallance was unable to identify any evidence that would prove that the plaintiff's pre-accident downward path was not simply part of her normal long-standing patterns of emotional ups and downs. Dr. Vallance gave the following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Would you agree that in this case Brenda Andrews perceived this car accident as being a terrifying event that nearly cost her her life?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 was her perception, but keeping in mind, as he says, she does tend to catastrophize.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Dr. Vallance, you said a few minutes ago that Brenda Andrews was on a downward path shortly before this accident. Have you anything that would prove that that downward path wasn't simply part of the normal long-standing patterns of emotional ups and downs this woman had had for years before this accident?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it certainly was one of these. When it would have ended, I don't know, because I don't know what was triggering it at that particular point in time. If it was something of great significance, then it could have taken her right down to the depths, but I would need to know, for example, if there was any counselling records at that time. That would be helpful, but I -- they're not available to me.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you're saying that there may be some records that would allow you to say that this downward path was leading to a collapse, but you don't have those records, so you can't say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[Transcript of Proceedings, Lines 7 to 27 at p. 48, March 21,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Dr. Vallance also agreed in cross-examination that the accident would have added to or escalated the plaintiff's psychological difficulties; agreed that additional traumas over time might increase a person's vulnerability and fragility; agreed that the effect of trauma is based on the person's perception of the trauma; and that Brenda Andrews perceived the motor vehicle accident as a terrifying event that nearly cost her her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In cross-examination, Dr. Vallance further agreed that Ms. Andrews was dysfunctional after the motor vehicle accident and acknowledged that her condition could have been worse when Dr. O'Shaughnessy saw her than when he saw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In re-examination, Dr. Vallance said that in his opinion the plaintiff was in no worse condition at the time he saw her than she was prior to the accident in September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Dr. Andrew Travlos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Dr. Andrew Travlos is a specialist in physical medicine and rehabilitation who, at the request of plaintiff's counsel, performed an independent medical assessment of the plaintiff on October 17,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Dr. Travlos took a detailed history from the plaintiff and reviewed her extensive clinical records. He noted that Dr. Wayne Smith had made a diagnosis of fibromyalgia dating back to 1992; that there were multiple entries relating to depression, fatigue, stress and anxiety; and that Dr. Karim, one of the plaintiff's general practitioners, had noted the plaintiff was involved in a motor vehicle accident in November 2005 after which she experienced right shoulder and arm numbness that later resolved. The Seymour Medical Clinic records included notes of visits for mood disorder in July 2007. In an entry of December 11, 2007, Dr. Zhang noted that the plaintiff's complaints, which included dizziness, fears about her health, and involuntary movements of her right foot and left lower leg were unlikely due to physical causes and most likely due to her anxiety. On September 15, 2009, Dr. Zhang noted that the plaintiff was complaining of headaches, neck pains, shoulder pains and stress and a lack of peer and family support in Vancouver. X-rays and a CT scan in the spring of 2008 showed moderate degenerative disc disease of the neck.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Dr. Travlos noted that the plaintiff's history before the October 10, 2009 accident was substantial, rather than simple, as she described. While the plaintiff was functioning, active and employed before the accident, in Dr. Travlos' opinion, she was not the healthy person easily managing her life that she reported to him. The clinical records revealed a person who was struggling with both pain and ongoing mental health concerns. Dr. Travlos thought that the plaintiff was "an individual at substantial risk of being de-railed by a new event or injury such as this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Dr. Travlos concluded that Ms. Andrews' complaints of chest pain, difficulty breathing, neck pains, right arm numbness and tingling, sleep problems and anxiety were a direct consequence of the October 10, 2009 motor vehicle accident. He thought the accident aggravated the plaintiff's pre-existing problem of arthritis in the neck which caused her symptoms of numbness and tingling in the right arm. The two small fractures of the sternum were new injuries caused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In Dr. Travlos' opinion, the plaintiff's ongoing mental health problems are the driving force behind her slow recovery and low level of functioning, more than her physical complaints. He describes the plaintiff's overall reduced level of functioning as "a complex interplay between her pre-accident physical and mental health problems, along with the effects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Dr. Travlos noted that it was possible that the plaintiff might have become dysfunctional in the absence of the motor vehicle accident. However, she appeared to be functioning relatively well, was independent, employed, exercising regularly and had a healthy relationship with her current partner, Mr. Priolo. In Dr. Travlos' opinion, the accident is the primary cause for the onset of the plaintiff's symptoms and the deterioration of her emotional and psychological health.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On causation, Dr. Travlos said this at pages 12 to 13 of his report of October 17, 2012: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Exploring the issue of causality more deeply, it is certainly possible that Ms. Andrews may have become derailed and dysfunctional in the absence of this accident, especially if she had had difficulties with her partner or social support system. All in all, however, she appeared to be functioning relatively well despite her difficulties and was independent, working and exercising regularly, and had a healthy relationship with her partner. Of note is that she has not lost her partner, despite the difficulties she has been through and her partner has stuck with her, making it unlikely that the partner would have left if things were even better than they had been since the accident. She would have continued to work and it is clear that she had certainly established the capacity to do so. There is no reasonable expectation that she would have suddenly decompensated, barring any substantial new events. It is therefore my opinion that, although Ms. Andrews was substantially at risk of decompensation, there was no expectation that she was going to do so and would certainly not have done so at the time that she did in the absence of this accident. It is my opinion, therefore, that this accident was primarily responsible for the onset of her symptoms and the substantial upheaval in her emotional health and her current residual difficulties functioning in society.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Dr. Travlos explained that decompensation occurred when the plaintiff was functioning at a level "and then everything sort of falls apart on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In cross-examination, Dr. Travlos was asked whether if the plaintiff had stopped work 10 days before the accident that could have caused her to decompensate: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if she stopped work 10 days before the accident, she's also in a position where she has time to dwell on those same problems; right?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MR. MAH:</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Perhaps, My Lord, Mr. Joudrey could clarify the evidence with respect to "stopping work," as he puts it.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JOUDREY: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She was not working as of 10 days before the accident.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Because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something for the court to decide, ultimately. But the fact that she wasn't working and staying occupied and so on would give her time to dwell on whatever was troubling her and causing her to lose her mind in September?</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think the -- if the stopping work was a stressful course, that would certainly apply. If the stopping of work was just part of the time between contracts -- because she was doing contract work, my understanding is. If it was just contract work, it wouldn't necessarily have been stressful unless there was no hope of her renewal of the contract. That would have been stressful.</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let me put it to you hypothetically that if -- if -- the only reason the plaintiff could think of for telling Dr. Zhang that she was losing her mind the month before the accident was from emotional stresses related to her counselling practice, from that point forward if she stops working for any reason or if that is the reason she actually stopped working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M'mm-hmm.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you would expect her to continue to decompensate when she's got time on her hands and can dwell on it and perseverate; 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She could have, 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from what we see in the records she's always had the physical complaints, the underlying depression in varying degrees and underlying anxiety disorder. September is the first time we see her saying that she's losing her mind;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[Transcript of Proceedings at Trial, March 18, 2013, p. 66 line 40 to p. 67 line 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The plaintiff terminated her contract with Health Canada about 10 days before the motor vehicle accident. I accept Ms. Andrews' testimony that before the accident, she was considering her options for employment in Calgary, Vancouver, or possibly Maryland, and that she did not intend to stop working altogether. Ms. Andrews testified that when she terminated her contract with Health Canada, she experienced anxiety about leaving her clientele in Port Hardy. She feared that her clients would perceive her as abandoning them. She said this caused her anxiety but denied that working with residential school survivors was a source of emotional stress to her. Despite her history of pre-existing anxiety and bouts of depression, the plaintiff had worked with and counselled residential school survivors. She intended to continue to do so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Dr. Travlos provided a diagnosis for the plaintiff's symptoms. He thought the accident aggravated the plaintiff's pre-existing degenerative condition of her neck, causing the symptoms of numbness and tingling in her right shoulder, arm and hand to reoccur. He attributed the plaintiff's continuing symptoms of pain in the neck and shoulders to myofascial pain and reported that her chest fractures had healed and would be of no further concern to her. He thought some underlying mechanical back pain contributed to the plaintiff's lower body symptoms on the right side of her lower back and right hip. Dr. Travlos thought those symptoms were predominantly myofascial in origin.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Dr. Travlos' prognosis is that the plaintiff will probably continue to improve steadily for the next one to two years, although the key to her improvement will be her response to therapy for her mental health.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Physically, Dr. Travlos thought that the plaintiff needs to become more active. He strongly recommended that Ms. Andrews stop exercising at home and start a regular program of exercise at a community center or gym. Dr. Travlos thought a more structured exercise environment would provide some incentive for the plaintiff to complete her exercises. Dr. Travlos recommended that the plaintiff's exercise program include walking, cardiovascular exercise, yoga and Pilates, and that over time, the plaintiff should work up to one and a half to two hours of exercise per day, five days a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Dr. Travlos also recommended that Ms. Andrews establish progressive goals for her recovery and thought that an occupational therapist could assist her in setting goals and ensuring that they were met. He also recommended that the plaintiff establish regular times of sleeping, and that she avoid sleeping during the day to assist her in overcoming her problems with lack of sleep and fatigue. He recommended that she continue to use Amitriptylin to assist her in sleeping.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Dr. Travlos expected that if the plaintiff acted on those recommendations and made progress with her mental health, she should be able to achieve daily social functioning. In the concluding paragraph of his prognosis, Dr. Travlos said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She should be able to maintain her home, she should be able to exercise regularly, and should, indeed, be able to go out shopping and to all the physical things required of her. I defer to my colleagues in psychiatry regarding the issues pertaining to her mental health recovery, as this will certainly guide where she ultimately ends up. From a rehabilitation perspective, she is physically capable of increasing her activities and there is every expectation of her returning back to her pre-accident level of symptoms and complaints, including her pre-accident level of physical activity.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With respect to the plaintiff's vocational abilities and limitations, Dr. Travlos felt that there was no physical bar to the plaintiff returning to counselling, but recognized that her mental health was a limiting factor. Again, he deferred to psychiatrists for their opinions regarding the effect of her mental health on her vocation.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If the plaintiff's mental health improved, Dr. Travlos thought the plaintiff might be able to return to full-time, gainful employment, although he could not provide a definitive opinion at the time of his report. He noted that the plaintiff is a highly intelligent person who may need to make a decision about whether or not she wishes to return to counselling and its associated stresses. Alternatively, he thought she might seek employment in Human Resources, a field in which she had already indicated some interest, and where the emotional demands would be less.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CREDIBILITY AND RELIABILITY OF PLAINTIFF'S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xml:space="preserve">  The factors to be considered when assessing credibility were summarized by Dillon J. in </w:t>
      </w:r>
      <w:r>
        <w:rPr>
          <w:rFonts w:ascii="arial" w:eastAsia="arial" w:hAnsi="arial" w:cs="arial"/>
          <w:i/>
          <w:color w:val="000000"/>
          <w:sz w:val="20"/>
          <w:lang w:val="en-US" w:eastAsia="en-US" w:bidi="ar-SA"/>
        </w:rPr>
        <w:t>Bradshaw v. Stenner</w:t>
      </w:r>
      <w:r>
        <w:rPr>
          <w:rFonts w:ascii="arial" w:eastAsia="arial" w:hAnsi="arial" w:cs="arial"/>
          <w:color w:val="000000"/>
          <w:sz w:val="20"/>
          <w:lang w:val="en-US" w:eastAsia="en-US" w:bidi="ar-SA"/>
        </w:rPr>
        <w:t xml:space="preserve">, </w:t>
      </w:r>
      <w:hyperlink r:id="rId496" w:history="1">
        <w:r>
          <w:rPr>
            <w:rFonts w:ascii="arial" w:eastAsia="arial" w:hAnsi="arial" w:cs="arial"/>
            <w:i/>
            <w:color w:val="0077CC"/>
            <w:sz w:val="20"/>
            <w:u w:val="single"/>
            <w:shd w:val="clear" w:color="auto" w:fill="FFFFFF"/>
            <w:lang w:val="en-US" w:eastAsia="en-US" w:bidi="ar-SA"/>
          </w:rPr>
          <w:t>2010 BCSC 1398</w:t>
        </w:r>
      </w:hyperlink>
      <w:r>
        <w:rPr>
          <w:rFonts w:ascii="arial" w:eastAsia="arial" w:hAnsi="arial" w:cs="arial"/>
          <w:color w:val="000000"/>
          <w:sz w:val="20"/>
          <w:lang w:val="en-US" w:eastAsia="en-US" w:bidi="ar-SA"/>
        </w:rPr>
        <w:t xml:space="preserve"> at para. 186,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Credibility involves an assessment of the trustworthiness of a witness' testimony based upon the veracity or sincerity of a witness and the accuracy of the evidence that the witness provides (</w:t>
      </w:r>
      <w:r>
        <w:rPr>
          <w:rFonts w:ascii="arial" w:eastAsia="arial" w:hAnsi="arial" w:cs="arial"/>
          <w:i/>
          <w:color w:val="000000"/>
          <w:sz w:val="20"/>
          <w:lang w:val="en-US" w:eastAsia="en-US" w:bidi="ar-SA"/>
        </w:rPr>
        <w:t>Raymond v. Bosanquet (Township)</w:t>
      </w:r>
      <w:r>
        <w:rPr>
          <w:rFonts w:ascii="arial" w:eastAsia="arial" w:hAnsi="arial" w:cs="arial"/>
          <w:color w:val="000000"/>
          <w:sz w:val="20"/>
          <w:lang w:val="en-US" w:eastAsia="en-US" w:bidi="ar-SA"/>
        </w:rPr>
        <w:t xml:space="preserve"> </w:t>
      </w:r>
      <w:hyperlink r:id="rId497" w:history="1">
        <w:r>
          <w:rPr>
            <w:rFonts w:ascii="arial" w:eastAsia="arial" w:hAnsi="arial" w:cs="arial"/>
            <w:i/>
            <w:color w:val="0077CC"/>
            <w:sz w:val="20"/>
            <w:u w:val="single"/>
            <w:shd w:val="clear" w:color="auto" w:fill="FFFFFF"/>
            <w:lang w:val="en-US" w:eastAsia="en-US" w:bidi="ar-SA"/>
          </w:rPr>
          <w:t>(1919), 59 S.C.R. 452</w:t>
        </w:r>
      </w:hyperlink>
      <w:r>
        <w:rPr>
          <w:rFonts w:ascii="arial" w:eastAsia="arial" w:hAnsi="arial" w:cs="arial"/>
          <w:color w:val="000000"/>
          <w:sz w:val="20"/>
          <w:lang w:val="en-US" w:eastAsia="en-US" w:bidi="ar-SA"/>
        </w:rPr>
        <w:t xml:space="preserve">, </w:t>
      </w:r>
      <w:hyperlink r:id="rId498" w:history="1">
        <w:r>
          <w:rPr>
            <w:rFonts w:ascii="arial" w:eastAsia="arial" w:hAnsi="arial" w:cs="arial"/>
            <w:i/>
            <w:color w:val="0077CC"/>
            <w:sz w:val="20"/>
            <w:u w:val="single"/>
            <w:shd w:val="clear" w:color="auto" w:fill="FFFFFF"/>
            <w:lang w:val="en-US" w:eastAsia="en-US" w:bidi="ar-SA"/>
          </w:rPr>
          <w:t>50 D.L.R. 560</w:t>
        </w:r>
      </w:hyperlink>
      <w:r>
        <w:rPr>
          <w:rFonts w:ascii="arial" w:eastAsia="arial" w:hAnsi="arial" w:cs="arial"/>
          <w:color w:val="000000"/>
          <w:sz w:val="20"/>
          <w:lang w:val="en-US" w:eastAsia="en-US" w:bidi="ar-SA"/>
        </w:rPr>
        <w:t xml:space="preserve"> (S.C.C.)). The art of assessment involves examination of various factors such as the ability and opportunity to observe events, the firmness of his memory, the ability to resist the influence of interest to modify his recollection, whether the witness' evidence harmonizes with independent evidence that has been accepted, whether the witness changes his testimony during direct and cross-examination, whether the witness' testimony seems unreasonable, impossible, or unlikely, whether a witness has a motive to lie, and the demeanour of a witness generally (</w:t>
      </w:r>
      <w:r>
        <w:rPr>
          <w:rFonts w:ascii="arial" w:eastAsia="arial" w:hAnsi="arial" w:cs="arial"/>
          <w:i/>
          <w:color w:val="000000"/>
          <w:sz w:val="20"/>
          <w:lang w:val="en-US" w:eastAsia="en-US" w:bidi="ar-SA"/>
        </w:rPr>
        <w:t>Wallace v. Davis</w:t>
      </w:r>
      <w:r>
        <w:rPr>
          <w:rFonts w:ascii="arial" w:eastAsia="arial" w:hAnsi="arial" w:cs="arial"/>
          <w:color w:val="000000"/>
          <w:sz w:val="20"/>
          <w:lang w:val="en-US" w:eastAsia="en-US" w:bidi="ar-SA"/>
        </w:rPr>
        <w:t xml:space="preserve">, </w:t>
      </w:r>
      <w:hyperlink r:id="rId499" w:history="1">
        <w:r>
          <w:rPr>
            <w:rFonts w:ascii="arial" w:eastAsia="arial" w:hAnsi="arial" w:cs="arial"/>
            <w:i/>
            <w:color w:val="0077CC"/>
            <w:sz w:val="20"/>
            <w:u w:val="single"/>
            <w:shd w:val="clear" w:color="auto" w:fill="FFFFFF"/>
            <w:lang w:val="en-US" w:eastAsia="en-US" w:bidi="ar-SA"/>
          </w:rPr>
          <w:t>[1926] 31 O.W.N. 202</w:t>
        </w:r>
      </w:hyperlink>
      <w:r>
        <w:rPr>
          <w:rFonts w:ascii="arial" w:eastAsia="arial" w:hAnsi="arial" w:cs="arial"/>
          <w:color w:val="000000"/>
          <w:sz w:val="20"/>
          <w:lang w:val="en-US" w:eastAsia="en-US" w:bidi="ar-SA"/>
        </w:rPr>
        <w:t xml:space="preserve"> (Ont. H.C.); </w:t>
      </w:r>
      <w:r>
        <w:rPr>
          <w:rFonts w:ascii="arial" w:eastAsia="arial" w:hAnsi="arial" w:cs="arial"/>
          <w:i/>
          <w:color w:val="000000"/>
          <w:sz w:val="20"/>
          <w:lang w:val="en-US" w:eastAsia="en-US" w:bidi="ar-SA"/>
        </w:rPr>
        <w:t>Faryna v. Chorny</w:t>
      </w:r>
      <w:r>
        <w:rPr>
          <w:rFonts w:ascii="arial" w:eastAsia="arial" w:hAnsi="arial" w:cs="arial"/>
          <w:color w:val="000000"/>
          <w:sz w:val="20"/>
          <w:lang w:val="en-US" w:eastAsia="en-US" w:bidi="ar-SA"/>
        </w:rPr>
        <w:t xml:space="preserve">, </w:t>
      </w:r>
      <w:hyperlink r:id="rId409" w:history="1">
        <w:r>
          <w:rPr>
            <w:rFonts w:ascii="arial" w:eastAsia="arial" w:hAnsi="arial" w:cs="arial"/>
            <w:i/>
            <w:color w:val="0077CC"/>
            <w:sz w:val="20"/>
            <w:u w:val="single"/>
            <w:shd w:val="clear" w:color="auto" w:fill="FFFFFF"/>
            <w:lang w:val="en-US" w:eastAsia="en-US" w:bidi="ar-SA"/>
          </w:rPr>
          <w:t>[1952] 2 D.L.R. 354</w:t>
        </w:r>
      </w:hyperlink>
      <w:r>
        <w:rPr>
          <w:rFonts w:ascii="arial" w:eastAsia="arial" w:hAnsi="arial" w:cs="arial"/>
          <w:color w:val="000000"/>
          <w:sz w:val="20"/>
          <w:lang w:val="en-US" w:eastAsia="en-US" w:bidi="ar-SA"/>
        </w:rPr>
        <w:t xml:space="preserve"> (B.C.C.A.) [</w:t>
      </w:r>
      <w:r>
        <w:rPr>
          <w:rFonts w:ascii="arial" w:eastAsia="arial" w:hAnsi="arial" w:cs="arial"/>
          <w:i/>
          <w:color w:val="000000"/>
          <w:sz w:val="20"/>
          <w:lang w:val="en-US" w:eastAsia="en-US" w:bidi="ar-SA"/>
        </w:rPr>
        <w:t>Faryna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 v. S.(R.D.)</w:t>
      </w:r>
      <w:r>
        <w:rPr>
          <w:rFonts w:ascii="arial" w:eastAsia="arial" w:hAnsi="arial" w:cs="arial"/>
          <w:color w:val="000000"/>
          <w:sz w:val="20"/>
          <w:lang w:val="en-US" w:eastAsia="en-US" w:bidi="ar-SA"/>
        </w:rPr>
        <w:t xml:space="preserve">, </w:t>
      </w:r>
      <w:hyperlink r:id="rId500" w:history="1">
        <w:r>
          <w:rPr>
            <w:rFonts w:ascii="arial" w:eastAsia="arial" w:hAnsi="arial" w:cs="arial"/>
            <w:i/>
            <w:color w:val="0077CC"/>
            <w:sz w:val="20"/>
            <w:u w:val="single"/>
            <w:shd w:val="clear" w:color="auto" w:fill="FFFFFF"/>
            <w:lang w:val="en-US" w:eastAsia="en-US" w:bidi="ar-SA"/>
          </w:rPr>
          <w:t>[1997] 3 S.C.R. 484</w:t>
        </w:r>
      </w:hyperlink>
      <w:r>
        <w:rPr>
          <w:rFonts w:ascii="arial" w:eastAsia="arial" w:hAnsi="arial" w:cs="arial"/>
          <w:color w:val="000000"/>
          <w:sz w:val="20"/>
          <w:lang w:val="en-US" w:eastAsia="en-US" w:bidi="ar-SA"/>
        </w:rPr>
        <w:t xml:space="preserve"> at para.128 (S.C.C.)). Ultimately, the validity of the evidence depends on whether the evidence is consistent with the probabilities affecting the case as a whole and shown to be in existence at the time (</w:t>
      </w:r>
      <w:r>
        <w:rPr>
          <w:rFonts w:ascii="arial" w:eastAsia="arial" w:hAnsi="arial" w:cs="arial"/>
          <w:i/>
          <w:color w:val="000000"/>
          <w:sz w:val="20"/>
          <w:lang w:val="en-US" w:eastAsia="en-US" w:bidi="ar-SA"/>
        </w:rPr>
        <w:t>Faryna</w:t>
      </w:r>
      <w:r>
        <w:rPr>
          <w:rFonts w:ascii="arial" w:eastAsia="arial" w:hAnsi="arial" w:cs="arial"/>
          <w:color w:val="000000"/>
          <w:sz w:val="20"/>
          <w:lang w:val="en-US" w:eastAsia="en-US" w:bidi="ar-SA"/>
        </w:rPr>
        <w:t xml:space="preserve"> at para. 356).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xml:space="preserve">  If the plaintiff's account of his or her change in physical, mental, and or emotional state as a result of the accident is not convincing, then the hypothesis upon which any expert opinions rest will be undermined: </w:t>
      </w:r>
      <w:r>
        <w:rPr>
          <w:rFonts w:ascii="arial" w:eastAsia="arial" w:hAnsi="arial" w:cs="arial"/>
          <w:i/>
          <w:color w:val="000000"/>
          <w:sz w:val="20"/>
          <w:lang w:val="en-US" w:eastAsia="en-US" w:bidi="ar-SA"/>
        </w:rPr>
        <w:t>Samuel v. Chrysler Credit Canada Ltd.</w:t>
      </w:r>
      <w:r>
        <w:rPr>
          <w:rFonts w:ascii="arial" w:eastAsia="arial" w:hAnsi="arial" w:cs="arial"/>
          <w:color w:val="000000"/>
          <w:sz w:val="20"/>
          <w:lang w:val="en-US" w:eastAsia="en-US" w:bidi="ar-SA"/>
        </w:rPr>
        <w:t xml:space="preserve">, </w:t>
      </w:r>
      <w:hyperlink r:id="rId501" w:history="1">
        <w:r>
          <w:rPr>
            <w:rFonts w:ascii="arial" w:eastAsia="arial" w:hAnsi="arial" w:cs="arial"/>
            <w:i/>
            <w:color w:val="0077CC"/>
            <w:sz w:val="20"/>
            <w:u w:val="single"/>
            <w:shd w:val="clear" w:color="auto" w:fill="FFFFFF"/>
            <w:lang w:val="en-US" w:eastAsia="en-US" w:bidi="ar-SA"/>
          </w:rPr>
          <w:t>2007 BCCA 431</w:t>
        </w:r>
      </w:hyperlink>
      <w:r>
        <w:rPr>
          <w:rFonts w:ascii="arial" w:eastAsia="arial" w:hAnsi="arial" w:cs="arial"/>
          <w:color w:val="000000"/>
          <w:sz w:val="20"/>
          <w:lang w:val="en-US" w:eastAsia="en-US" w:bidi="ar-SA"/>
        </w:rPr>
        <w:t>, at paras. 15, 49-50.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All of the experts agree that this case involves a complex interplay between the plaintiff's psychological condition and her continuing complaints of pain. Ms. Andrews had a fragile sense of her self-worth and suffered from varying levels of anxiety and depression before the motor vehicle accident. The court's task of assessing damages for the injuries caused to the plaintiff by the accident is challenging in any case where the plaintiff's complaints are based largely on subjective complaints of pain that have persisted beyond the normal time for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That task is rendered more difficult in this case by two factors. First, as Dr. O'Shaughnessy explained, Ms. Andrews has a tendency to catastrophize, and to focus on the accident as the source of all of her physical and psychiatric complaints. Her perception of events is coloured by her pre-existing personality trait difficulties relating to her self-esteem, self-image, and mood regulation. As a result, she is not a reliable historian of her pre-accident physical and psychiatric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Second, the plaintiff has relied entirely upon the medical opinions of various experts retained to provide independent assessments of Ms. Andrews, in most cases, years after the accident. The plaintiff has not called any of the general practitioners, psychologists, or psychiatrists involved in the actual treatment and care of Ms. Andrews, either before or after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The plaintiff says that given the complexities of her case, general practitioners lack the qualifications and expertise necessary to assist the court, particularly regarding her psychiatric condition. I do not suggest that the opinions of Dr. O' Shaughnessy and Dr. Travlos have not assisted the court. However, evidence from the general practitioners, and in particular from Dr. Zhang would likely have helped the court in understanding the evolution of the plaintiff's mood and anxiety disorders before the accident. Furthermore, evidence from Dr. Zhang might have shed light on the source and severity of the plaintiff's depression in September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Nor did the plaintiff call Dr. Tracy Good, the psychologist who had seen Ms. Andrews off and on for 11 years. Dr. Good advised counsel that she had shredded her records shortly before the trial. However, her testimony would likely have assisted the court in determining when and to what extent the plaintiff received therapeutic counselling for her own problems from Ms. Good, rather than counselling supervision related to her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The plaintiff bears the burden of proving her case on the balance of probabilities. If, as a result of her failure to call any of the care providers involved in her treatment she is undercompensated, she will have to bear that consequence.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The defendants submit that Ms. Andrews was not only an unreliable witness, but also lacks credibility. Despite the fact that cognitive testing of the plaintiff one year post-accident showed that her delayed memory is at the 97th percentile, Ms. Andrews professed to have no memory of telling her care providers much of what they recorded in their clinical notes.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At trial, the plaintiff attributed her current complaints of pain, anxiety, and inability to maintain emotional boundaries to the car accident. She testified that immediately before the accident she was happy in her relationship with Mr. Priolo and was considering a variety of career options. Ms. Andrews did acknowledge that she was conflicted, and suffering some anxiety as a result of her inability to continue to provide services to clients at Port Hardy, and one elder in particular, following the termination of her contract with Health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The defendants argue that the plaintiff's recollection of her state of mind in the weeks leading up the motor vehicle accident is difficult to reconcile with her complaint to Dr. Zhang of September 1, 2009 that she was losing her mind, and with the fact that at that time Dr. Zhang increased her dosage of the anti-depressant Wellbutrin from 100 mg per day to 300 mg per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During cross-examination, Ms. Andrews agreed that on her examination for discovery of March 19, 2013 she was asked and answered the following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then September 1st, 2009, so about a month before the accident it says: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"Losing mind."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So that's apparently your term.</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Depressed, irritable, angry, moments of despair, not cleaning rooms. No suicidal plans, but sleeps. Doesn't wake up.</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Do you know what was causing all that just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have no idea because -- I have no idea because I was with Frank then and things were pretty good.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At trial, Ms. Andrews testified that she did not recall her conversation with Dr. Zhang. She gave the following evidence in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 don't recall telling Dr. Zhang that you were losing your mind, depressed, irritable, angry, moments of despair, not cleaning rooms? You don't remember that?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believe that I told her that, but I don't remember saying that, no.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Okay. You don't specifically remember the</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conversation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but you do remember telling her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I believe that I told her that, but I don't remember telling her that. Because she wrote it down, I guess, and she quoted it, so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[Proceedings at trial March 19, 2013, p. 67 line 42 to p. 68 line 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Questions and answers 623 to 627 from her examination for discovery were then put to Ms. Andrews: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But obviously something was really getting to you. Increasing Wellbutrin to 300 milligrams. That seems to be a peak so far. That's the biggest dosage and it's just before the accident?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 lot of times I took myself off of the medication without the doctor's guidance, so I don't remember going -- I don't remember going up that high, to be honest with you.</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But if -- so you've stopped taking your medication?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Um-hum.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you started to feel low again. Wouldn't you just take the medication that you had before, the leftovers?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 know what? I don't -- I don't remember. I don't know if I threw them out or what.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But, in any event, the last time there seems to have been a prescription, it was 100 milligrams and then it's up to 300. Do you recall anything about what was upsetting you just before the accident?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don't know. The only thing I can think of was a situation one of my clients was in was grave.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it affected you a lot emotionally?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that's the only thing I can think of that was going on at the time.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The plaintiff confirmed she was asked those questions and that her answers were true. She went on to explain in cross-examination that at the time she saw Dr. Zhang in early September 2009 she was excited about her future with Mr. Priolo and that the positives in her life outweighed the negatives.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She was then asked the following questions in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But despite all of the positives --</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M'mm-hmm.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that should improve your mood, you were depressed, irritable, angry, not cleaning rooms, tripled your medication. And you're saying that at that time the positive outweighed the negative?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I'm saying the positive outweighed the negative. And also I didn't stay on that dosage of medication, and I don't remember telling her I couldn't clean my rooms. I don't remember that at all, because I had been in preparation for leaving and every time I left I would clean up.</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yet you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believe I told -- I believe that I told her that during that time, but I don't believe that it was something that impacted me to the point that I wasn't able to finish my job and I wasn't able to continue the plans that I was doing and I wasn't able to continue looking forward to the future and being happy. It didn't impact me to that extent.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 fact, throughout all my records that I haven't seen till everything's been splayed out in front of my face, so many times I would say comments like that. And in my recollection of my life I was just living my life and taking care of what I needed to in privacy with my doctor and moving on, you know, and just leaving it where I needed to leave it and move on. And that's how I saw myself, and that's how I still see myself back then.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When defence counsel suggested to Ms. Andrews that before the accident she had lost her boundaries and had started having emotional reactions to her clients' problems, she vehemently denied that was the case. Ms. Andrews emphasized that "this job was my purpose" and that she knew she was competent and doing a good job. Ms. Andrews said that after the car accident she does not have any boundaries. When asked by defence counsel why a car accident would change her boundaries, the plaintiff became angry and distraught.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Later in her cross-examination, Ms. Andrews acknowledged that before the accident when her contract with Health Canada was coming to an end she was already struggling with depression and having difficulty keeping herself organized. However, she was still productive, still with Mr. Priolo, and still functioning. Ms. Andrews said that she did not remember ever being so damaged that she could not function.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Mr. Priolo also testified that he was unaware of any circumstances that would have caused the plaintiff to make her complaint of September 1, 2009 to Dr. Zhang that she was "losing her mind".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I find that Ms. Andrews' report to Dr. Zhang on September 1, 2009 that she was "losing her mind" was more probable than not a manifestation of her tendency to catastrophize. At that time, the plaintiff, as she acknowledged at trial, was suffering from a significant bout of depression, and anxiety related to her decision to cease counselling her clients at Port Hardy. However, she continued to work for the next several weeks, until her contract with Health Canada came to an end. Before the accident, the plaintiff and Mr. Priolo were planning their future. Ms. Andrews was considering various opportunities for employment, but intended to continue to work as a counsellor to First Nations clients. I find that before the accident the plaintiff was struggling with depression and anxiety, but was still functioning in her work and social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Much of the history provided by the plaintiff to Drs. O'Shaughnessy, Travlos and Vallance was inconsistent with the clinical records. Dr. Travlos remarked on the plaintiff's tendency to under-report her physical difficulties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As defence counsel noted in his written submissions, the clinical records contained in Exhibit 19 show Ms. Andrews made the following statements to her care providers before the October 10, 2009 motor vehicle accident:</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had been in a previous automobile accident in 1977 when she was broad-sided and suffered a neck injury;</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June 29, 2004, she cancelled an appointment with a dermatologist as a result of a car accident;</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November 14, 2005, she was involved in a motor vehicle accident where she was a passenger in a vehicle that was rear-ended. She reported right shoulder pain. Her physician diagnosed musculoligamentous sprain to the cervical spine and right shoulder.</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took stress leave from her employment in March 2006;</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July 4, 2006 she reported to Dr. Charles Campbell, a chiropractor, that her major complaints were fibromyalgia dating back to 1992 and lower back pain and numbness since a fall on July 1, 2006. Ms. Andrews also reported that she had previously suffered from dizziness, nausea, loss of sleep, depression and PTSD;</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November 24, 2006, Ms. Andrews reported extreme stress at work, and that she was seeing a counsellor. She denied being depressed, but was prescribed Effexor, an anti-depressant;</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December 2006, the plaintiff reported she was still depressed. At that time she was on Wellbutrin 100 mg per day.</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May 29, 2008, Ms. Andrews provided a history to Dr. Christine Chapman that included a long history of low back pain, neck pain and depression. She reported she was in a lot of pain, and was concerned that her symptoms at that time would lead her to be in a wheelchair. Despite her complaints, a neurological examination on that date was entirely normal.</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November 17, 2008, the plaintiff reported to Dr. Solomons that she had previously suffered from fibromyalgia and osteoarthritis and was currently on Wellbutrin, Ativan, Seroquel and Emtec 30 as needed. The plaintiff also reported that there had been times when she was so easily distracted by things around her that she had trouble concentrating or staying on track. The plaintiff told Dr. Solomons that she had been diagnosed with PTSD and had a previous history of childhood abuse, neglect and abandonment.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Immediately following the accident, Ms. Andrews reported to the emergency department at VGH that she had not suffered a head injury, was able to get out of the car without assistance, and reported no neck pain, no loss of consciousness, dizziness or vision change. She complained of pressure/ache in her chest and right shoulder, and chest pain. The plaintiff reported a previous history of neck arthritis and anxiety and that she was taking Wellbutrin and Seroquel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At trial, the plaintiff either denied or did not recall making many of the statements contained in the clinical records. She denied telling any of her care providers that she had been diagnosed for PTSD. When confronted with Dr. Solomons' record of December 4, 2008 that "Ms. Andrews says she has been diagnosed with post-traumatic stress disorder", the plaintiff denied telling him that. Her suggestion that she may have been discussing her mother's diagnosis is not plausible. She also suggested that her fibromyalgia was actually osteoarthritis. Dr. Travlos gave evidence that fibromyalgia is only diagnosed when a person has generalized pain in all four quadrants of her body, rather than pain confined to the neck. Again, the plaintiff's suggestion that physicians who treated her before the accident may have confused her complaints of the pain induced by her arthritis of the neck with fibromyalgia is implausible.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Ms. Andrews did not remember taking medication for depression or anxiety at the time of the accident, although the medical records showed that she had been prescribed Wellbutrin in varying doses, Ativan and Seroquel from 2007 onward.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Ms. Andrews also gave evidence that she had no recollection of the November 17, 2005 automobile accident, going to the doctor, or seeking treatment for that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When Ms. Andrews completed the Mood Disorder Clinic questionnaire for Dr. Solomons on November 17, 2008, she reported that she had received psychological treatment for mood disorders from Dr. Tracy Good and that those treatments started in 1997 and continued periodically. She was unable to explain why she had not also included Ms. Susan Rungstra, the psychologist she had been seeing since August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At Question 292 of her examination for discovery, when asked whether she or her dog had been attacked when out for a walk since the accident, the plaintiff answered that she did not think so. At trial, Ms. Andrews testified that at her discovery she did not remember that Dixie had been attacked by the two German Shepherds in May 2010. Ms. Andrews also gave evidence that she did not remember writing her e-mail on August 16, 2011 to Tony Grant, her occupational therapist, Dr. Jung, and her counsel, which contained a detailed account of the May 2010 attack and her subsequent and frightening encounter with the owner of the German Shepherds. Ms. Andrews testified that she had also forgotten about that incident at her examination for discovery. This was a traumatic event which the plaintiff regarded as sufficiently serious to report to the police. The plaintiff had been confronted by an aggressive woman who threatened to kill her dog and to do her harm.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Dr. Kay's findings regarding the plaintiff's superior memory are inconsistent with the plaintiff's professed inability to recall her encounters with the German Shepherds and their owner.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It is simply not consistent with the probabilities of the situation that the plaintiff would forget about two frightening encounters with the owner of the German Shepherds. I find that the plaintiff's evidence that she did not remember these incidents is not credible.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While I have rejected the plaintiff's evidence that she forgot about these significant traumatic events, I do accept that since the accident Ms. Andrews has from time to time experienced temporary disruptions of her concentration, or train of thought. Mr. Priolo has described his observations of the plaintiff losing track of a conversation in mid-sentence. During both her direct and cross-examination, there were occasions when the plaintiff asked counsel to remind her of the question put to her midway through her answer. In light of the results of Dr. Kay's neuropsychological testing, Dr. O'Shaughnessy's opinion of the impact of anxiety and depression on the plaintiff's functioning, and Dr. Vallance's opinion that any forgetfulness the plaintiff noticed was likely due to the distraction of pain, lack of sleep, the effects of medication, or her ongoing anxiety and depression, I find those temporary disruptions of the plaintiff's memory or ability to focus are more likely caused by her pain disorder, anxiety, depression and disrupted sleep, rather than by any permanent impairment of her cognitive 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Ms. Andrews was also cross-examined on various entries from the clinical records of Turning Point Rehabilitation Consultants Ltd. which suggested that she was improving between May 2010 and January 2011. On May 13, 2010, Turning Point noted that Ms. Andrews completed a resume and was working on a covering letter. The plaintiff denied that she ever sent these materials to prospective employers.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The entry in the Turning Point records for May 13, 2010 also recorded that the plaintiff was walking daily for about two to three hours with her dog. Ms. Andrews denied this and said she had only walked her dog for two to three hours prior to the October 10, 2009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Ms. Andrews also reported in May 2010 that she would continue to exercise (swim and bike) while away from Vancouver. The plaintiff denied telling anyone that she was swimming, said that she had not done so for the last three and a half years. She testified that she only started biking while working with her current kinesiologist. Ms. Andrews initially denied that she went on a holiday in May 2010 but later acknowledged that she may have been travelling to Arizona to meet Mr. Priolo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On December 3, 2010, Turning Point noted that the plaintiff had redone her resume and was applying for jobs, and that she was cleaning her own apartment at that time. Ms. Andrews testified that she did not recall these events and did not believe she had applied for any jobs at that time. She recalled feeling better in December 2010 but said that when she cleaned her own apartment, she was only cleaning two rooms.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The Turning Point note for January 21, 2011 recorded that the plaintiff's right back and hip pain were clearing up quite nicely. When asked in cross-examination whether her back and hip pain was clearing up "quite nicely" as of January 21, 2011, Ms. Andrews answered "Yes, I guess. That's what it says."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Ms. Andrews was unable to explain why her care providers would record information regarding her progress if it did not occur.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I have found that some portions of Ms. Andrews' testimony lack credibility. However, for the most part, the many discrepancies between the plaintiff's evidence regarding her medical history and the medical records raise issues of reliability rather than credibility. The plaintiff's underlying personality disorder, as described by Dr. O'Shaughnessy, leads her to perceive the motor vehicle accident as the sole source of her continuing complaints, to view her condition as more dire than it is, and to focus on the motor vehicle accident to the exclusion of her pre-accident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Drs. O'Shaughnessy and Travlos both testified that the plaintiff's perception of her condition is distorted. I find that the plaintiff's testimony regarding her prior medical history is unreliable, and where there are discrepancies between Ms. Andrews' evidence about her medical history prior to the motor vehicle accident and the medical records, I prefer the clinical record to the plaintiff's testimony.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Dr. O'Shaughnessy agreed that the event of May 2010, when the plaintiff and her dog were attacked by two off-leash German Shepherds, and the plaintiff's subsequent encounter with the abusive owner of the German Shepherds in August 2011, were events that traumatized the plaintiff. Ms. Andrews did not disclose either of these events, or tell Dr. O'Shaughnessy about witnessing a sexual assault in July 2012. Dr. O'Shaughnessy said that seeing the sexual assault would be distressing for anyone, but would have a greater impact on an emotionally vulnerable person such as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The plaintiff did not tell Dr. Travlos about her previous motor vehicle accidents or about past stress at work. She described herself as healthy before the motor vehicle accident. As Dr. Travlos observed, the plaintiff's subjective recollection did not correspond with the clinical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Drs. O'Shaughnessy and Travlos both recognized that Ms. Andrews had a more complex and difficult pre-accident medical history than she reported. Where there were discrepancies between the clinical records and the history Ms. Andrews provided to them, they relied on the clinical record. Accordingly, despite the fact that Ms. Andrews was not a reliable historian, the expert opinions of Drs. O'Shaughnessy and Travlos are still worthy of significant weight in determining the cause of the plaintiff's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Adverse Inference from Plaintiff's Failure to call Treating Physicians and Psychologists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xml:space="preserve">  The defendants invite the court to draw an adverse inference from the plaintiff's failure to call </w:t>
      </w:r>
      <w:r>
        <w:rPr>
          <w:rFonts w:ascii="arial" w:eastAsia="arial" w:hAnsi="arial" w:cs="arial"/>
          <w:color w:val="000000"/>
          <w:sz w:val="20"/>
          <w:u w:val="single"/>
          <w:lang w:val="en-US" w:eastAsia="en-US" w:bidi="ar-SA"/>
        </w:rPr>
        <w:t>any</w:t>
      </w:r>
      <w:r>
        <w:rPr>
          <w:rFonts w:ascii="arial" w:eastAsia="arial" w:hAnsi="arial" w:cs="arial"/>
          <w:color w:val="000000"/>
          <w:sz w:val="20"/>
          <w:lang w:val="en-US" w:eastAsia="en-US" w:bidi="ar-SA"/>
        </w:rPr>
        <w:t xml:space="preserve"> of the health care providers who treated her either before or after the accident. The defendants submit that the court should draw the inference that if the plaintiff's treating health care providers had been called their testimony would not have supported the plaintiff's evidence respecting the minimal impact of her pre-existing conditions and would not have supported the plaintiff's theory that all of her post-accident symptoms and functional impairments result from the motor vehicle accident. The defence submits there is a compelling case for drawing that inference when none of the persons most familiar with the plaintiff's pre-accident mental health were called, including the psychologists Tracy Good and Susan Rungstra, and the psychiatrist Dr. Solomons, and where the plaintiff also failed to call any of the psychologists who have treated the plaintiff since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xml:space="preserve">  Generally, an adverse interest cannot be fairly drawn except from the failure to call witnesses whose testimony would be superior to the evidence already adduced in respect of the fact to be proved: </w:t>
      </w:r>
      <w:r>
        <w:rPr>
          <w:rFonts w:ascii="arial" w:eastAsia="arial" w:hAnsi="arial" w:cs="arial"/>
          <w:i/>
          <w:color w:val="000000"/>
          <w:sz w:val="20"/>
          <w:lang w:val="en-US" w:eastAsia="en-US" w:bidi="ar-SA"/>
        </w:rPr>
        <w:t>Buksh v. Miles</w:t>
      </w:r>
      <w:r>
        <w:rPr>
          <w:rFonts w:ascii="arial" w:eastAsia="arial" w:hAnsi="arial" w:cs="arial"/>
          <w:color w:val="000000"/>
          <w:sz w:val="20"/>
          <w:lang w:val="en-US" w:eastAsia="en-US" w:bidi="ar-SA"/>
        </w:rPr>
        <w:t xml:space="preserve">, </w:t>
      </w:r>
      <w:hyperlink r:id="rId502" w:history="1">
        <w:r>
          <w:rPr>
            <w:rFonts w:ascii="arial" w:eastAsia="arial" w:hAnsi="arial" w:cs="arial"/>
            <w:i/>
            <w:color w:val="0077CC"/>
            <w:sz w:val="20"/>
            <w:u w:val="single"/>
            <w:shd w:val="clear" w:color="auto" w:fill="FFFFFF"/>
            <w:lang w:val="en-US" w:eastAsia="en-US" w:bidi="ar-SA"/>
          </w:rPr>
          <w:t>2008 BCCA 318</w:t>
        </w:r>
      </w:hyperlink>
      <w:r>
        <w:rPr>
          <w:rFonts w:ascii="arial" w:eastAsia="arial" w:hAnsi="arial" w:cs="arial"/>
          <w:color w:val="000000"/>
          <w:sz w:val="20"/>
          <w:lang w:val="en-US" w:eastAsia="en-US" w:bidi="ar-SA"/>
        </w:rPr>
        <w:t xml:space="preserve"> at para. 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Buksh</w:t>
      </w:r>
      <w:r>
        <w:rPr>
          <w:rFonts w:ascii="arial" w:eastAsia="arial" w:hAnsi="arial" w:cs="arial"/>
          <w:color w:val="000000"/>
          <w:sz w:val="20"/>
          <w:lang w:val="en-US" w:eastAsia="en-US" w:bidi="ar-SA"/>
        </w:rPr>
        <w:t xml:space="preserve"> at para. 35, the Court of Appeal identified the following factors for consideration on the question of whether the trier of fact can reasonably draw an inference that the witness not called by a party would have given evidence detrimental to that party's case:</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evidence before the court;</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explanations offered for not calling the witness;</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nature of the evidence that could be provided by the witness;</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extent of disclosure of the physicians' clinical notes; and</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circumstances of the trial, for example, an initial agreement to introduce clinical records that works contrary to the inference, or incorporation of the witness' views or observations in the report of a witness called by the other 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Willing v. Ayles</w:t>
      </w:r>
      <w:r>
        <w:rPr>
          <w:rFonts w:ascii="arial" w:eastAsia="arial" w:hAnsi="arial" w:cs="arial"/>
          <w:color w:val="000000"/>
          <w:sz w:val="20"/>
          <w:lang w:val="en-US" w:eastAsia="en-US" w:bidi="ar-SA"/>
        </w:rPr>
        <w:t xml:space="preserve">, </w:t>
      </w:r>
      <w:hyperlink r:id="rId503" w:history="1">
        <w:r>
          <w:rPr>
            <w:rFonts w:ascii="arial" w:eastAsia="arial" w:hAnsi="arial" w:cs="arial"/>
            <w:i/>
            <w:color w:val="0077CC"/>
            <w:sz w:val="20"/>
            <w:u w:val="single"/>
            <w:shd w:val="clear" w:color="auto" w:fill="FFFFFF"/>
            <w:lang w:val="en-US" w:eastAsia="en-US" w:bidi="ar-SA"/>
          </w:rPr>
          <w:t>2009 BCSC 1035</w:t>
        </w:r>
      </w:hyperlink>
      <w:r>
        <w:rPr>
          <w:rFonts w:ascii="arial" w:eastAsia="arial" w:hAnsi="arial" w:cs="arial"/>
          <w:color w:val="000000"/>
          <w:sz w:val="20"/>
          <w:lang w:val="en-US" w:eastAsia="en-US" w:bidi="ar-SA"/>
        </w:rPr>
        <w:t>, the plaintiff failed to call the general practitioner who had assessed her shortly after the collision and followed the progress of her recovery for the first year following the accident. The plaintiff relied on medical evidence from a family doctor who treated her approximately two years after the accident, and provided no explanation for the failure to call the physician who had first treated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Willing</w:t>
      </w:r>
      <w:r>
        <w:rPr>
          <w:rFonts w:ascii="arial" w:eastAsia="arial" w:hAnsi="arial" w:cs="arial"/>
          <w:color w:val="000000"/>
          <w:sz w:val="20"/>
          <w:lang w:val="en-US" w:eastAsia="en-US" w:bidi="ar-SA"/>
        </w:rPr>
        <w:t>, at para. 178, Mr. Justice Parrett drew an adverse inference that the evidence of the general practitioner who had initially treated the plaintiff would not have supported her claim of making a complete recovery from pre-existing conditions before the accident. Parrett J observed the absence of evidence from the general practitioner left the court without any evidence from her doctor concerning the extent of her recovery at the time of that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Here, the evidence before the Court includes the plaintiff's often unreliable history of largely subjective complaints, and the reports of specialists retained to examine the plaintiff for the purposes of this litigation. The experts who examined the plaintiff did so between one and three years following the motor vehicle accident. The Court has no expert evidence from any family physician who assessed the plaintiff either before or after the accident. The physiatrist, Dr. Travlos, did not see the plaintiff until three years after the accident. The only explanation offered by counsel for the plaintiff for the failure to call Dr. Zhang, or any general practitioner who has treated the plaintiff since the accident, is the assertion that general practitioners lack the expertise required to provide medical evidence in this case. I have already noted that evidence from Dr. Zhang would likely have aided the Court in understanding Ms. Andrews' psychological state before the accident. Dr. Zhang's clinical records were disclosed. Her notes of the plaintiff's history and her observations of Ms. Andrews' condition are discussed in the reports of Dr. Travlos and Dr. O'Shaughnessy. However the Court is left with no medical opinion on the progress of the plaintiff's recovery from her physical injuries until three years post-accident.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In addition to not calling any of the general practitioners who treated Ms. Andrews before the accident of October 10, 2009, the plaintiff has not called as witnesses any of the psychologists who might have provided evidence concerning the treatment and evolution of the plaintiff's pre-accident mental health, or the progress of her treatment following the accident. None of the clinical records of the plaintiff's pre-accident treating psychologists, Dr. Tracy Good and Ms. Susan Rungstra have been produced. Aside from advising the Court that Dr. Good had destroyed her notes, the plaintiff has provided no explanation for her failure to call any of her treating psychologists, or Dr. Solomons. The clinical notes of Dr. Chuck Jung, the psychologist who treated Ms. Andrews between June 2010 and April 2012 have been produced. Dr. Jung's notes provide a terse summary of what the plaintiff told him from time to time regarding her pain, anxiety and mood. However, while both Dr. Jung and Dr. MacKinnon were well positioned to provide assessments of the plaintiff's post-accident mental health and the progress of her treatment since the accident, the Court is left without the benefit of either of their opinions on Ms. Andrews' progress. In these circumstances, the requirements for drawing an adverse inference are met. The inference is that if the plaintiff had called her treating healthcare practitioners, their evidence would not have supported the attribution of all of her post-accident physical and psychological symptoms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xml:space="preserve">  The basic test for determining causation is the "but for" test. The plaintiff bears the burden of establishing that "but for" the negligent act or omission of the defendant, the injury would not have occurred: </w:t>
      </w:r>
      <w:r>
        <w:rPr>
          <w:rFonts w:ascii="arial" w:eastAsia="arial" w:hAnsi="arial" w:cs="arial"/>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504" w:history="1">
        <w:r>
          <w:rPr>
            <w:rFonts w:ascii="arial" w:eastAsia="arial" w:hAnsi="arial" w:cs="arial"/>
            <w:i/>
            <w:color w:val="0077CC"/>
            <w:sz w:val="20"/>
            <w:u w:val="single"/>
            <w:shd w:val="clear" w:color="auto" w:fill="FFFFFF"/>
            <w:lang w:val="en-US" w:eastAsia="en-US" w:bidi="ar-SA"/>
          </w:rPr>
          <w:t>[2007] 1 S.C.R. 333</w:t>
        </w:r>
      </w:hyperlink>
      <w:r>
        <w:rPr>
          <w:rFonts w:ascii="arial" w:eastAsia="arial" w:hAnsi="arial" w:cs="arial"/>
          <w:color w:val="000000"/>
          <w:sz w:val="20"/>
          <w:lang w:val="en-US" w:eastAsia="en-US" w:bidi="ar-SA"/>
        </w:rPr>
        <w:t xml:space="preserve"> at paras. 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xml:space="preserve">  As the Court observed in </w:t>
      </w:r>
      <w:r>
        <w:rPr>
          <w:rFonts w:ascii="arial" w:eastAsia="arial" w:hAnsi="arial" w:cs="arial"/>
          <w:i/>
          <w:color w:val="000000"/>
          <w:sz w:val="20"/>
          <w:lang w:val="en-US" w:eastAsia="en-US" w:bidi="ar-SA"/>
        </w:rPr>
        <w:t>Resurfice</w:t>
      </w:r>
      <w:r>
        <w:rPr>
          <w:rFonts w:ascii="arial" w:eastAsia="arial" w:hAnsi="arial" w:cs="arial"/>
          <w:color w:val="000000"/>
          <w:sz w:val="20"/>
          <w:lang w:val="en-US" w:eastAsia="en-US" w:bidi="ar-SA"/>
        </w:rPr>
        <w:t xml:space="preserve"> at para. 23: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[23] The "but for" test recognizes that compensation for negligent conduct should only be made "where a substantial connection between the injury and the defendant's conduct" is present. It ensures that a defendant will not be held liable for the plaintiff's injuries where they "may very well be due to factors unconnected to the defendant and not the fault of anyone": </w:t>
      </w:r>
      <w:r>
        <w:rPr>
          <w:rFonts w:ascii="arial" w:eastAsia="arial" w:hAnsi="arial" w:cs="arial"/>
          <w:i/>
          <w:color w:val="000000"/>
          <w:sz w:val="20"/>
          <w:lang w:val="en-US" w:eastAsia="en-US" w:bidi="ar-SA"/>
        </w:rPr>
        <w:t>Snell v. Farrell</w:t>
      </w:r>
      <w:r>
        <w:rPr>
          <w:rFonts w:ascii="arial" w:eastAsia="arial" w:hAnsi="arial" w:cs="arial"/>
          <w:color w:val="000000"/>
          <w:sz w:val="20"/>
          <w:lang w:val="en-US" w:eastAsia="en-US" w:bidi="ar-SA"/>
        </w:rPr>
        <w:t>, at p. 327, per Sopinka 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xml:space="preserve">  The "but for" test must be proved on a balance of probabilities, rather than with scientific precision: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505"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at paras. 13, 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xml:space="preserve">  It is not necessary for the plaintiff to establish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the sole cause of the injury. As long as the defendant is part of the cause of the injury, the defendant is liable, even if his or her act alone was not enough to create the injury: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at para. 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xml:space="preserve">  Causation must be established on a balance of probabilities before damages are assessed. As McLachlin, C.J.C. stated in </w:t>
      </w:r>
      <w:r>
        <w:rPr>
          <w:rFonts w:ascii="arial" w:eastAsia="arial" w:hAnsi="arial" w:cs="arial"/>
          <w:i/>
          <w:color w:val="000000"/>
          <w:sz w:val="20"/>
          <w:lang w:val="en-US" w:eastAsia="en-US" w:bidi="ar-SA"/>
        </w:rPr>
        <w:t>Blackwater v. Plint</w:t>
      </w:r>
      <w:r>
        <w:rPr>
          <w:rFonts w:ascii="arial" w:eastAsia="arial" w:hAnsi="arial" w:cs="arial"/>
          <w:color w:val="000000"/>
          <w:sz w:val="20"/>
          <w:lang w:val="en-US" w:eastAsia="en-US" w:bidi="ar-SA"/>
        </w:rPr>
        <w:t xml:space="preserve">, </w:t>
      </w:r>
      <w:hyperlink r:id="rId506" w:history="1">
        <w:r>
          <w:rPr>
            <w:rFonts w:ascii="arial" w:eastAsia="arial" w:hAnsi="arial" w:cs="arial"/>
            <w:i/>
            <w:color w:val="0077CC"/>
            <w:sz w:val="20"/>
            <w:u w:val="single"/>
            <w:shd w:val="clear" w:color="auto" w:fill="FFFFFF"/>
            <w:lang w:val="en-US" w:eastAsia="en-US" w:bidi="ar-SA"/>
          </w:rPr>
          <w:t>2005 SCC 58</w:t>
        </w:r>
      </w:hyperlink>
      <w:r>
        <w:rPr>
          <w:rFonts w:ascii="arial" w:eastAsia="arial" w:hAnsi="arial" w:cs="arial"/>
          <w:color w:val="000000"/>
          <w:sz w:val="20"/>
          <w:lang w:val="en-US" w:eastAsia="en-US" w:bidi="ar-SA"/>
        </w:rPr>
        <w:t xml:space="preserve"> at para. 78: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important to distinguish between causation as the source of the loss and the rules of damage assessment in tort. The rules of causation consider generally whether "but for" the defendant's acts, the plaintiff's damages would have been incurred on a balance of probabilities. Even though there may be several tortious and non-tortious causes of injury, so long as the defendant's act is a cause of the plaintiff's damage, the defendant is fully liable for that damage. The rules of damages then consider what the original position of the plaintiff would have been. The governing principle is that the defendant need not put the plaintiff in a better position than his original position and should not compensate the plaintiff for any damages he would have suffered anyway: </w:t>
      </w:r>
      <w:r>
        <w:rPr>
          <w:rFonts w:ascii="arial" w:eastAsia="arial" w:hAnsi="arial" w:cs="arial"/>
          <w:i/>
          <w:color w:val="000000"/>
          <w:sz w:val="20"/>
          <w:lang w:val="en-US" w:eastAsia="en-US" w:bidi="ar-SA"/>
        </w:rPr>
        <w:t xml:space="preserve"> Athey</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xml:space="preserve">  The most basic principle of tort law is that the plaintiff must be placed in the position he or she would have been if not for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no better or worse. Tortfeasors must take their victims as they find them, even if the plaintiff's injuries are more severe than they would be for a normal person (the thin skull rule). However, the defendant need not compensate the plaintiff for any debilitating effects of a pre-existing condition which the plaintiff would have experienced anyway (the crumbling skull rule):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at paras. 32-35.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xml:space="preserve">  At para. 23, the Court in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explained that apportionment between tortious and non-tortious causes is contrary to the principles of tort law because the defendant would escape full liability even though he or she caused or contributed to the plaintiff's entire injuries. The plaintiff would not be adequately compensated because he or she would not be placed in the same position that he or she would have been in absent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Court held that where there is a single indivisible injury, any defendant found to have negligently caused or contributed to the injury will be fully liable for it: at para. 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xml:space="preserve">  However, where the injuries are distinct and divisible, separation is permitted, in recognition of the principle that a defendant is only liable for the injury that he or she has caused. In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at para. 24, the court held: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respondents are correct that separation is also permitted where some of the injuries have tortious causes and some of the injuries have non-tortious causes: </w:t>
      </w:r>
      <w:r>
        <w:rPr>
          <w:rFonts w:ascii="arial" w:eastAsia="arial" w:hAnsi="arial" w:cs="arial"/>
          <w:i/>
          <w:color w:val="000000"/>
          <w:sz w:val="20"/>
          <w:lang w:val="en-US" w:eastAsia="en-US" w:bidi="ar-SA"/>
        </w:rPr>
        <w:t>Fleming</w:t>
      </w: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 xml:space="preserve"> supra</w:t>
      </w:r>
      <w:r>
        <w:rPr>
          <w:rFonts w:ascii="arial" w:eastAsia="arial" w:hAnsi="arial" w:cs="arial"/>
          <w:color w:val="000000"/>
          <w:sz w:val="20"/>
          <w:lang w:val="en-US" w:eastAsia="en-US" w:bidi="ar-SA"/>
        </w:rPr>
        <w:t xml:space="preserve">, at p. 202. Again, such cases merely recognize that the defendant is not liable for injuries which were not caused by his or her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xml:space="preserve">  In determining causation, I also bear in mind that caution is required before drawing any inference that because one event follows another in time, the first event is the cause of the second: </w:t>
      </w:r>
      <w:r>
        <w:rPr>
          <w:rFonts w:ascii="arial" w:eastAsia="arial" w:hAnsi="arial" w:cs="arial"/>
          <w:i/>
          <w:color w:val="000000"/>
          <w:sz w:val="20"/>
          <w:lang w:val="en-US" w:eastAsia="en-US" w:bidi="ar-SA"/>
        </w:rPr>
        <w:t>White v. Stonestreet</w:t>
      </w:r>
      <w:r>
        <w:rPr>
          <w:rFonts w:ascii="arial" w:eastAsia="arial" w:hAnsi="arial" w:cs="arial"/>
          <w:color w:val="000000"/>
          <w:sz w:val="20"/>
          <w:lang w:val="en-US" w:eastAsia="en-US" w:bidi="ar-SA"/>
        </w:rPr>
        <w:t xml:space="preserve">, </w:t>
      </w:r>
      <w:hyperlink r:id="rId507" w:history="1">
        <w:r>
          <w:rPr>
            <w:rFonts w:ascii="arial" w:eastAsia="arial" w:hAnsi="arial" w:cs="arial"/>
            <w:i/>
            <w:color w:val="0077CC"/>
            <w:sz w:val="20"/>
            <w:u w:val="single"/>
            <w:shd w:val="clear" w:color="auto" w:fill="FFFFFF"/>
            <w:lang w:val="en-US" w:eastAsia="en-US" w:bidi="ar-SA"/>
          </w:rPr>
          <w:t>2006 BCSC 801</w:t>
        </w:r>
      </w:hyperlink>
      <w:r>
        <w:rPr>
          <w:rFonts w:ascii="arial" w:eastAsia="arial" w:hAnsi="arial" w:cs="arial"/>
          <w:color w:val="000000"/>
          <w:sz w:val="20"/>
          <w:lang w:val="en-US" w:eastAsia="en-US" w:bidi="ar-SA"/>
        </w:rPr>
        <w:t xml:space="preserve"> at paras. 70-74.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With respect to physical injuries, the parties agree that the plaintiff suffered two small fractures to her sternum as a result of the accident. In addition, I accept Dr. Travlos' opinion and find that Ms. Andrews suffered an exacerbation of the pain in her neck and pain and numbness in her right arm associated with her pre-existing degenerative arthritis of the neck. As a result of the accident, the plaintiff also suffered soft tissue injuries to her right shoulder, upper back, low back and right hip. Ms. Andrews had a history of right shoulder, low back and right hip pain. The accident exacerbated those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Dr. Travlos reported in October 2012 that the plaintiff's chest fractures had healed. I find that Ms. Andrews had substantially recovered from that injury by February 2010, the end of its acute phase.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Ms. Andrews acknowledged that by January 21, 2011, some 15 months after the accident, her right back and right hip pain were clearing up "quite nicely". At trial, the plaintiff said that her right hip troubled her intermittently but she was learning to manage it. Ms. Andrews gave evidence that she continued to experience neck pain, shoulder pain, upper and lower back pain and pain in her right hip but estimated that she had made a 75% recovery from the accident. Her complaint of right arm numbness had returned to its pre-accident level.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Taking into account the plaintiff's heightened perception of impairment, and her tendency to downplay her pre-accident symptoms, I find that by late January 2011, Ms. Andrews had substantially recovered from the physical injuries caused by the motor vehicle accident, and that by the time of trial, with respect to her physical injuries, she had returned to her original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Prior to the accident, the plaintiff experienced fluctuating levels of anxiety and depression triggered by stress that was often related to difficulties in her relationships. She had a tendency to catastrophize, and her perception of events were coloured by her underlying personality trait difficulties relating to her self-esteem, self-image and mood regulation. As Dr. O'Shaughnessy observed, the plaintiff sees the world differently than others would objectively view it. Her pre-existing anxiety disorder and dysthymia rendered her vulnerable to traumatic events. The motor vehicle accident of October 10, 2009 was such an event. At the time, the plaintiff perceived the accident as life-threatening.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Despite her vulnerability, before the accident, the plaintiff was able to function socially, and coped, albeit with some difficulty, with the demands of her work until her contract with Health Canada came to an end on September 26, 2009. Her decision to terminate her services at Port Hardy was a source of anxiety, but she was still functioning. Her relationship with Mr. Priolo was positive, and she was exploring options for continuing her career as a counsellor to First Nations clients. Drs. O'Shaughnessy and Vallance agree that her depression and anxiety disorders were much worse after than before the accident. The plaintiff suffered more catastrophic thoughts and mood disruptions. After the accident, Ms. Andrews became dysfunctional. While she was able to cope with the demands and stresses of her work as a counsellor to residential school survivors before the accident, she was unable to maintain the emotional boundaries essential for that work after the accident. After the accident she was disinterested in caring for herself, and had difficulty with her social functioning. She confined her social contacts to Mr. Priolo, and an old friend, Ian Liang, who visited her once a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Dr. Vallance thought that Ms. Andrews had already begun her downward spiral into dysfunction by September 1, 2009 when she reported to Dr. Zhang that she was "losing her mind". However, in cross-examination, he acknowledged that there was nothing he could identify to show that the escalation of the plaintiff's depression and anxiety in the weeks before the accident was any different from her longstanding pattern of waxing and waning depression and anxiety.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All of the experts agreed that Ms. Andrews' pre-existing mood and anxiety disorders made her more vulnerable to decompensation, and that the accident, as a traumatic event, would have exacerbated the plaintiff's pre-existing psychological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xml:space="preserve">  I find that but for the motor vehicle accident, Ms. Andrews would not, on a balance of probabilities, have suffered the serious exacerbation of her anxiety disorder and dysthymia that she experienced in the fall of 2009. The plaintiff has met the test of establishing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a "cause in fact" of the exacerbation of the plaintiff's anxiety and mood disorders and of the onset of her pain disorder: </w:t>
      </w:r>
      <w:r>
        <w:rPr>
          <w:rFonts w:ascii="arial" w:eastAsia="arial" w:hAnsi="arial" w:cs="arial"/>
          <w:i/>
          <w:color w:val="000000"/>
          <w:sz w:val="20"/>
          <w:lang w:val="en-US" w:eastAsia="en-US" w:bidi="ar-SA"/>
        </w:rPr>
        <w:t>Yoshikawa v. Yu</w:t>
      </w:r>
      <w:r>
        <w:rPr>
          <w:rFonts w:ascii="arial" w:eastAsia="arial" w:hAnsi="arial" w:cs="arial"/>
          <w:color w:val="000000"/>
          <w:sz w:val="20"/>
          <w:lang w:val="en-US" w:eastAsia="en-US" w:bidi="ar-SA"/>
        </w:rPr>
        <w:t xml:space="preserve"> </w:t>
      </w:r>
      <w:hyperlink r:id="rId508" w:history="1">
        <w:r>
          <w:rPr>
            <w:rFonts w:ascii="arial" w:eastAsia="arial" w:hAnsi="arial" w:cs="arial"/>
            <w:i/>
            <w:color w:val="0077CC"/>
            <w:sz w:val="20"/>
            <w:u w:val="single"/>
            <w:shd w:val="clear" w:color="auto" w:fill="FFFFFF"/>
            <w:lang w:val="en-US" w:eastAsia="en-US" w:bidi="ar-SA"/>
          </w:rPr>
          <w:t>(1996), 21 B.C.L.R. (3d) 318</w:t>
        </w:r>
      </w:hyperlink>
      <w:r>
        <w:rPr>
          <w:rFonts w:ascii="arial" w:eastAsia="arial" w:hAnsi="arial" w:cs="arial"/>
          <w:color w:val="000000"/>
          <w:sz w:val="20"/>
          <w:lang w:val="en-US" w:eastAsia="en-US" w:bidi="ar-SA"/>
        </w:rPr>
        <w:t xml:space="preserve"> at para. 15 (C.A.). I am also satisfied that the motor vehicle accident was a proximate cause of those psychological injuries. Referring to the factors discussed in </w:t>
      </w:r>
      <w:r>
        <w:rPr>
          <w:rFonts w:ascii="arial" w:eastAsia="arial" w:hAnsi="arial" w:cs="arial"/>
          <w:i/>
          <w:color w:val="000000"/>
          <w:sz w:val="20"/>
          <w:lang w:val="en-US" w:eastAsia="en-US" w:bidi="ar-SA"/>
        </w:rPr>
        <w:t>Yoshikawa</w:t>
      </w:r>
      <w:r>
        <w:rPr>
          <w:rFonts w:ascii="arial" w:eastAsia="arial" w:hAnsi="arial" w:cs="arial"/>
          <w:color w:val="000000"/>
          <w:sz w:val="20"/>
          <w:lang w:val="en-US" w:eastAsia="en-US" w:bidi="ar-SA"/>
        </w:rPr>
        <w:t xml:space="preserve"> at para. 12, sub-paras. 3, 4, 5 and 6, this is not a case where Ms. Andrews could be expected to overcome her psychological problem through "will power" or where the psychological problems continue because the plaintiff "does not wish them to end". I accept the plaintiff's testimony that she wants to return to her pre-accident level of functioning. Ms. Andrews has previously demonstrated resilience and determination in overcoming years of alcohol abuse. Dr. O'Shaughnessy, whose opinion I accept on this point, has emphasized that the plaintiff requires both psychotherapy and medication in order to manage her anxiety, depression and pain disorder and to assist her in improving her functioning. Although I have found some portions of Ms. Andrews' testimony are not credible, on the whole of the evidence I am satisfied that the plaintiff suffered an exacerbation of her anxiety and depression; that the onset of the pain disorder was caused by the accident; and that the plaintiff's psychological problems do not arise from a desire on her part for care, sympathy or compensation.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Ms. Andrews had complained of pain prior to the motor vehicle accident. However, she had not previously developed the heightened perception of impairment that she experienced following the accident, nor had her sense of pain rendered her dysfunctional. I find that there is a substantial connection between the motor vehicle accident and the plaintiff's pain disorder and that but for the motor vehicle accident, Ms. Andrews would not have experienced the onset of her pain disorder when she did. As a result of the motor vehicle accident, the plaintiff's anxiety disorder interacted with her pain causing the pain disorder which has left her with an elevated perception of impairment that was not present before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However, I am not satisfied that the accident caused all of the plaintiff's ongoing psychological symptoms. Both Dr. O'Shaughnessy and Dr. Travlos viewed the plaintiff's reduced level of functioning after the motor vehicle accident as involving a complex interaction between her pre-accident physical and mental health problems and the effects of the accident. The plaintiff's pre-existing personality disorder and her anxiety and mood disorders continue to affect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Given the longstanding pre-existing pattern of waxing and waning depression and anxiety, I find that it is likely that even in the absence of the accident, Ms. Andrews would have suffered recurrent bouts of elevated depression or anxiety.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I also find that each of the events of May 2010, when Ms. Andrews and her dog were attacked by the two German Shepherds; August 2011, when Ms. Andrews had a frightening encounter with the owner of those dogs; and July 2012, when Ms. Andrews witnessed a sexual assault, were traumatic incidents which have contributed to the plaintiff's ongoing anxiety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Doing the best that I can with all of the available evidence, I find that 50% of the plaintiff's present symptoms are attributable to the accident, 40% are attributable to the plaintiff's pre-existing mood and anxiety disorders and 10% to subsequent intervening events which include the plaintiff's two frightening encounters with the German Shepherds and their owner, and her witnessing of the sexual assault.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MITIGATION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The defendants submit that Ms. Andrews' damages should be reduced for failing to mitigate. Specifically, the defendants contend that the plaintiff acted unreasonably by not attending for psychological counselling before June, 2010, and by failing to follow the recommendations of medical professionals that she make efforts to sleep at regular times. In addition, the defendants argue that although the plaintiff initially complied with the recommendations of her treating professionals, between May 2010 and mid-2012 she frequently missed or cancelled therapies, was at times uncooperative with her therapists and failed to follow recommended exercise regimes. Later in 2012, Ms. Andrews attended regularly, consistently cooperated with her therapists and reported some improvement in her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Chiu v. Chiu</w:t>
      </w:r>
      <w:r>
        <w:rPr>
          <w:rFonts w:ascii="arial" w:eastAsia="arial" w:hAnsi="arial" w:cs="arial"/>
          <w:color w:val="000000"/>
          <w:sz w:val="20"/>
          <w:lang w:val="en-US" w:eastAsia="en-US" w:bidi="ar-SA"/>
        </w:rPr>
        <w:t xml:space="preserve">, </w:t>
      </w:r>
      <w:hyperlink r:id="rId509" w:history="1">
        <w:r>
          <w:rPr>
            <w:rFonts w:ascii="arial" w:eastAsia="arial" w:hAnsi="arial" w:cs="arial"/>
            <w:i/>
            <w:color w:val="0077CC"/>
            <w:sz w:val="20"/>
            <w:u w:val="single"/>
            <w:shd w:val="clear" w:color="auto" w:fill="FFFFFF"/>
            <w:lang w:val="en-US" w:eastAsia="en-US" w:bidi="ar-SA"/>
          </w:rPr>
          <w:t>2002 BCCA 618</w:t>
        </w:r>
      </w:hyperlink>
      <w:r>
        <w:rPr>
          <w:rFonts w:ascii="arial" w:eastAsia="arial" w:hAnsi="arial" w:cs="arial"/>
          <w:color w:val="000000"/>
          <w:sz w:val="20"/>
          <w:lang w:val="en-US" w:eastAsia="en-US" w:bidi="ar-SA"/>
        </w:rPr>
        <w:t xml:space="preserve"> at para. 57, Low J.A.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onus is on the defendant to prove that the plaintiff could have avoided all or a portion of his loss. In a personal injury case in which the plaintiff has not pursued a course of medical treatment recommended to him by doctors, the defendant must prove two things: (1) that the plaintiff acted unreasonably in eschewing the recommended treatment, and (2) the extent, if any, to which the plaintiff's damages would have been reduced had he acted reasonably. These principles are found in </w:t>
      </w:r>
      <w:r>
        <w:rPr>
          <w:rFonts w:ascii="arial" w:eastAsia="arial" w:hAnsi="arial" w:cs="arial"/>
          <w:i/>
          <w:color w:val="000000"/>
          <w:sz w:val="20"/>
          <w:lang w:val="en-US" w:eastAsia="en-US" w:bidi="ar-SA"/>
        </w:rPr>
        <w:t>Janiak v. Ippolito</w:t>
      </w:r>
      <w:r>
        <w:rPr>
          <w:rFonts w:ascii="arial" w:eastAsia="arial" w:hAnsi="arial" w:cs="arial"/>
          <w:color w:val="000000"/>
          <w:sz w:val="20"/>
          <w:lang w:val="en-US" w:eastAsia="en-US" w:bidi="ar-SA"/>
        </w:rPr>
        <w:t xml:space="preserve">, </w:t>
      </w:r>
      <w:hyperlink r:id="rId510" w:history="1">
        <w:r>
          <w:rPr>
            <w:rFonts w:ascii="arial" w:eastAsia="arial" w:hAnsi="arial" w:cs="arial"/>
            <w:i/>
            <w:color w:val="0077CC"/>
            <w:sz w:val="20"/>
            <w:u w:val="single"/>
            <w:shd w:val="clear" w:color="auto" w:fill="FFFFFF"/>
            <w:lang w:val="en-US" w:eastAsia="en-US" w:bidi="ar-SA"/>
          </w:rPr>
          <w:t>[1985] 1 S.C.R. 146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All of the medical experts agree that the treatment of Ms. Andrews' psychological conditions is the key to her recovery. The defendants point out that Ms. Andrews did not begin to receive psychological counselling until June 2010. Ms. Andrews was referred, through Turning Point, to Dr. Jung. Her evidence, which was not contradicted cross-examination, was that she had asked to see Susan Rungstra, but was told that she should see a psychologist who specialized in motor vehicle trauma. She went to see Dr. Jung in June 2010 when arrangements were made for her to do so. I find there was no delay on the plaintiff's part in obtaining psychological counselling.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Between June 25, 2010, when Ms. Andrews had her first appointment with Chuck Jung Associates and July 5, 2012, the plaintiff had 53 scheduled appointments with Dr. Jung or his associates. She cancelled or failed to attend only two of those appointments. Ms. Andrews began to see Dr. MacKinnon in July 2012 and continued to receive therapy from her to the time of trial. During that time, Ms. Andrews occasionally missed appointments, had no appointments in August 2012, but otherwise attended for psychological counselling between three and four times per month. The defendants, who bear the onus of proof, have not shown that the plaintiff unreasonably refused or declined recommended treatment for her psychological condition, or that the few appointments that she did miss delayed her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The plaintiff has not followed the recommendations of her care providers and Dr. Travlos that she establish regular hours of sleep. At p. 15 of his report, Dr. Travlos stated that Ms. Andrews "has to stop sleeping in the day at all costs". He thought it was essential for the plaintiff establish a regular sleep pattern in order to reduce her fatigue and improve her functioning. The plaintiff has not shown that her psychological condition has prevented her from following the recommendations of all of her care providers, and Dr. Travlos that she establish a regular sleep pattern.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There were periods of time between June 2010 and mid-2012 when the plaintiff, with some frequency, either cancelled or failed to attend for her physical and occupational therapy appointments. Ms. Andrews has reported some improvement since mid-2012 when she resumed regular attendance for her therapies. I find that Ms. Andrews' failure follow her care providers' recommendations concerning sleep and her failure to attend for scheduled therapies other than psychotherapy has delayed her recovery. I find that had the plaintiff followed these recommendations, there would have been some earlier improvement in the plaintiff's functioning. In this case, a reduction of 10% in the award of non-pecuniary damages for the plaintiff's failure to mitigate is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Non-Pecuniary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In the previous section of these reasons I have set out my findings concerning the physical and psychological injuries suffered by the plaintiff as a result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With respect to her social life since the accident, the plaintiff continues to see Ian Laing, an old friend and former co-worker, once or twice a week but has lost touch with many of her friends. She no longer entertains, describes her house as a mess, and says she avoids other people in order to reduce the likelihood of getting into arguments with them. Aside from attempting golf a couple of times with Mr. Priolo, she has not played any sports. She no longer has any interest in arts and crafts, and no longer makes jewellery or sketches. When Mr. Priolo is not in Vancouver, she spends most of her time alone.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Ms. Andrews testified that there has been some improvement in her psychological condition. Her irrational fears of death have diminished somewhat, although she continues to experience fear of her family or Mr. Priolo dying. The plaintiff complains of a loss of emotional boundaries, panic attacks, and outbursts of anger directed at persons she encounters on the street or in stores. The plaintiff testified that she dislikes being touched, and no longer has intimate relations with Mr. Priolo. She still loses her train of thought from time to time, which is a source of frustration and anger.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With respect to recreational activities, before the motor vehicle accident, Mr. Priolo said Ms. Andrews enjoyed long walks, travel, movies, hiking, cooking, running and playing golf. The plaintiff and Mr. Priolo dined out frequently, worked out at the gym together and competed with each other in completing crossword puzzles.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Mr. Priolo testified that they no longer dine out as often, they rent movies and go for shorter walks. The plaintiff avoids crowds and no longer enjoys attending sporting events. She has not completed a full game of golf since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Mr. Priolo described the plaintiff before the accident as loving and intelligent, a person with a lot of patience and someone who was very confident in her abilities and enjoyed her work. Since the accident, she loses her train of thought, gets frustrated, has become withdrawn, and on occasion curses at people on the street or in stores. Her personal hygiene has suffered and where she formerly kept a tidy apartment, she no longer does so. She continues to suffer from nightmares.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Mr. Priolo says that since the accident the plaintiff has been a very nervous and anxious driver, although this has improved with the passage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Overall, my impression was that Mr. Priolo was a forthright witness; he did not exaggerate the plaintiff's injuries, or her pre-accident abilities, attributes and personality. However, Ms. Andrews appears to have kept to herself her pre-accident bouts of depression and any treatment she was receiving for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Mr. Ian Laing is a 58-year-old restaurant employee who has known the plaintiff since 1985, when she was working as a waitress. They became good friends, went for walks together, and to the movies and restaurants. Mr. Laing continues to see the plaintiff about once or twice a week when he visits her at her home. He testified that before the motor vehicle accident, Ms. Andrews' home was neat, clean and well organized, and now is cluttered. He described the plaintiff as energetic and upbeat before the collision. Since the accident, Mr. Laing has observed changes in the plaintiff. She is lethargic, rather than active, cries for no apparent reason, has sudden changes in mood, has become short-tempered, swears a lot, is impatient, and no longer pays much attention to her grooming. Mr. Laing also described the plaintiff losing her train of thought in mid conversation. When they walk, it is only to take the dog out. They no longer attend movies, or play board games.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Ms. Doreen Antifaev has known the plaintiff since she was first a student at Langara College, and later, a First Nations student counsellor at Vancouver Community College. Ms. Antifaev described the plaintiff before the motor vehicle accident as friendly, outgoing, always ready to help others, and someone with a great sense of humour. She has seen the plaintiff since the motor vehicle accident about once every four months. Ms. Antifaev testified that the plaintiff cries frequently, lacks concentration, is angry much of the time, does not seem to care much about her appearance, and does not want to be around people very much. She has not observed any improvement in the plaintiff since the accident. I found Ms. Antifaev to be a forthright and disinterested witness who presented her evidence without embellishment.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xml:space="preserve">  Non-pecuniary damages are awarded to compensate the plaintiff for pain, suffering, loss of enjoyment of life, and loss of amenities. The compensation awarded should be fair to all parties, and fairness is measured against awards made in comparable cases. Such cases, though helpful, serve only as a rough guide. Each case depends on its own unique facts: </w:t>
      </w:r>
      <w:r>
        <w:rPr>
          <w:rFonts w:ascii="arial" w:eastAsia="arial" w:hAnsi="arial" w:cs="arial"/>
          <w:i/>
          <w:color w:val="000000"/>
          <w:sz w:val="20"/>
          <w:lang w:val="en-US" w:eastAsia="en-US" w:bidi="ar-SA"/>
        </w:rPr>
        <w:t>Trites v. Penner</w:t>
      </w:r>
      <w:r>
        <w:rPr>
          <w:rFonts w:ascii="arial" w:eastAsia="arial" w:hAnsi="arial" w:cs="arial"/>
          <w:color w:val="000000"/>
          <w:sz w:val="20"/>
          <w:lang w:val="en-US" w:eastAsia="en-US" w:bidi="ar-SA"/>
        </w:rPr>
        <w:t xml:space="preserve">, </w:t>
      </w:r>
      <w:hyperlink r:id="rId511" w:history="1">
        <w:r>
          <w:rPr>
            <w:rFonts w:ascii="arial" w:eastAsia="arial" w:hAnsi="arial" w:cs="arial"/>
            <w:i/>
            <w:color w:val="0077CC"/>
            <w:sz w:val="20"/>
            <w:u w:val="single"/>
            <w:shd w:val="clear" w:color="auto" w:fill="FFFFFF"/>
            <w:lang w:val="en-US" w:eastAsia="en-US" w:bidi="ar-SA"/>
          </w:rPr>
          <w:t>2010 BCSC 882</w:t>
        </w:r>
      </w:hyperlink>
      <w:r>
        <w:rPr>
          <w:rFonts w:ascii="arial" w:eastAsia="arial" w:hAnsi="arial" w:cs="arial"/>
          <w:color w:val="000000"/>
          <w:sz w:val="20"/>
          <w:lang w:val="en-US" w:eastAsia="en-US" w:bidi="ar-SA"/>
        </w:rPr>
        <w:t xml:space="preserve"> at paras. 188-189.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512"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at para. 46, the Court of Appeal identified a non-exhaustive list of the factors to be considered when assessing non-pecuniary damages. They include the age of the plaintiff; the nature of the injury; severity and duration of the pain; disability; emotional suffering; loss or impairment of life; impairment of family, marital and social relationships; impairment of physical and mental abilities; and loss of lifestyle. Generally, stoicism should not penalize a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xml:space="preserve">  The assessment of non-pecuniary damages is necessarily influenced by the individual plaintiff's personal experiences in dealing with her injuries and their consequences, and the plaintiff's ability to articulate that experience: </w:t>
      </w:r>
      <w:r>
        <w:rPr>
          <w:rFonts w:ascii="arial" w:eastAsia="arial" w:hAnsi="arial" w:cs="arial"/>
          <w:i/>
          <w:color w:val="000000"/>
          <w:sz w:val="20"/>
          <w:lang w:val="en-US" w:eastAsia="en-US" w:bidi="ar-SA"/>
        </w:rPr>
        <w:t>Dilello v. Montgomery</w:t>
      </w:r>
      <w:r>
        <w:rPr>
          <w:rFonts w:ascii="arial" w:eastAsia="arial" w:hAnsi="arial" w:cs="arial"/>
          <w:color w:val="000000"/>
          <w:sz w:val="20"/>
          <w:lang w:val="en-US" w:eastAsia="en-US" w:bidi="ar-SA"/>
        </w:rPr>
        <w:t xml:space="preserve">, </w:t>
      </w:r>
      <w:hyperlink r:id="rId513" w:history="1">
        <w:r>
          <w:rPr>
            <w:rFonts w:ascii="arial" w:eastAsia="arial" w:hAnsi="arial" w:cs="arial"/>
            <w:i/>
            <w:color w:val="0077CC"/>
            <w:sz w:val="20"/>
            <w:u w:val="single"/>
            <w:shd w:val="clear" w:color="auto" w:fill="FFFFFF"/>
            <w:lang w:val="en-US" w:eastAsia="en-US" w:bidi="ar-SA"/>
          </w:rPr>
          <w:t>2005 BCCA 56</w:t>
        </w:r>
      </w:hyperlink>
      <w:r>
        <w:rPr>
          <w:rFonts w:ascii="arial" w:eastAsia="arial" w:hAnsi="arial" w:cs="arial"/>
          <w:color w:val="000000"/>
          <w:sz w:val="20"/>
          <w:lang w:val="en-US" w:eastAsia="en-US" w:bidi="ar-SA"/>
        </w:rPr>
        <w:t xml:space="preserve"> at para. 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xml:space="preserve">  The correct approach to assessing injuries which depend on subjective reports of pain, and which have persisted beyond the normal period for recovery was discussed in </w:t>
      </w:r>
      <w:r>
        <w:rPr>
          <w:rFonts w:ascii="arial" w:eastAsia="arial" w:hAnsi="arial" w:cs="arial"/>
          <w:i/>
          <w:color w:val="000000"/>
          <w:sz w:val="20"/>
          <w:lang w:val="en-US" w:eastAsia="en-US" w:bidi="ar-SA"/>
        </w:rPr>
        <w:t>Price v. Kostryba</w:t>
      </w:r>
      <w:r>
        <w:rPr>
          <w:rFonts w:ascii="arial" w:eastAsia="arial" w:hAnsi="arial" w:cs="arial"/>
          <w:color w:val="000000"/>
          <w:sz w:val="20"/>
          <w:lang w:val="en-US" w:eastAsia="en-US" w:bidi="ar-SA"/>
        </w:rPr>
        <w:t xml:space="preserve"> </w:t>
      </w:r>
      <w:hyperlink r:id="rId514" w:history="1">
        <w:r>
          <w:rPr>
            <w:rFonts w:ascii="arial" w:eastAsia="arial" w:hAnsi="arial" w:cs="arial"/>
            <w:i/>
            <w:color w:val="0077CC"/>
            <w:sz w:val="20"/>
            <w:u w:val="single"/>
            <w:shd w:val="clear" w:color="auto" w:fill="FFFFFF"/>
            <w:lang w:val="en-US" w:eastAsia="en-US" w:bidi="ar-SA"/>
          </w:rPr>
          <w:t>(1982), 70 B.C.L.R. 397</w:t>
        </w:r>
      </w:hyperlink>
      <w:r>
        <w:rPr>
          <w:rFonts w:ascii="arial" w:eastAsia="arial" w:hAnsi="arial" w:cs="arial"/>
          <w:color w:val="000000"/>
          <w:sz w:val="20"/>
          <w:lang w:val="en-US" w:eastAsia="en-US" w:bidi="ar-SA"/>
        </w:rPr>
        <w:t xml:space="preserve"> (S.C.), by McEachern C.J. (as he then was). In referring to an earlier decision,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Butler v. Blaylock</w:t>
      </w:r>
      <w:r>
        <w:rPr>
          <w:rFonts w:ascii="arial" w:eastAsia="arial" w:hAnsi="arial" w:cs="arial"/>
          <w:color w:val="000000"/>
          <w:sz w:val="20"/>
          <w:lang w:val="en-US" w:eastAsia="en-US" w:bidi="ar-SA"/>
        </w:rPr>
        <w:t xml:space="preserve">, </w:t>
      </w:r>
      <w:hyperlink r:id="rId515" w:history="1">
        <w:r>
          <w:rPr>
            <w:rFonts w:ascii="arial" w:eastAsia="arial" w:hAnsi="arial" w:cs="arial"/>
            <w:i/>
            <w:color w:val="0077CC"/>
            <w:sz w:val="20"/>
            <w:u w:val="single"/>
            <w:shd w:val="clear" w:color="auto" w:fill="FFFFFF"/>
            <w:lang w:val="en-US" w:eastAsia="en-US" w:bidi="ar-SA"/>
          </w:rPr>
          <w:t>[1981] B.C.J. No. 31</w:t>
        </w:r>
      </w:hyperlink>
      <w:r>
        <w:rPr>
          <w:rFonts w:ascii="arial" w:eastAsia="arial" w:hAnsi="arial" w:cs="arial"/>
          <w:color w:val="000000"/>
          <w:sz w:val="20"/>
          <w:lang w:val="en-US" w:eastAsia="en-US" w:bidi="ar-SA"/>
        </w:rPr>
        <w:t>, decided 7th October 1981, Vancouver No. B781505, I referred to counsel's argument that a defendant is often at the mercy of a plaintiff in actions for damages for personal injuries because complaints of pain cannot easily be disproved. I then said: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am not stating any new principle when I say that the court should be exceedingly careful when there is little or no objective evidence of continuing injury and when complaints of pain persist for long periods extending beyond the normal or usual recovery.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An injured person is entitled to be fully and properly compensated for any injury or disability caused by a wrongdoer. But no one can expect his fellow citizen or citizens to compensate him in the absence of convincing evidence - which could be just his own evidence if the surrounding circumstances are consistent - that his complaints of pain are true reflections of a continuing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xml:space="preserve">  The plaintiff, relying upon </w:t>
      </w:r>
      <w:r>
        <w:rPr>
          <w:rFonts w:ascii="arial" w:eastAsia="arial" w:hAnsi="arial" w:cs="arial"/>
          <w:i/>
          <w:color w:val="000000"/>
          <w:sz w:val="20"/>
          <w:lang w:val="en-US" w:eastAsia="en-US" w:bidi="ar-SA"/>
        </w:rPr>
        <w:t>Tsalamandris v. MacDonald</w:t>
      </w:r>
      <w:r>
        <w:rPr>
          <w:rFonts w:ascii="arial" w:eastAsia="arial" w:hAnsi="arial" w:cs="arial"/>
          <w:color w:val="000000"/>
          <w:sz w:val="20"/>
          <w:lang w:val="en-US" w:eastAsia="en-US" w:bidi="ar-SA"/>
        </w:rPr>
        <w:t xml:space="preserve">, </w:t>
      </w:r>
      <w:hyperlink r:id="rId516" w:history="1">
        <w:r>
          <w:rPr>
            <w:rFonts w:ascii="arial" w:eastAsia="arial" w:hAnsi="arial" w:cs="arial"/>
            <w:i/>
            <w:color w:val="0077CC"/>
            <w:sz w:val="20"/>
            <w:u w:val="single"/>
            <w:shd w:val="clear" w:color="auto" w:fill="FFFFFF"/>
            <w:lang w:val="en-US" w:eastAsia="en-US" w:bidi="ar-SA"/>
          </w:rPr>
          <w:t>2011 BCSC 1138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Polovnikoff v. Banks</w:t>
      </w:r>
      <w:r>
        <w:rPr>
          <w:rFonts w:ascii="arial" w:eastAsia="arial" w:hAnsi="arial" w:cs="arial"/>
          <w:color w:val="000000"/>
          <w:sz w:val="20"/>
          <w:lang w:val="en-US" w:eastAsia="en-US" w:bidi="ar-SA"/>
        </w:rPr>
        <w:t xml:space="preserve">, </w:t>
      </w:r>
      <w:hyperlink r:id="rId517" w:history="1">
        <w:r>
          <w:rPr>
            <w:rFonts w:ascii="arial" w:eastAsia="arial" w:hAnsi="arial" w:cs="arial"/>
            <w:i/>
            <w:color w:val="0077CC"/>
            <w:sz w:val="20"/>
            <w:u w:val="single"/>
            <w:shd w:val="clear" w:color="auto" w:fill="FFFFFF"/>
            <w:lang w:val="en-US" w:eastAsia="en-US" w:bidi="ar-SA"/>
          </w:rPr>
          <w:t>2009 BCSC 750</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Young v. Anderson</w:t>
      </w:r>
      <w:r>
        <w:rPr>
          <w:rFonts w:ascii="arial" w:eastAsia="arial" w:hAnsi="arial" w:cs="arial"/>
          <w:color w:val="000000"/>
          <w:sz w:val="20"/>
          <w:lang w:val="en-US" w:eastAsia="en-US" w:bidi="ar-SA"/>
        </w:rPr>
        <w:t xml:space="preserve">, </w:t>
      </w:r>
      <w:hyperlink r:id="rId518" w:history="1">
        <w:r>
          <w:rPr>
            <w:rFonts w:ascii="arial" w:eastAsia="arial" w:hAnsi="arial" w:cs="arial"/>
            <w:i/>
            <w:color w:val="0077CC"/>
            <w:sz w:val="20"/>
            <w:u w:val="single"/>
            <w:shd w:val="clear" w:color="auto" w:fill="FFFFFF"/>
            <w:lang w:val="en-US" w:eastAsia="en-US" w:bidi="ar-SA"/>
          </w:rPr>
          <w:t>2008 BCSC 1306</w:t>
        </w:r>
      </w:hyperlink>
      <w:r>
        <w:rPr>
          <w:rFonts w:ascii="arial" w:eastAsia="arial" w:hAnsi="arial" w:cs="arial"/>
          <w:color w:val="000000"/>
          <w:sz w:val="20"/>
          <w:lang w:val="en-US" w:eastAsia="en-US" w:bidi="ar-SA"/>
        </w:rPr>
        <w:t xml:space="preserve">, submits that the appropriate range for non-pecuniary damages in this case is between $100,000 and $220,000 for Ms. Andrews' soft tissue and psychological injuries. None of the plaintiffs in those cases had the complex pre-existing psychological conditions that distinguish Ms. Andrews' case. In </w:t>
      </w:r>
      <w:r>
        <w:rPr>
          <w:rFonts w:ascii="arial" w:eastAsia="arial" w:hAnsi="arial" w:cs="arial"/>
          <w:i/>
          <w:color w:val="000000"/>
          <w:sz w:val="20"/>
          <w:lang w:val="en-US" w:eastAsia="en-US" w:bidi="ar-SA"/>
        </w:rPr>
        <w:t>Tsalamandris</w:t>
      </w:r>
      <w:r>
        <w:rPr>
          <w:rFonts w:ascii="arial" w:eastAsia="arial" w:hAnsi="arial" w:cs="arial"/>
          <w:color w:val="000000"/>
          <w:sz w:val="20"/>
          <w:lang w:val="en-US" w:eastAsia="en-US" w:bidi="ar-SA"/>
        </w:rPr>
        <w:t xml:space="preserve">, the 47 year old female plaintiff had pre-existing neck and back pain that was not severe, and did not impair her activities. She had no pre-existing anxiety or mood disorder. The court found that the two motor vehicle accidents in issue had caused the plaintiff's major depressive disorder and anxiety, and assessed non-pecuniary damages of $100,000. In </w:t>
      </w:r>
      <w:r>
        <w:rPr>
          <w:rFonts w:ascii="arial" w:eastAsia="arial" w:hAnsi="arial" w:cs="arial"/>
          <w:i/>
          <w:color w:val="000000"/>
          <w:sz w:val="20"/>
          <w:lang w:val="en-US" w:eastAsia="en-US" w:bidi="ar-SA"/>
        </w:rPr>
        <w:t>Polovnikoff</w:t>
      </w:r>
      <w:r>
        <w:rPr>
          <w:rFonts w:ascii="arial" w:eastAsia="arial" w:hAnsi="arial" w:cs="arial"/>
          <w:color w:val="000000"/>
          <w:sz w:val="20"/>
          <w:lang w:val="en-US" w:eastAsia="en-US" w:bidi="ar-SA"/>
        </w:rPr>
        <w:t>, the court found that the plaintiff suffered a mild traumatic brain injury and psychotic disorders as a result of the accident, and that the psychotic disorder rendered the plaintiff completely unemployable. The court assessed damages for the brain injury and the psychotic disorder separately, awarding $50,000 for the brain injury and $220,000 for the psychotic disorder before reducing the latter award to take into account the plaintiff's alcoholism and various tortious intervening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xml:space="preserve">  The defendants submit the appropriate range for non-pecuniary damages in this case is between $30,000 and $60,000. The defendants rely upon </w:t>
      </w:r>
      <w:r>
        <w:rPr>
          <w:rFonts w:ascii="arial" w:eastAsia="arial" w:hAnsi="arial" w:cs="arial"/>
          <w:i/>
          <w:color w:val="000000"/>
          <w:sz w:val="20"/>
          <w:lang w:val="en-US" w:eastAsia="en-US" w:bidi="ar-SA"/>
        </w:rPr>
        <w:t>Hubbard v. Saunders</w:t>
      </w:r>
      <w:r>
        <w:rPr>
          <w:rFonts w:ascii="arial" w:eastAsia="arial" w:hAnsi="arial" w:cs="arial"/>
          <w:color w:val="000000"/>
          <w:sz w:val="20"/>
          <w:lang w:val="en-US" w:eastAsia="en-US" w:bidi="ar-SA"/>
        </w:rPr>
        <w:t xml:space="preserve">, </w:t>
      </w:r>
      <w:hyperlink r:id="rId519" w:history="1">
        <w:r>
          <w:rPr>
            <w:rFonts w:ascii="arial" w:eastAsia="arial" w:hAnsi="arial" w:cs="arial"/>
            <w:i/>
            <w:color w:val="0077CC"/>
            <w:sz w:val="20"/>
            <w:u w:val="single"/>
            <w:shd w:val="clear" w:color="auto" w:fill="FFFFFF"/>
            <w:lang w:val="en-US" w:eastAsia="en-US" w:bidi="ar-SA"/>
          </w:rPr>
          <w:t>2008 BCSC 486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Lehtonen v. Johnston et al</w:t>
      </w:r>
      <w:r>
        <w:rPr>
          <w:rFonts w:ascii="arial" w:eastAsia="arial" w:hAnsi="arial" w:cs="arial"/>
          <w:color w:val="000000"/>
          <w:sz w:val="20"/>
          <w:lang w:val="en-US" w:eastAsia="en-US" w:bidi="ar-SA"/>
        </w:rPr>
        <w:t xml:space="preserve">, </w:t>
      </w:r>
      <w:hyperlink r:id="rId520" w:history="1">
        <w:r>
          <w:rPr>
            <w:rFonts w:ascii="arial" w:eastAsia="arial" w:hAnsi="arial" w:cs="arial"/>
            <w:i/>
            <w:color w:val="0077CC"/>
            <w:sz w:val="20"/>
            <w:u w:val="single"/>
            <w:shd w:val="clear" w:color="auto" w:fill="FFFFFF"/>
            <w:lang w:val="en-US" w:eastAsia="en-US" w:bidi="ar-SA"/>
          </w:rPr>
          <w:t>2009 BCSC 1364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Chamberlain v. Giles</w:t>
      </w:r>
      <w:r>
        <w:rPr>
          <w:rFonts w:ascii="arial" w:eastAsia="arial" w:hAnsi="arial" w:cs="arial"/>
          <w:color w:val="000000"/>
          <w:sz w:val="20"/>
          <w:lang w:val="en-US" w:eastAsia="en-US" w:bidi="ar-SA"/>
        </w:rPr>
        <w:t xml:space="preserve">, </w:t>
      </w:r>
      <w:hyperlink r:id="rId521" w:history="1">
        <w:r>
          <w:rPr>
            <w:rFonts w:ascii="arial" w:eastAsia="arial" w:hAnsi="arial" w:cs="arial"/>
            <w:i/>
            <w:color w:val="0077CC"/>
            <w:sz w:val="20"/>
            <w:u w:val="single"/>
            <w:shd w:val="clear" w:color="auto" w:fill="FFFFFF"/>
            <w:lang w:val="en-US" w:eastAsia="en-US" w:bidi="ar-SA"/>
          </w:rPr>
          <w:t>2008 BCSC 171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McCreight v. Currie</w:t>
      </w:r>
      <w:r>
        <w:rPr>
          <w:rFonts w:ascii="arial" w:eastAsia="arial" w:hAnsi="arial" w:cs="arial"/>
          <w:color w:val="000000"/>
          <w:sz w:val="20"/>
          <w:lang w:val="en-US" w:eastAsia="en-US" w:bidi="ar-SA"/>
        </w:rPr>
        <w:t xml:space="preserve">, </w:t>
      </w:r>
      <w:hyperlink r:id="rId522" w:history="1">
        <w:r>
          <w:rPr>
            <w:rFonts w:ascii="arial" w:eastAsia="arial" w:hAnsi="arial" w:cs="arial"/>
            <w:i/>
            <w:color w:val="0077CC"/>
            <w:sz w:val="20"/>
            <w:u w:val="single"/>
            <w:shd w:val="clear" w:color="auto" w:fill="FFFFFF"/>
            <w:lang w:val="en-US" w:eastAsia="en-US" w:bidi="ar-SA"/>
          </w:rPr>
          <w:t>2007 BCSC 127</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Piper</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v.</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Hassan</w:t>
      </w:r>
      <w:r>
        <w:rPr>
          <w:rFonts w:ascii="arial" w:eastAsia="arial" w:hAnsi="arial" w:cs="arial"/>
          <w:color w:val="000000"/>
          <w:sz w:val="20"/>
          <w:lang w:val="en-US" w:eastAsia="en-US" w:bidi="ar-SA"/>
        </w:rPr>
        <w:t xml:space="preserve">, </w:t>
      </w:r>
      <w:hyperlink r:id="rId523" w:history="1">
        <w:r>
          <w:rPr>
            <w:rFonts w:ascii="arial" w:eastAsia="arial" w:hAnsi="arial" w:cs="arial"/>
            <w:i/>
            <w:color w:val="0077CC"/>
            <w:sz w:val="20"/>
            <w:u w:val="single"/>
            <w:shd w:val="clear" w:color="auto" w:fill="FFFFFF"/>
            <w:lang w:val="en-US" w:eastAsia="en-US" w:bidi="ar-SA"/>
          </w:rPr>
          <w:t>2012 BCSC 189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Hubbard</w:t>
      </w:r>
      <w:r>
        <w:rPr>
          <w:rFonts w:ascii="arial" w:eastAsia="arial" w:hAnsi="arial" w:cs="arial"/>
          <w:color w:val="000000"/>
          <w:sz w:val="20"/>
          <w:lang w:val="en-US" w:eastAsia="en-US" w:bidi="ar-SA"/>
        </w:rPr>
        <w:t xml:space="preserve">, the court awarded a 37-year-old plaintiff with a prior history of both physical and psychological symptoms non-pecuniary damages of $45,000 as compensation for mild to moderate soft tissue injuries and depression for a period of 18 months. The plaintiff's psychological injuries were less severe than Ms. Andrews'. In </w:t>
      </w:r>
      <w:r>
        <w:rPr>
          <w:rFonts w:ascii="arial" w:eastAsia="arial" w:hAnsi="arial" w:cs="arial"/>
          <w:i/>
          <w:color w:val="000000"/>
          <w:sz w:val="20"/>
          <w:lang w:val="en-US" w:eastAsia="en-US" w:bidi="ar-SA"/>
        </w:rPr>
        <w:t>Chamberlain</w:t>
      </w:r>
      <w:r>
        <w:rPr>
          <w:rFonts w:ascii="arial" w:eastAsia="arial" w:hAnsi="arial" w:cs="arial"/>
          <w:color w:val="000000"/>
          <w:sz w:val="20"/>
          <w:lang w:val="en-US" w:eastAsia="en-US" w:bidi="ar-SA"/>
        </w:rPr>
        <w:t>, the court, in awarding non-pecuniary damages of $50,000 to a plaintiff with a complex history of both pre-accident and post-accident back and neck injuries, depression and anxiety disorders, found that 60% of the plaintiff's ongoing symptoms were caused by her pre-existing injuries and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McCreight</w:t>
      </w:r>
      <w:r>
        <w:rPr>
          <w:rFonts w:ascii="arial" w:eastAsia="arial" w:hAnsi="arial" w:cs="arial"/>
          <w:color w:val="000000"/>
          <w:sz w:val="20"/>
          <w:lang w:val="en-US" w:eastAsia="en-US" w:bidi="ar-SA"/>
        </w:rPr>
        <w:t xml:space="preserve">, the court awarded $40,000 in non-pecuniary damages to a 43-year-old plaintiff with extensive pre-accident physical and psychological conditions. There, the court found that the effects of the motor vehicle accident on the plaintiff's mental health were spent by the time of trial. In </w:t>
      </w:r>
      <w:r>
        <w:rPr>
          <w:rFonts w:ascii="arial" w:eastAsia="arial" w:hAnsi="arial" w:cs="arial"/>
          <w:i/>
          <w:color w:val="000000"/>
          <w:sz w:val="20"/>
          <w:lang w:val="en-US" w:eastAsia="en-US" w:bidi="ar-SA"/>
        </w:rPr>
        <w:t>Piper</w:t>
      </w:r>
      <w:r>
        <w:rPr>
          <w:rFonts w:ascii="arial" w:eastAsia="arial" w:hAnsi="arial" w:cs="arial"/>
          <w:color w:val="000000"/>
          <w:sz w:val="20"/>
          <w:lang w:val="en-US" w:eastAsia="en-US" w:bidi="ar-SA"/>
        </w:rPr>
        <w:t>, the court found that the accident did not contribute to the plaintiff's pre-existing depression and post traumatic stress disorder, and awarded $50,000 for non-pecuniary damages for mild to moderate soft tissue injuries that lasted for about 18 months.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xml:space="preserve">  Returning to the </w:t>
      </w:r>
      <w:r>
        <w:rPr>
          <w:rFonts w:ascii="arial" w:eastAsia="arial" w:hAnsi="arial" w:cs="arial"/>
          <w:i/>
          <w:color w:val="000000"/>
          <w:sz w:val="20"/>
          <w:lang w:val="en-US" w:eastAsia="en-US" w:bidi="ar-SA"/>
        </w:rPr>
        <w:t>Stapley</w:t>
      </w:r>
      <w:r>
        <w:rPr>
          <w:rFonts w:ascii="arial" w:eastAsia="arial" w:hAnsi="arial" w:cs="arial"/>
          <w:color w:val="000000"/>
          <w:sz w:val="20"/>
          <w:lang w:val="en-US" w:eastAsia="en-US" w:bidi="ar-SA"/>
        </w:rPr>
        <w:t xml:space="preserve"> factors, the plaintiff was 51 years old at the time of the accident and 55 at the time of trial. I find that her symptoms and complaints attributable to the physical injuries she suffered in the accident had all returned to their pre-accident position by the time of trial. However, Ms. Andrews continues to suffer from her pain disorder, anxiety and depression. I have found that 50% of her ongoing psychological injuries are attributable to the accident. There is no doubt that the accident caused a significant escalation of her depression and anxiety, and the onset of her pain disorder, although all of her ongoing psychological symptoms cannot be attributed to the accident. However, that event rendered her dysfunctional. Ms. Andrews identified with her work and was dedicated to her clients. The accident caused or contributed to her loss of emotional boundaries. The plaintiff's ongoing anxiety, depression and pain disorder have prevented her from seeking and obtaining new employment as a counsellor to First Nations clients. Ms. Andrews' psychological injuries have impaired her social life and adversely affected her intimate relations with Mr. Priolo. Since the accident, the plaintiff has led a much diminished lifestyle. She no longer participates in the recreational activities, hobbies or many of the social activities she previously enjoyed with Mr. Priolo and others. The plaintiff has become withdrawn and lethargic and no longer pays the same attention to her personal care and grooming as she did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Leaving aside for the moment the physical injuries suffered by the plaintiff as a result of the accident, I find that the appropriate award of non-pecuniary damages for the plaintiff's psychological injuries is $100,000. That amount must be discounted by 50% to take into account my finding that only half of Ms. Andrews' ongoing psychological injuries and symptoms were caused by the accident. I must assess non-pecuniary damages for all of the injuries suffered by the plaintiff as a result of the accident. Taking into account Ms. Andrews' physical injuries, as well as her psychological injuries attributable to the accident, I assess the plaintiff's overall damages for pain and suffering and loss of enjoyment of life in the total amount of $85,000. This award is subject to a 10% reduction for the plaintiff's failure to mitigate.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Past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xml:space="preserve">  Compensation for past loss of earning capacity is to be based on what the plaintiff would have, not could have, earned but for the injury that was sustained: </w:t>
      </w:r>
      <w:r>
        <w:rPr>
          <w:rFonts w:ascii="arial" w:eastAsia="arial" w:hAnsi="arial" w:cs="arial"/>
          <w:i/>
          <w:color w:val="000000"/>
          <w:sz w:val="20"/>
          <w:lang w:val="en-US" w:eastAsia="en-US" w:bidi="ar-SA"/>
        </w:rPr>
        <w:t>Rowe v. Bobell Express Ltd.</w:t>
      </w:r>
      <w:r>
        <w:rPr>
          <w:rFonts w:ascii="arial" w:eastAsia="arial" w:hAnsi="arial" w:cs="arial"/>
          <w:color w:val="000000"/>
          <w:sz w:val="20"/>
          <w:lang w:val="en-US" w:eastAsia="en-US" w:bidi="ar-SA"/>
        </w:rPr>
        <w:t xml:space="preserve">, </w:t>
      </w:r>
      <w:hyperlink r:id="rId524" w:history="1">
        <w:r>
          <w:rPr>
            <w:rFonts w:ascii="arial" w:eastAsia="arial" w:hAnsi="arial" w:cs="arial"/>
            <w:i/>
            <w:color w:val="0077CC"/>
            <w:sz w:val="20"/>
            <w:u w:val="single"/>
            <w:shd w:val="clear" w:color="auto" w:fill="FFFFFF"/>
            <w:lang w:val="en-US" w:eastAsia="en-US" w:bidi="ar-SA"/>
          </w:rPr>
          <w:t>2005 BCCA 141</w:t>
        </w:r>
      </w:hyperlink>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 xml:space="preserve"> M.B. v. British Columbia</w:t>
      </w:r>
      <w:r>
        <w:rPr>
          <w:rFonts w:ascii="arial" w:eastAsia="arial" w:hAnsi="arial" w:cs="arial"/>
          <w:color w:val="000000"/>
          <w:sz w:val="20"/>
          <w:lang w:val="en-US" w:eastAsia="en-US" w:bidi="ar-SA"/>
        </w:rPr>
        <w:t xml:space="preserve">, </w:t>
      </w:r>
      <w:hyperlink r:id="rId525" w:history="1">
        <w:r>
          <w:rPr>
            <w:rFonts w:ascii="arial" w:eastAsia="arial" w:hAnsi="arial" w:cs="arial"/>
            <w:i/>
            <w:color w:val="0077CC"/>
            <w:sz w:val="20"/>
            <w:u w:val="single"/>
            <w:shd w:val="clear" w:color="auto" w:fill="FFFFFF"/>
            <w:lang w:val="en-US" w:eastAsia="en-US" w:bidi="ar-SA"/>
          </w:rPr>
          <w:t>2003 SCC 53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xml:space="preserve">  Pursuant to s. 98 of the </w:t>
      </w:r>
      <w:r>
        <w:rPr>
          <w:rFonts w:ascii="arial" w:eastAsia="arial" w:hAnsi="arial" w:cs="arial"/>
          <w:i/>
          <w:color w:val="000000"/>
          <w:sz w:val="20"/>
          <w:lang w:val="en-US" w:eastAsia="en-US" w:bidi="ar-SA"/>
        </w:rPr>
        <w:t>Insurance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231</w:t>
      </w:r>
      <w:r>
        <w:rPr>
          <w:rFonts w:ascii="arial" w:eastAsia="arial" w:hAnsi="arial" w:cs="arial"/>
          <w:color w:val="000000"/>
          <w:sz w:val="20"/>
          <w:lang w:val="en-US" w:eastAsia="en-US" w:bidi="ar-SA"/>
        </w:rPr>
        <w:t xml:space="preserve">, a plaintiff is entitled to recover damages for only his or her past net income loss. This means that in the ordinary course the court must deduct the amount of income tax payable from lost gross earnings: </w:t>
      </w:r>
      <w:r>
        <w:rPr>
          <w:rFonts w:ascii="arial" w:eastAsia="arial" w:hAnsi="arial" w:cs="arial"/>
          <w:i/>
          <w:color w:val="000000"/>
          <w:sz w:val="20"/>
          <w:lang w:val="en-US" w:eastAsia="en-US" w:bidi="ar-SA"/>
        </w:rPr>
        <w:t xml:space="preserve"> Hudniuk v. Warkentin</w:t>
      </w:r>
      <w:r>
        <w:rPr>
          <w:rFonts w:ascii="arial" w:eastAsia="arial" w:hAnsi="arial" w:cs="arial"/>
          <w:color w:val="000000"/>
          <w:sz w:val="20"/>
          <w:lang w:val="en-US" w:eastAsia="en-US" w:bidi="ar-SA"/>
        </w:rPr>
        <w:t xml:space="preserve">, </w:t>
      </w:r>
      <w:hyperlink r:id="rId526" w:history="1">
        <w:r>
          <w:rPr>
            <w:rFonts w:ascii="arial" w:eastAsia="arial" w:hAnsi="arial" w:cs="arial"/>
            <w:i/>
            <w:color w:val="0077CC"/>
            <w:sz w:val="20"/>
            <w:u w:val="single"/>
            <w:shd w:val="clear" w:color="auto" w:fill="FFFFFF"/>
            <w:lang w:val="en-US" w:eastAsia="en-US" w:bidi="ar-SA"/>
          </w:rPr>
          <w:t>2003 BCSC 62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Lines v. Gordon</w:t>
      </w:r>
      <w:r>
        <w:rPr>
          <w:rFonts w:ascii="arial" w:eastAsia="arial" w:hAnsi="arial" w:cs="arial"/>
          <w:color w:val="000000"/>
          <w:sz w:val="20"/>
          <w:lang w:val="en-US" w:eastAsia="en-US" w:bidi="ar-SA"/>
        </w:rPr>
        <w:t xml:space="preserve">, </w:t>
      </w:r>
      <w:hyperlink r:id="rId527" w:history="1">
        <w:r>
          <w:rPr>
            <w:rFonts w:ascii="arial" w:eastAsia="arial" w:hAnsi="arial" w:cs="arial"/>
            <w:i/>
            <w:color w:val="0077CC"/>
            <w:sz w:val="20"/>
            <w:u w:val="single"/>
            <w:shd w:val="clear" w:color="auto" w:fill="FFFFFF"/>
            <w:lang w:val="en-US" w:eastAsia="en-US" w:bidi="ar-SA"/>
          </w:rPr>
          <w:t>2009 BCCA 106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xml:space="preserve">  The burden of proof of actual past events is a balance of probabilities. An assessment of loss of both past and future earning capacity involves consideration of hypothetical events. The plaintiff is not required to prove these hypothetical events on a balance of probabilities. The future or hypothetical possibility will be taken into consideration as long as it is a real and substantial possibility and not mere speculation: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at para. 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xml:space="preserve">  On a claim for past loss of earning capacity, the plaintiff must first establish on a balance of probabilities that the injuries she sustained caused an impairment of her earning capacity. Then, in determining what might have happened in the past to enable the plaintiff to earn income, but for the accident, the court must decide if the event was a real and substantial possibility, and then determine the likelihood of it occurring: </w:t>
      </w:r>
      <w:r>
        <w:rPr>
          <w:rFonts w:ascii="arial" w:eastAsia="arial" w:hAnsi="arial" w:cs="arial"/>
          <w:i/>
          <w:color w:val="000000"/>
          <w:sz w:val="20"/>
          <w:lang w:val="en-US" w:eastAsia="en-US" w:bidi="ar-SA"/>
        </w:rPr>
        <w:t>Smith v. Knudsen</w:t>
      </w:r>
      <w:r>
        <w:rPr>
          <w:rFonts w:ascii="arial" w:eastAsia="arial" w:hAnsi="arial" w:cs="arial"/>
          <w:color w:val="000000"/>
          <w:sz w:val="20"/>
          <w:lang w:val="en-US" w:eastAsia="en-US" w:bidi="ar-SA"/>
        </w:rPr>
        <w:t xml:space="preserve">, </w:t>
      </w:r>
      <w:hyperlink r:id="rId528" w:history="1">
        <w:r>
          <w:rPr>
            <w:rFonts w:ascii="arial" w:eastAsia="arial" w:hAnsi="arial" w:cs="arial"/>
            <w:i/>
            <w:color w:val="0077CC"/>
            <w:sz w:val="20"/>
            <w:u w:val="single"/>
            <w:shd w:val="clear" w:color="auto" w:fill="FFFFFF"/>
            <w:lang w:val="en-US" w:eastAsia="en-US" w:bidi="ar-SA"/>
          </w:rPr>
          <w:t>2004 BCCA 613</w:t>
        </w:r>
      </w:hyperlink>
      <w:r>
        <w:rPr>
          <w:rFonts w:ascii="arial" w:eastAsia="arial" w:hAnsi="arial" w:cs="arial"/>
          <w:color w:val="000000"/>
          <w:sz w:val="20"/>
          <w:lang w:val="en-US" w:eastAsia="en-US" w:bidi="ar-SA"/>
        </w:rPr>
        <w:t xml:space="preserve"> at paras. 28, 29, 36 and 37.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The plaintiff says that as a result of the accident she has been unable to work at all and has lost the opportunity to practice as a counsellor to First Nations clients in Vancouver, Calgary, or Maryland. Ms. Andrews submits that based on her employment record as a counsellor before the accident, the importance of her work to her sense of identity and her dedication to counselling First Nations clients, it is likely that she would have continued to work as a clinical counsellor to the date of trial and would have earned annual remuneration at least equivalent to the average of her earnings in the three years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In her income tax returns for the years 2006 through 2008, the plaintiff reported net business income of $23,074 in 2006, $9,963.10 in 2007 and $28,800.93 in 2008. In addition, the plaintiff earned non-taxable income on reserve in the amounts of $56,999.84 for 2006, $37,357.38 for 2007 and $25,715.32 for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In 2009, the plaintiff received payments from Health Canada totalling $81,225, as evidenced by the T1 issued to her. Ms. Andrews has not produced an income tax return for that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The plaintiff's accounting expert, Mr. Benning, has estimated Ms. Andrews' net business income for the nine months she worked in 2009 before terminating her contract with Health Canada shortly before the accident at $73,108. Based on Ms. Andrews' reported income for 2006 through 2008 and her estimated net business income for 2009, Mr. Benning calculated the plaintiff's average annual income from January 1, 2006 to October 10, 2009 in the amount of $67,673. Again, based on the plaintiff's pre-accident sources of income from 2006 to October 2009, Mr. Benning estimated that 34% of the plaintiff's income was taxable and 66% was non-taxable income earned on reserve.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238</w:t>
      </w:r>
      <w:r>
        <w:rPr>
          <w:rFonts w:ascii="arial" w:eastAsia="arial" w:hAnsi="arial" w:cs="arial"/>
          <w:color w:val="000000"/>
          <w:sz w:val="20"/>
          <w:lang w:val="en-US" w:eastAsia="en-US" w:bidi="ar-SA"/>
        </w:rPr>
        <w:t>  Based on the assumption that the plaintiff would have remained in the labour force and worked throughout the pre-trial period, and using Ms. Andrews' average annual earnings for the period January 1, 2006 through October 10, 2009, Mr. Benning estimated the plaintiff's past loss of income of earning capacity, net of income tax, in the amount of approximately $234,000.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239</w:t>
      </w:r>
      <w:r>
        <w:rPr>
          <w:rFonts w:ascii="arial" w:eastAsia="arial" w:hAnsi="arial" w:cs="arial"/>
          <w:color w:val="000000"/>
          <w:sz w:val="20"/>
          <w:lang w:val="en-US" w:eastAsia="en-US" w:bidi="ar-SA"/>
        </w:rPr>
        <w:t>  The defendants argue that before the accident the plaintiff had terminated her contract with Health Canada, had no definite plans for future employment, was already suffering from depression and was at risk of decompensation in any event. The defendants say that in the absence of any convincing evidence of the availability of any employment opportunities lost by the plaintiff, and in light of Ms. Andrews' pre-existing psychological conditions, any award of damages for past loss of earning capacity should be modest.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240</w:t>
      </w:r>
      <w:r>
        <w:rPr>
          <w:rFonts w:ascii="arial" w:eastAsia="arial" w:hAnsi="arial" w:cs="arial"/>
          <w:color w:val="000000"/>
          <w:sz w:val="20"/>
          <w:lang w:val="en-US" w:eastAsia="en-US" w:bidi="ar-SA"/>
        </w:rPr>
        <w:t>  The plaintiff was not employed at the time of the accident. She intended to take three or four weeks off work before she pursued a new counselling opportunity. She had no settled plan and was considering opening an office in Vancouver or Calgary, or even finding work as a counsellor to Native Americans in the State of Maryland. Ms. Andrews would have required time to investigate her options and open a new practice in Vancouver, Calgary or elsewhere. I find that the plaintiff has not established a real and substantial possibility that she would have earned any income for the remainder of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241</w:t>
      </w:r>
      <w:r>
        <w:rPr>
          <w:rFonts w:ascii="arial" w:eastAsia="arial" w:hAnsi="arial" w:cs="arial"/>
          <w:color w:val="000000"/>
          <w:sz w:val="20"/>
          <w:lang w:val="en-US" w:eastAsia="en-US" w:bidi="ar-SA"/>
        </w:rPr>
        <w:t>  I am however satisfied that but for the accident the plaintiff would likely have sought and found work as a counsellor to First Nations clients. Ms. Andrews was dedicated to working in that field and had done so continuously since completing her Masters' Degree. While it is probable that she would have established a full-time practice as a counsellor, there is also a chance, which I would rate at no more than five percent, that she might have enrolled in a Doctorate of Education program before the trial date, and worked part-time, either as a counsellor or in some other capacity, while pursuing her studies.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242</w:t>
      </w:r>
      <w:r>
        <w:rPr>
          <w:rFonts w:ascii="arial" w:eastAsia="arial" w:hAnsi="arial" w:cs="arial"/>
          <w:color w:val="000000"/>
          <w:sz w:val="20"/>
          <w:lang w:val="en-US" w:eastAsia="en-US" w:bidi="ar-SA"/>
        </w:rPr>
        <w:t>  Mr. Benning made no allowance for the time required for Ms. Andrews to start up a new practice and then build it to the point where it could generate income in excess of her overhead. The court has no reliable evidence of the costs Ms. Andrews would have incurred in setting up her own practice in either Vancouver of Calgary. Nor has Mr. Benning made any allowance for the contingency that absent the motor vehicle accident, the plaintiff might have lost time from work before the trial date as a result of illness or disability.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243</w:t>
      </w:r>
      <w:r>
        <w:rPr>
          <w:rFonts w:ascii="arial" w:eastAsia="arial" w:hAnsi="arial" w:cs="arial"/>
          <w:color w:val="000000"/>
          <w:sz w:val="20"/>
          <w:lang w:val="en-US" w:eastAsia="en-US" w:bidi="ar-SA"/>
        </w:rPr>
        <w:t>  Dr. Travlos thought that Ms. Andrews was substantially at risk of decompensation before the motor vehicle accident, although she would not have suffered her emotional and psychological collapse when she did, absent the accident. Drs. O'Shaughnessy and Vallance both agreed that the plaintiff's pre-existing anxiety and mood disorders rendered her extremely sensitive to psycho-social stresses. I find there is a real and substantial possibility that the plaintiff would have suffered a disabling bout of anxiety and depression or decompensation without the motor vehicle accident at sometime between the date of the accident and the date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244</w:t>
      </w:r>
      <w:r>
        <w:rPr>
          <w:rFonts w:ascii="arial" w:eastAsia="arial" w:hAnsi="arial" w:cs="arial"/>
          <w:color w:val="000000"/>
          <w:sz w:val="20"/>
          <w:lang w:val="en-US" w:eastAsia="en-US" w:bidi="ar-SA"/>
        </w:rPr>
        <w:t>  Ms. Andrews also wanted to spend more time with Mr. Priolo, which would likely have resulted in additional time out of the workforce.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245</w:t>
      </w:r>
      <w:r>
        <w:rPr>
          <w:rFonts w:ascii="arial" w:eastAsia="arial" w:hAnsi="arial" w:cs="arial"/>
          <w:color w:val="000000"/>
          <w:sz w:val="20"/>
          <w:lang w:val="en-US" w:eastAsia="en-US" w:bidi="ar-SA"/>
        </w:rPr>
        <w:t>  In addition to these negative contingencies, I take into account the possibility that Ms. Andrews might have earned income at a level higher than her annual average in one or more of the years before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246</w:t>
      </w:r>
      <w:r>
        <w:rPr>
          <w:rFonts w:ascii="arial" w:eastAsia="arial" w:hAnsi="arial" w:cs="arial"/>
          <w:color w:val="000000"/>
          <w:sz w:val="20"/>
          <w:lang w:val="en-US" w:eastAsia="en-US" w:bidi="ar-SA"/>
        </w:rPr>
        <w:t>  Mr. Benning's estimate of the plaintiff's damages for past loss of earning capacity in the net amount of $234,000 is based on the flawed assumption that but for the accident the plaintiff would have worked continuously as a full-time counsellor from October 10, 2009 to the date of trial, with no adjustment for non-participation in the workforce. However, Mr. Benning's estimate of the plaintiff's average pre-trial annual earnings in the $67,000 to $68,000 range provides a useful starting point for the assessment of the plaintiff's damages under this head. I find that the plaintiff's average annual income, as estimated by Mr. Benning, provides a realistic measure of the annual income Ms. Andrews would have earned as a full-time counsellor providing services to First Nations clients, before adjusting for the contingencies applicable to her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247</w:t>
      </w:r>
      <w:r>
        <w:rPr>
          <w:rFonts w:ascii="arial" w:eastAsia="arial" w:hAnsi="arial" w:cs="arial"/>
          <w:color w:val="000000"/>
          <w:sz w:val="20"/>
          <w:lang w:val="en-US" w:eastAsia="en-US" w:bidi="ar-SA"/>
        </w:rPr>
        <w:t>  Mr. Henry Big Throat, the Vice-President of Student Services at Red Crow College on the Blood Reserve, testified that his institution employs five counsellors at salaries of between $65,000 and $70,000 per year. For a First Nations counsellor, that income, earned on reserve, would be tax free. However, Mr. Big Throat gave evidence in cross-examination that no counselling positions have become available at Red Crow College since 2005. Mr. Big Throat also testified that at the time of trial, Lethbridge College was advertising for a counsellor for First Nations students at an annual salary of $75,000.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248</w:t>
      </w:r>
      <w:r>
        <w:rPr>
          <w:rFonts w:ascii="arial" w:eastAsia="arial" w:hAnsi="arial" w:cs="arial"/>
          <w:color w:val="000000"/>
          <w:sz w:val="20"/>
          <w:lang w:val="en-US" w:eastAsia="en-US" w:bidi="ar-SA"/>
        </w:rPr>
        <w:t>  I have found there was no real or substantial possibility that Ms. Andrews would have earned any income during the remainder of 2009. Accordingly, Ms. Andrews would not have earned the income attributed to her for the balance of 2009 in Mr. Benning's estimates.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249</w:t>
      </w:r>
      <w:r>
        <w:rPr>
          <w:rFonts w:ascii="arial" w:eastAsia="arial" w:hAnsi="arial" w:cs="arial"/>
          <w:color w:val="000000"/>
          <w:sz w:val="20"/>
          <w:lang w:val="en-US" w:eastAsia="en-US" w:bidi="ar-SA"/>
        </w:rPr>
        <w:t>  In my view, there are real and substantial possibilities that the plaintiff would have required additional time in 2010 to build her practice to the point where it would generate income in excess of overhead; that the plaintiff would have taken additional time off work as her relationship with Mr. Priolo developed; and most importantly, that the plaintiff might have been disabled from employment by her pre-existing psychological conditions for some part of the time between October 10, 2009 and the date of trial. I have also found that there was a small chance that the plaintiff might have withdrawn from full-time employment to study for her Doctorate while working part-time. Taking all of these factors into account, I would assess the overall chance of those events reducing or impairing the plaintiff's earning capacity to the date of trial at 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250</w:t>
      </w:r>
      <w:r>
        <w:rPr>
          <w:rFonts w:ascii="arial" w:eastAsia="arial" w:hAnsi="arial" w:cs="arial"/>
          <w:color w:val="000000"/>
          <w:sz w:val="20"/>
          <w:lang w:val="en-US" w:eastAsia="en-US" w:bidi="ar-SA"/>
        </w:rPr>
        <w:t>  Mr. Benning estimated the plaintiff's gross income loss from October 10, 2009 to the date of trial in the amount of $243,304. Deducting the amount Mr. Benning estimated for the remainder of 2009 - $15,675, would leave a balance of about $227,000. Accordingly, I assess the plaintiff's past loss of earning capacity in the gross amount of $113,500, that being half of the remaining amount from Mr. Benning's estimate. I must adjust that amount by deducting the income tax payable on the gross lost earnings.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251</w:t>
      </w:r>
      <w:r>
        <w:rPr>
          <w:rFonts w:ascii="arial" w:eastAsia="arial" w:hAnsi="arial" w:cs="arial"/>
          <w:color w:val="000000"/>
          <w:sz w:val="20"/>
          <w:lang w:val="en-US" w:eastAsia="en-US" w:bidi="ar-SA"/>
        </w:rPr>
        <w:t>  But for the accident, the plaintiff would most likely have established a counselling practice in either Vancouver or Calgary, where her mother and step-father reside. Because she would be earning her income off reserve, the whole of her income would be taxable.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252</w:t>
      </w:r>
      <w:r>
        <w:rPr>
          <w:rFonts w:ascii="arial" w:eastAsia="arial" w:hAnsi="arial" w:cs="arial"/>
          <w:color w:val="000000"/>
          <w:sz w:val="20"/>
          <w:lang w:val="en-US" w:eastAsia="en-US" w:bidi="ar-SA"/>
        </w:rPr>
        <w:t xml:space="preserve">  Under ss. 95 and 98 of the </w:t>
      </w:r>
      <w:r>
        <w:rPr>
          <w:rFonts w:ascii="arial" w:eastAsia="arial" w:hAnsi="arial" w:cs="arial"/>
          <w:i/>
          <w:color w:val="000000"/>
          <w:sz w:val="20"/>
          <w:lang w:val="en-US" w:eastAsia="en-US" w:bidi="ar-SA"/>
        </w:rPr>
        <w:t>Insurance (Vehicle) Act</w:t>
      </w:r>
      <w:r>
        <w:rPr>
          <w:rFonts w:ascii="arial" w:eastAsia="arial" w:hAnsi="arial" w:cs="arial"/>
          <w:color w:val="000000"/>
          <w:sz w:val="20"/>
          <w:lang w:val="en-US" w:eastAsia="en-US" w:bidi="ar-SA"/>
        </w:rPr>
        <w:t xml:space="preserve">, the court has the discretion to determine the period or periods appropriate for the determination of the plaintiff's net income loss: </w:t>
      </w:r>
      <w:r>
        <w:rPr>
          <w:rFonts w:ascii="arial" w:eastAsia="arial" w:hAnsi="arial" w:cs="arial"/>
          <w:i/>
          <w:color w:val="000000"/>
          <w:sz w:val="20"/>
          <w:lang w:val="en-US" w:eastAsia="en-US" w:bidi="ar-SA"/>
        </w:rPr>
        <w:t>Lines</w:t>
      </w:r>
      <w:r>
        <w:rPr>
          <w:rFonts w:ascii="arial" w:eastAsia="arial" w:hAnsi="arial" w:cs="arial"/>
          <w:color w:val="000000"/>
          <w:sz w:val="20"/>
          <w:lang w:val="en-US" w:eastAsia="en-US" w:bidi="ar-SA"/>
        </w:rPr>
        <w:t xml:space="preserve"> at para. 184.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Lines</w:t>
      </w:r>
      <w:r>
        <w:rPr>
          <w:rFonts w:ascii="arial" w:eastAsia="arial" w:hAnsi="arial" w:cs="arial"/>
          <w:color w:val="000000"/>
          <w:sz w:val="20"/>
          <w:lang w:val="en-US" w:eastAsia="en-US" w:bidi="ar-SA"/>
        </w:rPr>
        <w:t xml:space="preserve"> at paras. 183, 185 and 186, the Court of Appeal gave examples and directions concerning the trial judge's exercise of discretion: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[183] Another example is a situation where the plaintiff was unemployed at the time of the accident and had no imminent prospects of employment. The judge or jury could make an award for loss of past earning capacity, but it would be artificial to allocate it among different periods.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[185] By way of contrast to the two examples I have given, in the situation where, at the time of injury, the plaintiff was working at a job and returned to that job after sufficiently recovering from the injuries, it would be appropriate, absent any complications, for the judge to allocate the gross income loss to the calendar years between the date of the accident and the date of trial as if the plaintiff had continued working. This would accord with the principle that, insofar as is possible, the plaintiff should be put in the position he or she would have been in if not for the injuries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[186] There will be a wide variety of circumstances facing trial judges. In each case, the trial judge will have to decide whether it is appropriate in the circumstances before him or her to calculate net income loss on the basis of one period, calendar-year periods or other multiple periods. In making a decision in this regard, the trial judge should consider all of the circumstances and apply s. 98 in a manner that is most consistent with the principles of damage assessment to which I have referred.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254</w:t>
      </w:r>
      <w:r>
        <w:rPr>
          <w:rFonts w:ascii="arial" w:eastAsia="arial" w:hAnsi="arial" w:cs="arial"/>
          <w:color w:val="000000"/>
          <w:sz w:val="20"/>
          <w:lang w:val="en-US" w:eastAsia="en-US" w:bidi="ar-SA"/>
        </w:rPr>
        <w:t>  Here, the plaintiff was not employed at the time of the accident, and had no firm plan about where she would operate her counselling practice. While I am confident that she would have found an opportunity to continue her practice, I am not able to say, with any precision, on the evidence adduced at trial, when in 2010 she would have opened an office in Vancouver or Calgary. Nor am I able to allocate to a particular year or years the period, or periods, of time when the plaintiff might have withdrawn from the workforce as a result of illness or disease unrelated to the motor vehicle accident. I have therefore concluded that I must assess the plaintiff's net income loss in a lump sum for the whole of the period from January 1, 2010 to the first day of trial, as if the gross income award were received by the plaintiff on the first day of trial.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255</w:t>
      </w:r>
      <w:r>
        <w:rPr>
          <w:rFonts w:ascii="arial" w:eastAsia="arial" w:hAnsi="arial" w:cs="arial"/>
          <w:color w:val="000000"/>
          <w:sz w:val="20"/>
          <w:lang w:val="en-US" w:eastAsia="en-US" w:bidi="ar-SA"/>
        </w:rPr>
        <w:t>  As at the date of trial, the income tax payable on $113,500 at the applicable rate of 26% was $29,510. Accordingly, after making the deduction for income tax, I assess the plaintiff's damages for past loss of earning capacity in the amount of $84,000.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256</w:t>
      </w:r>
      <w:r>
        <w:rPr>
          <w:rFonts w:ascii="arial" w:eastAsia="arial" w:hAnsi="arial" w:cs="arial"/>
          <w:color w:val="000000"/>
          <w:sz w:val="20"/>
          <w:lang w:val="en-US" w:eastAsia="en-US" w:bidi="ar-SA"/>
        </w:rPr>
        <w:t xml:space="preserve">  The standard of proof for the evaluation of hypothetical events that may affect an award of damages for future loss of earning capacity is simple probability, rather than the balance of probabilities: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As the Court of Appeal held in </w:t>
      </w: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529"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at para 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 ... Possibilities and probabilities, chances, opportunities and risks must all be considered, so long as they are a real and substantial possibility and not mere speculation. These possibilities are to be given weight according to the percentage chance they would have happened or will happen.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Rosvold</w:t>
      </w:r>
      <w:r>
        <w:rPr>
          <w:rFonts w:ascii="arial" w:eastAsia="arial" w:hAnsi="arial" w:cs="arial"/>
          <w:color w:val="000000"/>
          <w:sz w:val="20"/>
          <w:lang w:val="en-US" w:eastAsia="en-US" w:bidi="ar-SA"/>
        </w:rPr>
        <w:t xml:space="preserve"> at paras. 10 and 11, the Court of Appeal described the task of the trial judge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 The trial judge's task is to assess the loss on a judgmental basis, taking into consideration all the relevant factors arising from the evidence: </w:t>
      </w:r>
      <w:r>
        <w:rPr>
          <w:rFonts w:ascii="arial" w:eastAsia="arial" w:hAnsi="arial" w:cs="arial"/>
          <w:i/>
          <w:color w:val="000000"/>
          <w:sz w:val="20"/>
          <w:lang w:val="en-US" w:eastAsia="en-US" w:bidi="ar-SA"/>
        </w:rPr>
        <w:t>Mazzuca v. Alexakis</w:t>
      </w:r>
      <w:r>
        <w:rPr>
          <w:rFonts w:ascii="arial" w:eastAsia="arial" w:hAnsi="arial" w:cs="arial"/>
          <w:color w:val="000000"/>
          <w:sz w:val="20"/>
          <w:lang w:val="en-US" w:eastAsia="en-US" w:bidi="ar-SA"/>
        </w:rPr>
        <w:t xml:space="preserve">, </w:t>
      </w:r>
      <w:hyperlink r:id="rId530" w:history="1">
        <w:r>
          <w:rPr>
            <w:rFonts w:ascii="arial" w:eastAsia="arial" w:hAnsi="arial" w:cs="arial"/>
            <w:i/>
            <w:color w:val="0077CC"/>
            <w:sz w:val="20"/>
            <w:u w:val="single"/>
            <w:shd w:val="clear" w:color="auto" w:fill="FFFFFF"/>
            <w:lang w:val="en-US" w:eastAsia="en-US" w:bidi="ar-SA"/>
          </w:rPr>
          <w:t>[1994] B.C.J. No. 2128</w:t>
        </w:r>
      </w:hyperlink>
      <w:r>
        <w:rPr>
          <w:rFonts w:ascii="arial" w:eastAsia="arial" w:hAnsi="arial" w:cs="arial"/>
          <w:color w:val="000000"/>
          <w:sz w:val="20"/>
          <w:lang w:val="en-US" w:eastAsia="en-US" w:bidi="ar-SA"/>
        </w:rPr>
        <w:t xml:space="preserve"> (S.C.) (Q.L.) at para. 121, aff'd </w:t>
      </w:r>
      <w:hyperlink r:id="rId531" w:history="1">
        <w:r>
          <w:rPr>
            <w:rFonts w:ascii="arial" w:eastAsia="arial" w:hAnsi="arial" w:cs="arial"/>
            <w:i/>
            <w:color w:val="0077CC"/>
            <w:sz w:val="20"/>
            <w:u w:val="single"/>
            <w:shd w:val="clear" w:color="auto" w:fill="FFFFFF"/>
            <w:lang w:val="en-US" w:eastAsia="en-US" w:bidi="ar-SA"/>
          </w:rPr>
          <w:t>[1997] B.C.J. No. 2178</w:t>
        </w:r>
      </w:hyperlink>
      <w:r>
        <w:rPr>
          <w:rFonts w:ascii="arial" w:eastAsia="arial" w:hAnsi="arial" w:cs="arial"/>
          <w:color w:val="000000"/>
          <w:sz w:val="20"/>
          <w:lang w:val="en-US" w:eastAsia="en-US" w:bidi="ar-SA"/>
        </w:rPr>
        <w:t xml:space="preserve"> (C.A.) (Q.L.). Guidance as to what factors may be relevant can be found in </w:t>
      </w:r>
      <w:r>
        <w:rPr>
          <w:rFonts w:ascii="arial" w:eastAsia="arial" w:hAnsi="arial" w:cs="arial"/>
          <w:i/>
          <w:color w:val="000000"/>
          <w:sz w:val="20"/>
          <w:lang w:val="en-US" w:eastAsia="en-US" w:bidi="ar-SA"/>
        </w:rPr>
        <w:t>Parypa v. Wickware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at para. 31; </w:t>
      </w:r>
      <w:r>
        <w:rPr>
          <w:rFonts w:ascii="arial" w:eastAsia="arial" w:hAnsi="arial" w:cs="arial"/>
          <w:i/>
          <w:color w:val="000000"/>
          <w:sz w:val="20"/>
          <w:lang w:val="en-US" w:eastAsia="en-US" w:bidi="ar-SA"/>
        </w:rPr>
        <w:t>Kwei v. Boisclair</w:t>
      </w:r>
      <w:r>
        <w:rPr>
          <w:rFonts w:ascii="arial" w:eastAsia="arial" w:hAnsi="arial" w:cs="arial"/>
          <w:color w:val="000000"/>
          <w:sz w:val="20"/>
          <w:lang w:val="en-US" w:eastAsia="en-US" w:bidi="ar-SA"/>
        </w:rPr>
        <w:t xml:space="preserve"> </w:t>
      </w:r>
      <w:hyperlink r:id="rId532" w:history="1">
        <w:r>
          <w:rPr>
            <w:rFonts w:ascii="arial" w:eastAsia="arial" w:hAnsi="arial" w:cs="arial"/>
            <w:i/>
            <w:color w:val="0077CC"/>
            <w:sz w:val="20"/>
            <w:u w:val="single"/>
            <w:shd w:val="clear" w:color="auto" w:fill="FFFFFF"/>
            <w:lang w:val="en-US" w:eastAsia="en-US" w:bidi="ar-SA"/>
          </w:rPr>
          <w:t>(1991), 60 B.C.L.R. (2d) 393</w:t>
        </w:r>
      </w:hyperlink>
      <w:r>
        <w:rPr>
          <w:rFonts w:ascii="arial" w:eastAsia="arial" w:hAnsi="arial" w:cs="arial"/>
          <w:color w:val="000000"/>
          <w:sz w:val="20"/>
          <w:lang w:val="en-US" w:eastAsia="en-US" w:bidi="ar-SA"/>
        </w:rPr>
        <w:t xml:space="preserve"> (C.A.); and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533"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(S.C.) per Finch J. They include: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 whether the plaintiff has been rendered less capable overall from earning income from all types of employment;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[2] whether the plaintiff is less marketable or attractive as an employee to potential employers;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[3] whether the plaintiff has lost the ability to take advantage of all job opportunities which might otherwise have been open to him, had he not been injured; and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[4] whether the plaintiff is less valuable to himself as a person capable of earning income in a competitive labour market.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 The task of the court is to assess damages, not to calculate them according to some mathematical formula: </w:t>
      </w:r>
      <w:r>
        <w:rPr>
          <w:rFonts w:ascii="arial" w:eastAsia="arial" w:hAnsi="arial" w:cs="arial"/>
          <w:i/>
          <w:color w:val="000000"/>
          <w:sz w:val="20"/>
          <w:lang w:val="en-US" w:eastAsia="en-US" w:bidi="ar-SA"/>
        </w:rPr>
        <w:t xml:space="preserve"> Mulholland (Guardian ad litem of) v. Riley Estate</w:t>
      </w:r>
      <w:r>
        <w:rPr>
          <w:rFonts w:ascii="arial" w:eastAsia="arial" w:hAnsi="arial" w:cs="arial"/>
          <w:color w:val="000000"/>
          <w:sz w:val="20"/>
          <w:lang w:val="en-US" w:eastAsia="en-US" w:bidi="ar-SA"/>
        </w:rPr>
        <w:t xml:space="preserve"> </w:t>
      </w:r>
      <w:hyperlink r:id="rId534" w:history="1">
        <w:r>
          <w:rPr>
            <w:rFonts w:ascii="arial" w:eastAsia="arial" w:hAnsi="arial" w:cs="arial"/>
            <w:i/>
            <w:color w:val="0077CC"/>
            <w:sz w:val="20"/>
            <w:u w:val="single"/>
            <w:shd w:val="clear" w:color="auto" w:fill="FFFFFF"/>
            <w:lang w:val="en-US" w:eastAsia="en-US" w:bidi="ar-SA"/>
          </w:rPr>
          <w:t>(1995), 12 B.C.L.R. (3d) 248</w:t>
        </w:r>
      </w:hyperlink>
      <w:r>
        <w:rPr>
          <w:rFonts w:ascii="arial" w:eastAsia="arial" w:hAnsi="arial" w:cs="arial"/>
          <w:color w:val="000000"/>
          <w:sz w:val="20"/>
          <w:lang w:val="en-US" w:eastAsia="en-US" w:bidi="ar-SA"/>
        </w:rPr>
        <w:t xml:space="preserve"> (C.A.). Once impairment of a plaintiff's earning capacity as a capital asset has been established, that impairment must be valued. The valuation may involve a comparison of the likely future of the plaintiff if the accident had not happened with the plaintiff's likely future after the accident has happened. As a starting point, a trial judge may determine the present value of the difference between the amounts earned under those two scenarios. But if this is done, it is not to be the end of the inquiry: </w:t>
      </w:r>
      <w:r>
        <w:rPr>
          <w:rFonts w:ascii="arial" w:eastAsia="arial" w:hAnsi="arial" w:cs="arial"/>
          <w:i/>
          <w:color w:val="000000"/>
          <w:sz w:val="20"/>
          <w:lang w:val="en-US" w:eastAsia="en-US" w:bidi="ar-SA"/>
        </w:rPr>
        <w:t>Ryder (Guardian ad litem of) v. Jubbal</w:t>
      </w:r>
      <w:r>
        <w:rPr>
          <w:rFonts w:ascii="arial" w:eastAsia="arial" w:hAnsi="arial" w:cs="arial"/>
          <w:color w:val="000000"/>
          <w:sz w:val="20"/>
          <w:lang w:val="en-US" w:eastAsia="en-US" w:bidi="ar-SA"/>
        </w:rPr>
        <w:t xml:space="preserve">, </w:t>
      </w:r>
      <w:hyperlink r:id="rId535" w:history="1">
        <w:r>
          <w:rPr>
            <w:rFonts w:ascii="arial" w:eastAsia="arial" w:hAnsi="arial" w:cs="arial"/>
            <w:i/>
            <w:color w:val="0077CC"/>
            <w:sz w:val="20"/>
            <w:u w:val="single"/>
            <w:shd w:val="clear" w:color="auto" w:fill="FFFFFF"/>
            <w:lang w:val="en-US" w:eastAsia="en-US" w:bidi="ar-SA"/>
          </w:rPr>
          <w:t>[1995] B.C.J. No. 644</w:t>
        </w:r>
      </w:hyperlink>
      <w:r>
        <w:rPr>
          <w:rFonts w:ascii="arial" w:eastAsia="arial" w:hAnsi="arial" w:cs="arial"/>
          <w:color w:val="000000"/>
          <w:sz w:val="20"/>
          <w:lang w:val="en-US" w:eastAsia="en-US" w:bidi="ar-SA"/>
        </w:rPr>
        <w:t xml:space="preserve"> (C.A.) (Q.L.); </w:t>
      </w:r>
      <w:r>
        <w:rPr>
          <w:rFonts w:ascii="arial" w:eastAsia="arial" w:hAnsi="arial" w:cs="arial"/>
          <w:i/>
          <w:color w:val="000000"/>
          <w:sz w:val="20"/>
          <w:lang w:val="en-US" w:eastAsia="en-US" w:bidi="ar-SA"/>
        </w:rPr>
        <w:t>Parypa v. Wickware</w:t>
      </w: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 xml:space="preserve"> supra</w:t>
      </w:r>
      <w:r>
        <w:rPr>
          <w:rFonts w:ascii="arial" w:eastAsia="arial" w:hAnsi="arial" w:cs="arial"/>
          <w:color w:val="000000"/>
          <w:sz w:val="20"/>
          <w:lang w:val="en-US" w:eastAsia="en-US" w:bidi="ar-SA"/>
        </w:rPr>
        <w:t>. The overall fairness and reasonableness of the award must be considered taking into account all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536"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Garson J.A., after reviewing the authorities, identified the basic principles articulated in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Andrews v. Grand &amp; Toy</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Alberta Ltd.</w:t>
      </w:r>
      <w:r>
        <w:rPr>
          <w:rFonts w:ascii="arial" w:eastAsia="arial" w:hAnsi="arial" w:cs="arial"/>
          <w:color w:val="000000"/>
          <w:sz w:val="20"/>
          <w:lang w:val="en-US" w:eastAsia="en-US" w:bidi="ar-SA"/>
        </w:rPr>
        <w:t xml:space="preserve">, </w:t>
      </w:r>
      <w:hyperlink r:id="rId537"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 as:</w:t>
      </w:r>
      <w:r>
        <w:rPr>
          <w:rFonts w:ascii="arial" w:eastAsia="arial" w:hAnsi="arial" w:cs="arial"/>
          <w:sz w:val="20"/>
          <w:lang w:val="en-US" w:eastAsia="en-US" w:bidi="ar-SA"/>
        </w:rPr>
        <w:cr/>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future or hypothetical possibility will be taken into consideration as long as it is a real and substantial possibility and not mere speculation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27], and</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not loss of earnings, but, rather, loss of earning capacity for which compensation must be made [</w:t>
      </w:r>
      <w:r>
        <w:rPr>
          <w:rFonts w:ascii="arial" w:eastAsia="arial" w:hAnsi="arial" w:cs="arial"/>
          <w:i/>
          <w:color w:val="000000"/>
          <w:sz w:val="20"/>
          <w:lang w:val="en-US" w:eastAsia="en-US" w:bidi="ar-SA"/>
        </w:rPr>
        <w:t>Andrews</w:t>
      </w:r>
      <w:r>
        <w:rPr>
          <w:rFonts w:ascii="arial" w:eastAsia="arial" w:hAnsi="arial" w:cs="arial"/>
          <w:color w:val="000000"/>
          <w:sz w:val="20"/>
          <w:lang w:val="en-US" w:eastAsia="en-US" w:bidi="ar-SA"/>
        </w:rPr>
        <w:t xml:space="preserve"> at 251].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259</w:t>
      </w:r>
      <w:r>
        <w:rPr>
          <w:rFonts w:ascii="arial" w:eastAsia="arial" w:hAnsi="arial" w:cs="arial"/>
          <w:color w:val="000000"/>
          <w:sz w:val="20"/>
          <w:lang w:val="en-US" w:eastAsia="en-US" w:bidi="ar-SA"/>
        </w:rPr>
        <w:t xml:space="preserve">  As Garson J.A. emphasized in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 xml:space="preserve"> at para. 32, the plaintiff must always prove there is a real and substantial possibility of a future event leading to an income loss. If the plaintiff meets that burden, then the plaintiff may prove the quantification of the loss of earning capacity on either an earnings approach or a capital asset approach. Where the loss is not readily measurable, the capital asset approach will be more useful than the earnings approach.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260</w:t>
      </w:r>
      <w:r>
        <w:rPr>
          <w:rFonts w:ascii="arial" w:eastAsia="arial" w:hAnsi="arial" w:cs="arial"/>
          <w:color w:val="000000"/>
          <w:sz w:val="20"/>
          <w:lang w:val="en-US" w:eastAsia="en-US" w:bidi="ar-SA"/>
        </w:rPr>
        <w:t xml:space="preserve">  Where the assessment is based on the capital asset approach, the court must consider four questions in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and make findings of fact concerning the nature and extent of the plaintiff's loss of capacity and how that loss may impact the plaintiff's ability to earn income: </w:t>
      </w:r>
      <w:r>
        <w:rPr>
          <w:rFonts w:ascii="arial" w:eastAsia="arial" w:hAnsi="arial" w:cs="arial"/>
          <w:i/>
          <w:color w:val="000000"/>
          <w:sz w:val="20"/>
          <w:lang w:val="en-US" w:eastAsia="en-US" w:bidi="ar-SA"/>
        </w:rPr>
        <w:t>Morgan v. Galbraith</w:t>
      </w:r>
      <w:r>
        <w:rPr>
          <w:rFonts w:ascii="arial" w:eastAsia="arial" w:hAnsi="arial" w:cs="arial"/>
          <w:color w:val="000000"/>
          <w:sz w:val="20"/>
          <w:lang w:val="en-US" w:eastAsia="en-US" w:bidi="ar-SA"/>
        </w:rPr>
        <w:t xml:space="preserve">, </w:t>
      </w:r>
      <w:hyperlink r:id="rId538" w:history="1">
        <w:r>
          <w:rPr>
            <w:rFonts w:ascii="arial" w:eastAsia="arial" w:hAnsi="arial" w:cs="arial"/>
            <w:i/>
            <w:color w:val="0077CC"/>
            <w:sz w:val="20"/>
            <w:u w:val="single"/>
            <w:shd w:val="clear" w:color="auto" w:fill="FFFFFF"/>
            <w:lang w:val="en-US" w:eastAsia="en-US" w:bidi="ar-SA"/>
          </w:rPr>
          <w:t>2013 BCCA 305</w:t>
        </w:r>
      </w:hyperlink>
      <w:r>
        <w:rPr>
          <w:rFonts w:ascii="arial" w:eastAsia="arial" w:hAnsi="arial" w:cs="arial"/>
          <w:color w:val="000000"/>
          <w:sz w:val="20"/>
          <w:lang w:val="en-US" w:eastAsia="en-US" w:bidi="ar-SA"/>
        </w:rPr>
        <w:t xml:space="preserve"> at para. 56.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261</w:t>
      </w:r>
      <w:r>
        <w:rPr>
          <w:rFonts w:ascii="arial" w:eastAsia="arial" w:hAnsi="arial" w:cs="arial"/>
          <w:color w:val="000000"/>
          <w:sz w:val="20"/>
          <w:lang w:val="en-US" w:eastAsia="en-US" w:bidi="ar-SA"/>
        </w:rPr>
        <w:t xml:space="preserve">  I must first determine whether the plaintiff has established a real and substantial possibility of a future event leading to an income loss. If so, the court must assess, rather than calculate damages according to the likelihood of the event occurring. The award must be adjusted for both positive and negative contingencies, and the court must consider the overall fairness and reasonableness of the award: </w:t>
      </w:r>
      <w:r>
        <w:rPr>
          <w:rFonts w:ascii="arial" w:eastAsia="arial" w:hAnsi="arial" w:cs="arial"/>
          <w:i/>
          <w:color w:val="000000"/>
          <w:sz w:val="20"/>
          <w:lang w:val="en-US" w:eastAsia="en-US" w:bidi="ar-SA"/>
        </w:rPr>
        <w:t>Rosvold</w:t>
      </w:r>
      <w:r>
        <w:rPr>
          <w:rFonts w:ascii="arial" w:eastAsia="arial" w:hAnsi="arial" w:cs="arial"/>
          <w:color w:val="000000"/>
          <w:sz w:val="20"/>
          <w:lang w:val="en-US" w:eastAsia="en-US" w:bidi="ar-SA"/>
        </w:rPr>
        <w:t xml:space="preserve"> at para. 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262</w:t>
      </w:r>
      <w:r>
        <w:rPr>
          <w:rFonts w:ascii="arial" w:eastAsia="arial" w:hAnsi="arial" w:cs="arial"/>
          <w:color w:val="000000"/>
          <w:sz w:val="20"/>
          <w:lang w:val="en-US" w:eastAsia="en-US" w:bidi="ar-SA"/>
        </w:rPr>
        <w:t>  Dr. O' Shaughnessy thought the plaintiff's degree of anxiety, depression and dysfunction at the time he saw her prevented her from working. He explained Ms. Andrews could not work as a therapist for others when she was so preoccupied with her own symptoms and dysfunction.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263</w:t>
      </w:r>
      <w:r>
        <w:rPr>
          <w:rFonts w:ascii="arial" w:eastAsia="arial" w:hAnsi="arial" w:cs="arial"/>
          <w:color w:val="000000"/>
          <w:sz w:val="20"/>
          <w:lang w:val="en-US" w:eastAsia="en-US" w:bidi="ar-SA"/>
        </w:rPr>
        <w:t>  Dr. O'Shaughnessy thought that it was likely that with appropriate treatment, including psychotherapy and medication, the plaintiff would experience a reduction in her symptoms that would possibly allow her to return to work as a counsellor.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264</w:t>
      </w:r>
      <w:r>
        <w:rPr>
          <w:rFonts w:ascii="arial" w:eastAsia="arial" w:hAnsi="arial" w:cs="arial"/>
          <w:color w:val="000000"/>
          <w:sz w:val="20"/>
          <w:lang w:val="en-US" w:eastAsia="en-US" w:bidi="ar-SA"/>
        </w:rPr>
        <w:t>  Dr. O'Shaughnessy agreed in cross-examination that Ms. Andrews' recent regular attendance or treatments and heightened cooperation with her various health care providers, her diminished emotional attachment to the motor vehicle accident as her major stressor, her report of progress with Dr. MacKinnon and her engagement to Mr. Priolo were all positive indicators for improvement in her psychological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265</w:t>
      </w:r>
      <w:r>
        <w:rPr>
          <w:rFonts w:ascii="arial" w:eastAsia="arial" w:hAnsi="arial" w:cs="arial"/>
          <w:color w:val="000000"/>
          <w:sz w:val="20"/>
          <w:lang w:val="en-US" w:eastAsia="en-US" w:bidi="ar-SA"/>
        </w:rPr>
        <w:t>  Dr. Vallance thought that the plaintiff, with her history of childhood neglect and abuse, her personality traits and anxiety and mood disorders ought never to have worked as a counsellor to residential school survivors. In Dr. Vallance's opinion, there would have to be a massive improvement in the plaintiff's depression and anxiety disorder, which he did not anticipate, in order for the plaintiff to return to her former counselling work. However, he thought that with further therapy, the plaintiff could perform other, less strenuous counselling work. In cross-examination, Dr. Vallance said he thought the prospects of that were quite good, although both her depression and anxiety would need to improve significantly.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266</w:t>
      </w:r>
      <w:r>
        <w:rPr>
          <w:rFonts w:ascii="arial" w:eastAsia="arial" w:hAnsi="arial" w:cs="arial"/>
          <w:color w:val="000000"/>
          <w:sz w:val="20"/>
          <w:lang w:val="en-US" w:eastAsia="en-US" w:bidi="ar-SA"/>
        </w:rPr>
        <w:t>  Dr. Travlos also thought the plaintiff might be able to return to full-time employment with an improvement in her mental health. He was unable to provide any definitive opinion on timing. Dr. Travlos also thought the plaintiff would have to make a decision about whether she could return to counselling, or should pursue an alternate career, perhaps in the field of Human Resources, an area in which she had expressed some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267</w:t>
      </w:r>
      <w:r>
        <w:rPr>
          <w:rFonts w:ascii="arial" w:eastAsia="arial" w:hAnsi="arial" w:cs="arial"/>
          <w:color w:val="000000"/>
          <w:sz w:val="20"/>
          <w:lang w:val="en-US" w:eastAsia="en-US" w:bidi="ar-SA"/>
        </w:rPr>
        <w:t>  The plaintiff led no evidence about the levels of income earned by Human Resources practitioners.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268</w:t>
      </w:r>
      <w:r>
        <w:rPr>
          <w:rFonts w:ascii="arial" w:eastAsia="arial" w:hAnsi="arial" w:cs="arial"/>
          <w:color w:val="000000"/>
          <w:sz w:val="20"/>
          <w:lang w:val="en-US" w:eastAsia="en-US" w:bidi="ar-SA"/>
        </w:rPr>
        <w:t>  Mr. Janmohamed, an occupational therapist and certified work capacity evaluator, performed a functional capacity evaluation of the plaintiff on November 8, 2012. Mr. Janmohamed's assessment and his report of December 12, 2012 focused on the plaintiff's physical abilities and limitations, rather than her psychological limitations. Based on the history he took from the plaintiff and the tests he administered, Mr. Janmohamed found that Ms. Andrews tended to underrate her functional abilities. He also observed some inconsistencies in the plaintiff's performance over the course of his evaluation. During testing, the plaintiff could only bend her neck forward 30 degrees, however later in the day he observed a 45 degree range of motion. Similarly, formal testing revealed only 52 degrees of left shoulder flexion, although Mr. Janmohamed later observed the plaintiff demonstrate 110 degrees of shoulder flexion. Mr. Janmohamed found that the plaintiff's self-reporting of her neck and upper back symptoms during testing were inconsistent with his observations and testing of her functional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269</w:t>
      </w:r>
      <w:r>
        <w:rPr>
          <w:rFonts w:ascii="arial" w:eastAsia="arial" w:hAnsi="arial" w:cs="arial"/>
          <w:color w:val="000000"/>
          <w:sz w:val="20"/>
          <w:lang w:val="en-US" w:eastAsia="en-US" w:bidi="ar-SA"/>
        </w:rPr>
        <w:t>  The plaintiff's subjective estimates of the functional impact of her pain exceeded the functional impact Mr. Janmohamed observed on objective tests about 50% of the time. Mr. Janmohamed thought that the plaintiff was capable of performing the sedentary physical duties of a counsellor and that she had the physical ability to return to work as a counsellor on a graduated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270</w:t>
      </w:r>
      <w:r>
        <w:rPr>
          <w:rFonts w:ascii="arial" w:eastAsia="arial" w:hAnsi="arial" w:cs="arial"/>
          <w:color w:val="000000"/>
          <w:sz w:val="20"/>
          <w:lang w:val="en-US" w:eastAsia="en-US" w:bidi="ar-SA"/>
        </w:rPr>
        <w:t>  In Mr. Janmohamed's opinion, at a purely physical functional level, the plaintiff had sufficient sitting, reaching, handling, neck flexion and lifting tolerance to return to her occupation as a counsellor for two to four hours per day on an extended graduated return to work program over 12 to 20 weeks. Mr. Janmohamed was aware of the plaintiff's psychological symptoms and deferred to her examining psychologists and psychiatrists on that aspect of her functioning.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271</w:t>
      </w:r>
      <w:r>
        <w:rPr>
          <w:rFonts w:ascii="arial" w:eastAsia="arial" w:hAnsi="arial" w:cs="arial"/>
          <w:color w:val="000000"/>
          <w:sz w:val="20"/>
          <w:lang w:val="en-US" w:eastAsia="en-US" w:bidi="ar-SA"/>
        </w:rPr>
        <w:t>  Mr. Janmohamed felt that if the plaintiff was going to attempt to return to work as a counsellor, an urban practice would likely be better for her because she would avoid extended travel and the extended sitting which caused her discomfort.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272</w:t>
      </w:r>
      <w:r>
        <w:rPr>
          <w:rFonts w:ascii="arial" w:eastAsia="arial" w:hAnsi="arial" w:cs="arial"/>
          <w:color w:val="000000"/>
          <w:sz w:val="20"/>
          <w:lang w:val="en-US" w:eastAsia="en-US" w:bidi="ar-SA"/>
        </w:rPr>
        <w:t>  Mr. John Lawless, who was qualified as an expert in vocational rehabilitation, provided a report dated November 30, 2012. In Mr. Lawless' opinion, it is improbable that the plaintiff will return to work as a counsellor. In direct examination, Mr. Lawless thought it probable that the plaintiff is not competitively unemployable, although there was a chance, assuming some improvement in her psychological condition, that she could find other and less demanding employment. In cross-examination, Mr. Lawless agreed that the plaintiff has marketable qualities, including superior intelligence. She is well educated and in the past has demonstrated resilience from adversity and the will-power to overcome substantial obstacles. Mr. Lawless agreed that the plaintiff's primary problems are psychological. The plaintiff told Mr. Lawless that she did not think she could maintain boundaries between herself and her clients any longer. In Mr. Lawless' opinion, the plaintiff's inability to maintain boundaries undermined the counsellor/client relationship and precluded the plaintiff from returning to work as a counsellor.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273</w:t>
      </w:r>
      <w:r>
        <w:rPr>
          <w:rFonts w:ascii="arial" w:eastAsia="arial" w:hAnsi="arial" w:cs="arial"/>
          <w:color w:val="000000"/>
          <w:sz w:val="20"/>
          <w:lang w:val="en-US" w:eastAsia="en-US" w:bidi="ar-SA"/>
        </w:rPr>
        <w:t>  Based on the history he took from the plaintiff and his vocational testing, Mr. Lawless thought that if there was some future improvement in the plaintiff's psychological condition, she might be able to return to work in less skilled service occupations that involved duties less likely to engage her emotional and interpersonal difficulties. The positions Mr. Lawless thought might be suitable included community and social service workers, airline sales and service agents, customer service, information and related clerks, and personnel clerks. Annual earnings for these positions range from $36,000 to $45,000.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274</w:t>
      </w:r>
      <w:r>
        <w:rPr>
          <w:rFonts w:ascii="arial" w:eastAsia="arial" w:hAnsi="arial" w:cs="arial"/>
          <w:color w:val="000000"/>
          <w:sz w:val="20"/>
          <w:lang w:val="en-US" w:eastAsia="en-US" w:bidi="ar-SA"/>
        </w:rPr>
        <w:t>  Dr. Travlos offers a more optimistic prognosis for the plaintiff's return to the workforce than Mr. Lawless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275</w:t>
      </w:r>
      <w:r>
        <w:rPr>
          <w:rFonts w:ascii="arial" w:eastAsia="arial" w:hAnsi="arial" w:cs="arial"/>
          <w:color w:val="000000"/>
          <w:sz w:val="20"/>
          <w:lang w:val="en-US" w:eastAsia="en-US" w:bidi="ar-SA"/>
        </w:rPr>
        <w:t>  I attach less weight to Mr. Lawless' opinion than I do to the opinions of Drs. Travlos and O' Shaughnessy respecting the prospects for Ms. Andrews' future return to the workforce. Unlike the other experts, Mr. Lawless appears to have accepted the plaintiff's self-reporting without reservation, despite having had the opportunity to review contradictory clinical records. Mr. Lawless also thought, erroneously, that the plaintiff had suffered a traumatic brain injury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276</w:t>
      </w:r>
      <w:r>
        <w:rPr>
          <w:rFonts w:ascii="arial" w:eastAsia="arial" w:hAnsi="arial" w:cs="arial"/>
          <w:color w:val="000000"/>
          <w:sz w:val="20"/>
          <w:lang w:val="en-US" w:eastAsia="en-US" w:bidi="ar-SA"/>
        </w:rPr>
        <w:t>  I find that Ms. Andrews has met the burden of establishing a real and substantial possibility that her capacity to earn income has been impaired by the accident. However, in my view, the extent of that impairment is not as severe as she claims. She has recovered from the physical injuries caused by the accident. I accept the evidence of Dr. Travlos and Mr. Janmohamed that Ms. Andrews has the physical capacity to return to work as a counsellor. However, all of the experts agree that her psychological condition has impaired her functioning. One of the effects of the plaintiff's pain disorder is her exaggerated perception of the extent of her disability. As a result of her psychological condition, Ms. Andrews' ability to motivate herself is significantly impaired. Her psychological prognosis is guarded. Much depends upon her progress in treatment for anxiety, mood and pain disorders. The accident exacerbated her pre-existing psychological disorders. Her symptoms have also been prolonged by subsequent intervening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277</w:t>
      </w:r>
      <w:r>
        <w:rPr>
          <w:rFonts w:ascii="arial" w:eastAsia="arial" w:hAnsi="arial" w:cs="arial"/>
          <w:color w:val="000000"/>
          <w:sz w:val="20"/>
          <w:lang w:val="en-US" w:eastAsia="en-US" w:bidi="ar-SA"/>
        </w:rPr>
        <w:t>  I find that as a result of her psychological injuries Ms. Andrews has been rendered less capable overall from earning income from all types of employment, and that she is less marketable or attractive to potential employers. Until the plaintiff is able to motivate herself, re-establish emotional boundaries, and cope with her anxiety and mood disorders, she has lost the ability to take advantage of all of the job opportunities that might have otherwise been available to her, but for the motor vehicle accident. The plaintiff, whose sense of identity was closely tied to her work, clearly places less value on herself as a person capable of earning income in a competitive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278</w:t>
      </w:r>
      <w:r>
        <w:rPr>
          <w:rFonts w:ascii="arial" w:eastAsia="arial" w:hAnsi="arial" w:cs="arial"/>
          <w:color w:val="000000"/>
          <w:sz w:val="20"/>
          <w:lang w:val="en-US" w:eastAsia="en-US" w:bidi="ar-SA"/>
        </w:rPr>
        <w:t>  I find that but for the accident, Ms. Andrews would likely have continued her counselling practice, probably in Vancouver or Calgary, but possibly in Maryland.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279</w:t>
      </w:r>
      <w:r>
        <w:rPr>
          <w:rFonts w:ascii="arial" w:eastAsia="arial" w:hAnsi="arial" w:cs="arial"/>
          <w:color w:val="000000"/>
          <w:sz w:val="20"/>
          <w:lang w:val="en-US" w:eastAsia="en-US" w:bidi="ar-SA"/>
        </w:rPr>
        <w:t>  The plaintiff called a number of witnesses who gave evidence concerning Ms. Andrews' strong academic performance, her skills and attributes as a counsellor, and the availability of work for counsellors providing services to First Nations clients. Mr. Big Throat first met the plaintiff when she applied to attend the University of British Columbia for her Bachelor of Arts degree, and later her Master's Degree in counselling. He described her as a hard-working and a very strong academic student who received straight As. He testified that he wanted to hire her for the Red Crow College counselling program, however no positions were available.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280</w:t>
      </w:r>
      <w:r>
        <w:rPr>
          <w:rFonts w:ascii="arial" w:eastAsia="arial" w:hAnsi="arial" w:cs="arial"/>
          <w:color w:val="000000"/>
          <w:sz w:val="20"/>
          <w:lang w:val="en-US" w:eastAsia="en-US" w:bidi="ar-SA"/>
        </w:rPr>
        <w:t>  Chief Joe Norris is a hereditary Chief and a member of the Board of Directors of the IRSSS, which employed the plaintiff as a counsellor from 2004 through 2007. Chief Norris described the plaintiff as a respectful and excellent worker with a sense of humour.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281</w:t>
      </w:r>
      <w:r>
        <w:rPr>
          <w:rFonts w:ascii="arial" w:eastAsia="arial" w:hAnsi="arial" w:cs="arial"/>
          <w:color w:val="000000"/>
          <w:sz w:val="20"/>
          <w:lang w:val="en-US" w:eastAsia="en-US" w:bidi="ar-SA"/>
        </w:rPr>
        <w:t>  Chief Norris testified that IRSSS currently employs six counsellors and that if Ms. Andrews were interested in returning to work with the Society he would likely have work available for her. Chief Norris also thought the plaintiff was well qualified for employment at the drug and alcohol treatment facility at Lantzville on Vancouver Island, or other treatment facilities located on First Nations' reserves throughout the Province where similar work might be available.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282</w:t>
      </w:r>
      <w:r>
        <w:rPr>
          <w:rFonts w:ascii="arial" w:eastAsia="arial" w:hAnsi="arial" w:cs="arial"/>
          <w:color w:val="000000"/>
          <w:sz w:val="20"/>
          <w:lang w:val="en-US" w:eastAsia="en-US" w:bidi="ar-SA"/>
        </w:rPr>
        <w:t>  In cross-examination, Chief Norris agreed that listening to the stories of residential school survivors takes its toll on counsellors, who in turn need counselling themselves. Ms. Andrews participated in twice yearly retreats that the IRSSS conducted for its counsellors. Chief Norris said that following those retreats, the plaintiff was able to continue providing services to her clients.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283</w:t>
      </w:r>
      <w:r>
        <w:rPr>
          <w:rFonts w:ascii="arial" w:eastAsia="arial" w:hAnsi="arial" w:cs="arial"/>
          <w:color w:val="000000"/>
          <w:sz w:val="20"/>
          <w:lang w:val="en-US" w:eastAsia="en-US" w:bidi="ar-SA"/>
        </w:rPr>
        <w:t>  Dr. Marvin Westwood, a Professor in the Department of Education at the University of British Columbia, supervised the plaintiff's clinical training program. He described Ms. Andrews as a highly competent, mature and skilled student whose knowledge of indigenous people and sensitivity equipped her to work in First Nations' communities. Dr. Westwood rated the plaintiff in the top 10 to 15 percent of students he had taught over 30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284</w:t>
      </w:r>
      <w:r>
        <w:rPr>
          <w:rFonts w:ascii="arial" w:eastAsia="arial" w:hAnsi="arial" w:cs="arial"/>
          <w:color w:val="000000"/>
          <w:sz w:val="20"/>
          <w:lang w:val="en-US" w:eastAsia="en-US" w:bidi="ar-SA"/>
        </w:rPr>
        <w:t>  Similarly, Dr. Rod McCormick, a Professor of Counselling Education at the University of British Columbia who had taught the plaintiff's clinical course, described her as a strong student who obtained the top mark in her section of the clinic course. Dr. McCormick testified that there is a high demand for aboriginal students who complete the Master's counselling program. He thought there would be opportunities for employment with the new Aboriginal Health Authority established by the Province and said there are counselling positions across the country at facilities operated through the national Drug and Alcohol Treatment Program, and at healing centers run by tribal groups. Dr. McCormick understood these positions now paid salaries in the low $80,000 range.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285</w:t>
      </w:r>
      <w:r>
        <w:rPr>
          <w:rFonts w:ascii="arial" w:eastAsia="arial" w:hAnsi="arial" w:cs="arial"/>
          <w:color w:val="000000"/>
          <w:sz w:val="20"/>
          <w:lang w:val="en-US" w:eastAsia="en-US" w:bidi="ar-SA"/>
        </w:rPr>
        <w:t>  But for the accident, it is likely that the plaintiff, with her particular skills, high intelligence, and connections to the Aboriginal community would have found work as a counsellor. Given the demanding nature of her work, and the stressors involved, it is unlikely she would have worked beyond age 65.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286</w:t>
      </w:r>
      <w:r>
        <w:rPr>
          <w:rFonts w:ascii="arial" w:eastAsia="arial" w:hAnsi="arial" w:cs="arial"/>
          <w:color w:val="000000"/>
          <w:sz w:val="20"/>
          <w:lang w:val="en-US" w:eastAsia="en-US" w:bidi="ar-SA"/>
        </w:rPr>
        <w:t>  The plaintiff has suffered an impairment of a capital asset, that is, her ability to earn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287</w:t>
      </w:r>
      <w:r>
        <w:rPr>
          <w:rFonts w:ascii="arial" w:eastAsia="arial" w:hAnsi="arial" w:cs="arial"/>
          <w:color w:val="000000"/>
          <w:sz w:val="20"/>
          <w:lang w:val="en-US" w:eastAsia="en-US" w:bidi="ar-SA"/>
        </w:rPr>
        <w:t>  I turn now to the positive and negative contingencies affecting an award of damages for loss of future income in this case. Absent the accident, the plaintiff may have been unemployed for periods of time due to such factors as reductions in funding for Aboriginal counselling programs, or unrelated illness. There is also a substantial risk of disability as a result of the exacerbation of her pre-existing psychological conditions in the absence of the accident and her possible decompensation in any event. The plaintiff may also have chosen to work part-time while pursuing her Doctorate.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288</w:t>
      </w:r>
      <w:r>
        <w:rPr>
          <w:rFonts w:ascii="arial" w:eastAsia="arial" w:hAnsi="arial" w:cs="arial"/>
          <w:color w:val="000000"/>
          <w:sz w:val="20"/>
          <w:lang w:val="en-US" w:eastAsia="en-US" w:bidi="ar-SA"/>
        </w:rPr>
        <w:t>  There is also a real possibility, in my view, that with the benefit of further cognitive behavioural therapy, as recommended by Dr. O'Shaughnessy, the plaintiff's psychological condition will improve, she will learn to manage her anxiety, mood and pain disorders, and she will be able to return to full-time employment, although probably not as a counsellor to residential school survivors.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289</w:t>
      </w:r>
      <w:r>
        <w:rPr>
          <w:rFonts w:ascii="arial" w:eastAsia="arial" w:hAnsi="arial" w:cs="arial"/>
          <w:color w:val="000000"/>
          <w:sz w:val="20"/>
          <w:lang w:val="en-US" w:eastAsia="en-US" w:bidi="ar-SA"/>
        </w:rPr>
        <w:t>  Dr. Travlos thought that it was possible that the emotional challenges would be too much for Ms. Andrews and that she might have to seek alternate employment. He opined that any type of return to work would be beneficial for the plaintiff for both physical and mental health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290</w:t>
      </w:r>
      <w:r>
        <w:rPr>
          <w:rFonts w:ascii="arial" w:eastAsia="arial" w:hAnsi="arial" w:cs="arial"/>
          <w:color w:val="000000"/>
          <w:sz w:val="20"/>
          <w:lang w:val="en-US" w:eastAsia="en-US" w:bidi="ar-SA"/>
        </w:rPr>
        <w:t>  Ms. Andrews will require additional psychotherapy to restore her functioning to the point where she is able to return to the work force. She may also require some retraining. There is a real and substantial possibility that she will not return to counselling First Nations residential school survivors and may find employment that is less stressful and less remunerative than her former employment. I also recognize the real possibility that as a result of her pre-existing psychological condition the plaintiff may have suffered some loss of earning capacity as a result of decompensation in any event. Further, only 50% of her ongoing psychological symptoms are attributable to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291</w:t>
      </w:r>
      <w:r>
        <w:rPr>
          <w:rFonts w:ascii="arial" w:eastAsia="arial" w:hAnsi="arial" w:cs="arial"/>
          <w:color w:val="000000"/>
          <w:sz w:val="20"/>
          <w:lang w:val="en-US" w:eastAsia="en-US" w:bidi="ar-SA"/>
        </w:rPr>
        <w:t>  Taking all of these factors into account, and adopting the capital asset approach, I find that an amount approximating two years' earnings as a counsellor is a reasonable award for Ms. Andrews' future loss of earning capacity. Mr. Benning estimated the plaintiff's without-accident income at the time of trial at $74,259. I assess the plaintiff's damages for loss of future earning capacity in the amount of $150,000.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292</w:t>
      </w:r>
      <w:r>
        <w:rPr>
          <w:rFonts w:ascii="arial" w:eastAsia="arial" w:hAnsi="arial" w:cs="arial"/>
          <w:color w:val="000000"/>
          <w:sz w:val="20"/>
          <w:lang w:val="en-US" w:eastAsia="en-US" w:bidi="ar-SA"/>
        </w:rPr>
        <w:t>  The defendants have not shown that the plaintiff's damages for loss of future earning capacity would have been reduced had she followed her treatment providers' recommendations to establish a regular sleep and exercise schedule. Accordingly, there will be no reduction from this head of damages for failure to mitigate.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293</w:t>
      </w:r>
      <w:r>
        <w:rPr>
          <w:rFonts w:ascii="arial" w:eastAsia="arial" w:hAnsi="arial" w:cs="arial"/>
          <w:color w:val="000000"/>
          <w:sz w:val="20"/>
          <w:lang w:val="en-US" w:eastAsia="en-US" w:bidi="ar-SA"/>
        </w:rPr>
        <w:t xml:space="preserve">  Claims for cost of future care must be medically justified and reasonable. The award of damages must be moderate and fair to both parties: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539"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(S.C.) at para. 210.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Krangle (Guardian ad litem of) v. Brisco</w:t>
      </w:r>
      <w:r>
        <w:rPr>
          <w:rFonts w:ascii="arial" w:eastAsia="arial" w:hAnsi="arial" w:cs="arial"/>
          <w:color w:val="000000"/>
          <w:sz w:val="20"/>
          <w:lang w:val="en-US" w:eastAsia="en-US" w:bidi="ar-SA"/>
        </w:rPr>
        <w:t xml:space="preserve">, </w:t>
      </w:r>
      <w:hyperlink r:id="rId540" w:history="1">
        <w:r>
          <w:rPr>
            <w:rFonts w:ascii="arial" w:eastAsia="arial" w:hAnsi="arial" w:cs="arial"/>
            <w:i/>
            <w:color w:val="0077CC"/>
            <w:sz w:val="20"/>
            <w:u w:val="single"/>
            <w:shd w:val="clear" w:color="auto" w:fill="FFFFFF"/>
            <w:lang w:val="en-US" w:eastAsia="en-US" w:bidi="ar-SA"/>
          </w:rPr>
          <w:t>2002 SCC 9</w:t>
        </w:r>
      </w:hyperlink>
      <w:r>
        <w:rPr>
          <w:rFonts w:ascii="arial" w:eastAsia="arial" w:hAnsi="arial" w:cs="arial"/>
          <w:color w:val="000000"/>
          <w:sz w:val="20"/>
          <w:lang w:val="en-US" w:eastAsia="en-US" w:bidi="ar-SA"/>
        </w:rPr>
        <w:t xml:space="preserve"> at paras. 21-22 McLachlin C.J.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21 Damages for cost of future care are a matter of prediction. No one knows the future. Yet the rule that damages must be assessed once and for all at the time of trial (subject to modification on appeal) requires courts to peer into the future and fix the damages for future care as best they can. In doing so, courts rely on the evidence as to what care is likely to be in the injured person's best interest. Then they calculate the present cost of providing that care and may make an adjustment for the contingency that the future may differ from what the evidence at trial indicates.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22 The resulting award may be said to reflect the reasonable or normal expectations of what the injured person will require. Jane Stapleton, "</w:t>
      </w:r>
      <w:r>
        <w:rPr>
          <w:rFonts w:ascii="arial" w:eastAsia="arial" w:hAnsi="arial" w:cs="arial"/>
          <w:i/>
          <w:color w:val="000000"/>
          <w:sz w:val="20"/>
          <w:lang w:val="en-US" w:eastAsia="en-US" w:bidi="ar-SA"/>
        </w:rPr>
        <w:t>The Normal Expectancies Measure in Tort Damages</w:t>
      </w:r>
      <w:r>
        <w:rPr>
          <w:rFonts w:ascii="arial" w:eastAsia="arial" w:hAnsi="arial" w:cs="arial"/>
          <w:color w:val="000000"/>
          <w:sz w:val="20"/>
          <w:lang w:val="en-US" w:eastAsia="en-US" w:bidi="ar-SA"/>
        </w:rPr>
        <w:t>" (1997), 113 L.Q.R. 257, thus suggests, at pp. 257-58, that the tort measure of compensatory damages may be described as the "'normal expectancies' measure", a term which "more clearly describes the aim of awards of compensatory damages in tort: namely, to re-position the plaintiff to the destination he would normally have reached . . . had it not been for the tort". The measure is objective, based on the evidence. This method produces a result fair to both the claimant and the defendant. The claimant receives damages for future losses, as best they can be ascertained. The defendant is required to compensate for those losses. To award less than what may reasonably be expected to be required is to give the plaintiff too little and unfairly advantage the defendant. To award more is to give the plaintiff a windfall and require the defendant to pay more than is fair.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295</w:t>
      </w:r>
      <w:r>
        <w:rPr>
          <w:rFonts w:ascii="arial" w:eastAsia="arial" w:hAnsi="arial" w:cs="arial"/>
          <w:color w:val="000000"/>
          <w:sz w:val="20"/>
          <w:lang w:val="en-US" w:eastAsia="en-US" w:bidi="ar-SA"/>
        </w:rPr>
        <w:t>  The plaintiff claims the costs of future care that are medically justified and reasonable in order to increase Ms. Andrews' level of independence and participation in her life activities to her pre-accident status and potential include the costs of psychological counselling, kinesiology, physiotherapy, fitness centre classes, occupational therapy, and the services of a rehabilitation assistant. In addition, the plaintiff claims the costs for replacing an ergonomic chair and foot rest. The plaintiff bases her claim on the recommendations made by Ms. Allison McLean in her cost of future care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296</w:t>
      </w:r>
      <w:r>
        <w:rPr>
          <w:rFonts w:ascii="arial" w:eastAsia="arial" w:hAnsi="arial" w:cs="arial"/>
          <w:color w:val="000000"/>
          <w:sz w:val="20"/>
          <w:lang w:val="en-US" w:eastAsia="en-US" w:bidi="ar-SA"/>
        </w:rPr>
        <w:t>  Ms. Andrews initially founded her claim for cost of future care on the assumption that she will require all of those services for her lifetime. The plaintiff's economist, Mr. Benning, valued those costs at $314,780. However, the plaintiff, recognizing she may have required some of this care without the accident, and that there is a possibility she will improve, now claims a total of $150,000 for 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297</w:t>
      </w:r>
      <w:r>
        <w:rPr>
          <w:rFonts w:ascii="arial" w:eastAsia="arial" w:hAnsi="arial" w:cs="arial"/>
          <w:color w:val="000000"/>
          <w:sz w:val="20"/>
          <w:lang w:val="en-US" w:eastAsia="en-US" w:bidi="ar-SA"/>
        </w:rPr>
        <w:t>  The defendants submit that the plaintiff had returned to her original position before trial, and therefore has no entitlement to damages for costs of future care. The defendants also argue that the plaintiff's original position is such that she would likely have required many of the recommended expenses in any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298</w:t>
      </w:r>
      <w:r>
        <w:rPr>
          <w:rFonts w:ascii="arial" w:eastAsia="arial" w:hAnsi="arial" w:cs="arial"/>
          <w:color w:val="000000"/>
          <w:sz w:val="20"/>
          <w:lang w:val="en-US" w:eastAsia="en-US" w:bidi="ar-SA"/>
        </w:rPr>
        <w:t>  Ms. Allison McLean, an occupational therapist, provided a cost of future care evaluation report dated December 14, 2012, marked as Exhibit 8. Her recommendations are based on her assessment of what is necessary for the plaintiff in terms of functional necessity, and what is medically reasonable. In cross-examination, Ms. McLean agreed that she has assumed that the information in the medical and clinical reports she reviewed is accurate. She relied on the accuracy of the plaintiff's self-reporting, and agreed that inaccuracies or omissions in the medical reports and clinical records could affect her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299</w:t>
      </w:r>
      <w:r>
        <w:rPr>
          <w:rFonts w:ascii="arial" w:eastAsia="arial" w:hAnsi="arial" w:cs="arial"/>
          <w:color w:val="000000"/>
          <w:sz w:val="20"/>
          <w:lang w:val="en-US" w:eastAsia="en-US" w:bidi="ar-SA"/>
        </w:rPr>
        <w:t>  Ms. McLean noted that during late 2009 and early 2010, the plaintiff progressed gradually in physiotherapy, so that her sessions were reduced from twice a week to once a week, and that she implemented an exercise program with a kinesiologist. The plaintiff was able to cook more and carry more groceries. However, as time went on, her functioning deteriorated. The plaintiff cancelled or missed treatment appointments and was often late for treatment. From November 2010 to February 2011, Ms. Andrews had little contact with her occupational therapist. Ms. McLean understood that the plaintiff's psychological difficulties affected her ability to keep appointments and participate in her rehabilitation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300</w:t>
      </w:r>
      <w:r>
        <w:rPr>
          <w:rFonts w:ascii="arial" w:eastAsia="arial" w:hAnsi="arial" w:cs="arial"/>
          <w:color w:val="000000"/>
          <w:sz w:val="20"/>
          <w:lang w:val="en-US" w:eastAsia="en-US" w:bidi="ar-SA"/>
        </w:rPr>
        <w:t>  Ms. McLean agreed in cross examination that over the three to six months before she assessed the plaintiff, she understood that Ms. Andrews was attending for her therapies and was slowly improving.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301</w:t>
      </w:r>
      <w:r>
        <w:rPr>
          <w:rFonts w:ascii="arial" w:eastAsia="arial" w:hAnsi="arial" w:cs="arial"/>
          <w:color w:val="000000"/>
          <w:sz w:val="20"/>
          <w:lang w:val="en-US" w:eastAsia="en-US" w:bidi="ar-SA"/>
        </w:rPr>
        <w:t>  Ms. McLean was aware that there were various stressors affecting the plaintiff's life from mid-2010 through 2012. She said that she would defer to a psychiatrist or psychologist for advice on whether a person would benefit from counselling or psychiatric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302</w:t>
      </w:r>
      <w:r>
        <w:rPr>
          <w:rFonts w:ascii="arial" w:eastAsia="arial" w:hAnsi="arial" w:cs="arial"/>
          <w:color w:val="000000"/>
          <w:sz w:val="20"/>
          <w:lang w:val="en-US" w:eastAsia="en-US" w:bidi="ar-SA"/>
        </w:rPr>
        <w:t>  At page 11 of her opinion, Ms. McLean said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my opinion that, although Ms. Andrews is independent in personal care activities, she is otherwise significantly disabled with regard to her capacity to engage and participate in the other major areas of occupational performance in her life - including work, homemaking, and social, leisure and fitness activities. Prior to the accident, despite some physical/pain symptoms and despite ongoing emotional difficulties over the years, she was working as a clinical counsellor in a job that required travel to other parts of the province, she took care of her apartment including taking her dog for multiple walks in a day and, as her schedule permitted, she participated in fitness and social activities.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Andrews' pre-injury level of function contrasts with her current status: she is not working, she struggles to maintain her household in particular in terms of organization and clutter, and she has some fears relating to being outside on her own and to her (or others in her life) becoming physically hurt. She does not carry out fitness activities on her own. She walks her dog only about once per day at most. Since the time of the accident, she has struggled with motivation and self-organization and has not consistently attended and followed-through with her therapies - although she is gradually improving over time, in particular over the last few months.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agree with other experts that Ms. Andrews' psychological/emotional symptoms are the primary barriers to her recovery from the accident. It is my opinion that this includes a return to pre-injury level of participation in her life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303</w:t>
      </w:r>
      <w:r>
        <w:rPr>
          <w:rFonts w:ascii="arial" w:eastAsia="arial" w:hAnsi="arial" w:cs="arial"/>
          <w:color w:val="000000"/>
          <w:sz w:val="20"/>
          <w:lang w:val="en-US" w:eastAsia="en-US" w:bidi="ar-SA"/>
        </w:rPr>
        <w:t>  Ms. McLean made recommendations for psychological counselling and physical conditioning, including the continuation of the services of a kinesiologist over the next two years, and a physiotherapist for 12 sessions per year for the next two years. She has also made recommendations that Ms. Andrews attend a fitness center and that she continue to be provided with occupational therapy services for the next two years. In addition, she has recommended that the plaintiff be provided with a rehabilitation assistant to help her with de-cluttering and reorganizing her apartment. With respect to equipment, her report includes costing for the replacement of an ergonomic chair and foot 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304</w:t>
      </w:r>
      <w:r>
        <w:rPr>
          <w:rFonts w:ascii="arial" w:eastAsia="arial" w:hAnsi="arial" w:cs="arial"/>
          <w:color w:val="000000"/>
          <w:sz w:val="20"/>
          <w:lang w:val="en-US" w:eastAsia="en-US" w:bidi="ar-SA"/>
        </w:rPr>
        <w:t>  The plaintiff is not making any claim for the costs of prescription medication. She continues to use pre-accident medications, including Wellbutrin, Ativan for the treatment of depression and anxiety, and Elavil to assist her in sleeping.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305</w:t>
      </w:r>
      <w:r>
        <w:rPr>
          <w:rFonts w:ascii="arial" w:eastAsia="arial" w:hAnsi="arial" w:cs="arial"/>
          <w:color w:val="000000"/>
          <w:sz w:val="20"/>
          <w:lang w:val="en-US" w:eastAsia="en-US" w:bidi="ar-SA"/>
        </w:rPr>
        <w:t>  At the time of trial, the plaintiff was seeing her psychologist, Dr. Joanne MacKinnon, about once a week, although she missed some appointments in order to travel to the United States to visit Mr. Priolo, or as a result of unanticipated events. Dr. O'Shaughnessy has recommended cognitive behavioural therapy for Ms. Andrews. Ms. McLean reported Dr. MacKinnon was providing the plaintiff with both cognitive and emotional 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306</w:t>
      </w:r>
      <w:r>
        <w:rPr>
          <w:rFonts w:ascii="arial" w:eastAsia="arial" w:hAnsi="arial" w:cs="arial"/>
          <w:color w:val="000000"/>
          <w:sz w:val="20"/>
          <w:lang w:val="en-US" w:eastAsia="en-US" w:bidi="ar-SA"/>
        </w:rPr>
        <w:t>  Dr. MacKinnon recommended that Ms. Andrews would require an additional one to two years of counselling, ideally on a weekly basis. However, it is likely that the plaintiff will continue to miss or cancel some of her appointments. Based on Dr. MacKinnon's hourly rate of $180 per hour, Ms. McLean has estimated the annual cost of psychological counselling for 40 sessions at $7,200. Based on the cost of future care multipliers provided by Mr. Benning, the present value of two years psychological counselling at 40 sessions per year is $13,810.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307</w:t>
      </w:r>
      <w:r>
        <w:rPr>
          <w:rFonts w:ascii="arial" w:eastAsia="arial" w:hAnsi="arial" w:cs="arial"/>
          <w:color w:val="000000"/>
          <w:sz w:val="20"/>
          <w:lang w:val="en-US" w:eastAsia="en-US" w:bidi="ar-SA"/>
        </w:rPr>
        <w:t>  Considering the complexity and persistence of the plaintiff's anxiety, mood and pain disorders, I find that she will likely require and would benefit from further psychotherapeutic counselling. As Dr. O'Shaughnessy reported, the plaintiff will benefit from cognitive behavioural therapy that assists her in managing her anxiety and coping with her pain disorder so that she may function even when in discomfort.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308</w:t>
      </w:r>
      <w:r>
        <w:rPr>
          <w:rFonts w:ascii="arial" w:eastAsia="arial" w:hAnsi="arial" w:cs="arial"/>
          <w:color w:val="000000"/>
          <w:sz w:val="20"/>
          <w:lang w:val="en-US" w:eastAsia="en-US" w:bidi="ar-SA"/>
        </w:rPr>
        <w:t>  Bearing in mind that Ms. Andrews' current psychological conditions and symptoms were not all caused by the accident and that the plaintiff was at risk, in any event, of intermittent escalation of her pre-existing anxiety and depression, I find that a reasonable award for future cognitive behavioural therapy is $7,000.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309</w:t>
      </w:r>
      <w:r>
        <w:rPr>
          <w:rFonts w:ascii="arial" w:eastAsia="arial" w:hAnsi="arial" w:cs="arial"/>
          <w:color w:val="000000"/>
          <w:sz w:val="20"/>
          <w:lang w:val="en-US" w:eastAsia="en-US" w:bidi="ar-SA"/>
        </w:rPr>
        <w:t>  Ms. McLean has recommended that Ms. Andrews be provided with occupational therapy services for four hours per month for two years at an estimated cost of between $6,048 and $6,300 per year, based on the most recent fee structure for British Columbia occupational therapists. The occupational therapist would assist the plaintiff in setting and meeting realistic goals in her day to day functioning. Dr. Travlos also recommended occupational therapy. He thought that if the plaintiff had the assistance of an occupational therapist, established regular sleeping patterns, and made progress with her mental health, she would be able to achieve normal social functioning. Dr. Travlos thought that the key to the plaintiff's recovery would be her response to psychotherapy. There is a real possibility that as her psychotherapy proceeds, the plaintiff's ability to function and manage her own daily activities will improve, and her need for the assistance of an occupational therapist will diminish. The current impairment of the plaintiff's functioning results from her psychological condition, rather than any ongoing physical disability caused by the accident. I have found that 50% of the plaintiff's current psychological symptoms are attributable to the motor vehicle accident. Taking all of these factors into account, I would allow $6,200 for occupational therapy services, representing half the amount recommended by Ms. McLean, or one year of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310</w:t>
      </w:r>
      <w:r>
        <w:rPr>
          <w:rFonts w:ascii="arial" w:eastAsia="arial" w:hAnsi="arial" w:cs="arial"/>
          <w:color w:val="000000"/>
          <w:sz w:val="20"/>
          <w:lang w:val="en-US" w:eastAsia="en-US" w:bidi="ar-SA"/>
        </w:rPr>
        <w:t>  Ms. McLean has also recommended that Ms. Andrews be provided with the services of a rehabilitation assistant to help her with de-cluttering and reorganizing her apartment for 13 sessions over a period of three months at a cost of $812.50. I am satisfied that the plaintiff would benefit from that assistance. Again, recognizing the possibility that Ms. Andrews might have required help in organizing her home in any event, I would allow half of the amount claimed for this item.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311</w:t>
      </w:r>
      <w:r>
        <w:rPr>
          <w:rFonts w:ascii="arial" w:eastAsia="arial" w:hAnsi="arial" w:cs="arial"/>
          <w:color w:val="000000"/>
          <w:sz w:val="20"/>
          <w:lang w:val="en-US" w:eastAsia="en-US" w:bidi="ar-SA"/>
        </w:rPr>
        <w:t>  I have found that by the time of trial the plaintiff had returned to her original position with respect to her physical complaints and symptoms. Accordingly, I make no award for costs of future care for physiotherapy or the replacement of the plaintiff's ergonomic chair and footrest. However, one of the recommendations made by Dr. Travlos to assist the plaintiff in achieving "functional daily societal participation" was that she increase her level of physical activity by exercising at a community centre or gym, where she would be more likely to complete an exercise regime than if left to her own devices at home. Dr. Travlos recommended that the plaintiff start with two sessions a week and gradually increase to four to five sessions per week, including Bikram yoga and Pilates fitness classes.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312</w:t>
      </w:r>
      <w:r>
        <w:rPr>
          <w:rFonts w:ascii="arial" w:eastAsia="arial" w:hAnsi="arial" w:cs="arial"/>
          <w:color w:val="000000"/>
          <w:sz w:val="20"/>
          <w:lang w:val="en-US" w:eastAsia="en-US" w:bidi="ar-SA"/>
        </w:rPr>
        <w:t>  Ms. McLean has recommended that the plaintiff continue have the assistance of a kinesiologist over the next two years to assist her in following through with an exercise program. Ms. McLean has proposed that the kinesiologist initially work with the plaintiff three times a week for three months, and then reduce her involvement in stages to one session per month in the second year. Annual membership for a community recreation centre would cost $357. Ms. McLean has recommended adding one Pilates or yoga class per week starting in the fourth month of the proposed two-year program at a cost of $18 per session for yoga or $14 per session for Pilates.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313</w:t>
      </w:r>
      <w:r>
        <w:rPr>
          <w:rFonts w:ascii="arial" w:eastAsia="arial" w:hAnsi="arial" w:cs="arial"/>
          <w:color w:val="000000"/>
          <w:sz w:val="20"/>
          <w:lang w:val="en-US" w:eastAsia="en-US" w:bidi="ar-SA"/>
        </w:rPr>
        <w:t>  Mr. Benning has estimated the present value of the two years of kinesiology recommended by Ms. McLean at $6,183, and the cost of two years' membership at a community centre plus the recommended fitness classes at $2,182, for a total of $8,365.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314</w:t>
      </w:r>
      <w:r>
        <w:rPr>
          <w:rFonts w:ascii="arial" w:eastAsia="arial" w:hAnsi="arial" w:cs="arial"/>
          <w:color w:val="000000"/>
          <w:sz w:val="20"/>
          <w:lang w:val="en-US" w:eastAsia="en-US" w:bidi="ar-SA"/>
        </w:rPr>
        <w:t>  The plaintiff's inability to organize and motivate herself to increase her physical activity is only attributable in part to the motor vehicle accident. In addition, based on the plaintiff's past irregular attendance at exercise classes, there is a significant risk that she may not take advantage of the entire recommended exercise regime. Taking those factors into account, I find that $2,500 is a reasonable allowance for future costs of kinesiology, a fitness centre membership and classes.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315</w:t>
      </w:r>
      <w:r>
        <w:rPr>
          <w:rFonts w:ascii="arial" w:eastAsia="arial" w:hAnsi="arial" w:cs="arial"/>
          <w:color w:val="000000"/>
          <w:sz w:val="20"/>
          <w:lang w:val="en-US" w:eastAsia="en-US" w:bidi="ar-SA"/>
        </w:rPr>
        <w:t>  Bearing in mind that the award for costs of future care must be moderate and fair to both parties, and that I have found that 50% of the plaintiff's ongoing psychological symptoms are attributable to causes other than the motor vehicle accident, I assess damages for cost of future care in the total amount of $16,000.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316</w:t>
      </w:r>
      <w:r>
        <w:rPr>
          <w:rFonts w:ascii="arial" w:eastAsia="arial" w:hAnsi="arial" w:cs="arial"/>
          <w:color w:val="000000"/>
          <w:sz w:val="20"/>
          <w:lang w:val="en-US" w:eastAsia="en-US" w:bidi="ar-SA"/>
        </w:rPr>
        <w:t>  I make no deduction from the award of damages for cost of future care for the plaintiff's past failure to follow certain recommendations of her care providers. By the time of trial, the plaintiff was following the recommendations of her treating professionals, and was reporting progress.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317</w:t>
      </w:r>
      <w:r>
        <w:rPr>
          <w:rFonts w:ascii="arial" w:eastAsia="arial" w:hAnsi="arial" w:cs="arial"/>
          <w:color w:val="000000"/>
          <w:sz w:val="20"/>
          <w:lang w:val="en-US" w:eastAsia="en-US" w:bidi="ar-SA"/>
        </w:rPr>
        <w:t xml:space="preserve">  An injured person is entitled to recover reasonable out-of-pocket expenses incurred as a result of an accident, in order to restore the claimant to the position he or she would have been in had the accident not occurred: </w:t>
      </w:r>
      <w:r>
        <w:rPr>
          <w:rFonts w:ascii="arial" w:eastAsia="arial" w:hAnsi="arial" w:cs="arial"/>
          <w:i/>
          <w:color w:val="000000"/>
          <w:sz w:val="20"/>
          <w:lang w:val="en-US" w:eastAsia="en-US" w:bidi="ar-SA"/>
        </w:rPr>
        <w:t>X. v. Y</w:t>
      </w:r>
      <w:r>
        <w:rPr>
          <w:rFonts w:ascii="arial" w:eastAsia="arial" w:hAnsi="arial" w:cs="arial"/>
          <w:color w:val="000000"/>
          <w:sz w:val="20"/>
          <w:lang w:val="en-US" w:eastAsia="en-US" w:bidi="ar-SA"/>
        </w:rPr>
        <w:t xml:space="preserve">, </w:t>
      </w:r>
      <w:hyperlink r:id="rId541" w:history="1">
        <w:r>
          <w:rPr>
            <w:rFonts w:ascii="arial" w:eastAsia="arial" w:hAnsi="arial" w:cs="arial"/>
            <w:i/>
            <w:color w:val="0077CC"/>
            <w:sz w:val="20"/>
            <w:u w:val="single"/>
            <w:shd w:val="clear" w:color="auto" w:fill="FFFFFF"/>
            <w:lang w:val="en-US" w:eastAsia="en-US" w:bidi="ar-SA"/>
          </w:rPr>
          <w:t>2011 BCSC 944</w:t>
        </w:r>
      </w:hyperlink>
      <w:r>
        <w:rPr>
          <w:rFonts w:ascii="arial" w:eastAsia="arial" w:hAnsi="arial" w:cs="arial"/>
          <w:color w:val="000000"/>
          <w:sz w:val="20"/>
          <w:lang w:val="en-US" w:eastAsia="en-US" w:bidi="ar-SA"/>
        </w:rPr>
        <w:t xml:space="preserve"> at para. 281</w:t>
      </w:r>
      <w:r>
        <w:rPr>
          <w:rFonts w:ascii="arial" w:eastAsia="arial" w:hAnsi="arial" w:cs="arial"/>
          <w:i/>
          <w:color w:val="000000"/>
          <w:sz w:val="20"/>
          <w:lang w:val="en-US" w:eastAsia="en-US" w:bidi="ar-SA"/>
        </w:rPr>
        <w:t>; Milina v. Bartch</w:t>
      </w:r>
      <w:r>
        <w:rPr>
          <w:rFonts w:ascii="arial" w:eastAsia="arial" w:hAnsi="arial" w:cs="arial"/>
          <w:color w:val="000000"/>
          <w:sz w:val="20"/>
          <w:lang w:val="en-US" w:eastAsia="en-US" w:bidi="ar-SA"/>
        </w:rPr>
        <w:t xml:space="preserve"> at para. 170.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318</w:t>
      </w:r>
      <w:r>
        <w:rPr>
          <w:rFonts w:ascii="arial" w:eastAsia="arial" w:hAnsi="arial" w:cs="arial"/>
          <w:color w:val="000000"/>
          <w:sz w:val="20"/>
          <w:lang w:val="en-US" w:eastAsia="en-US" w:bidi="ar-SA"/>
        </w:rPr>
        <w:t>  The plaintiff claims special damages of $76,924.07 for costs of treatment she has incurred since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319</w:t>
      </w:r>
      <w:r>
        <w:rPr>
          <w:rFonts w:ascii="arial" w:eastAsia="arial" w:hAnsi="arial" w:cs="arial"/>
          <w:color w:val="000000"/>
          <w:sz w:val="20"/>
          <w:lang w:val="en-US" w:eastAsia="en-US" w:bidi="ar-SA"/>
        </w:rPr>
        <w:t>  The defendants submit that in light of the plaintiff's original position, she would have incurred many of the expenses she has claimed in any event. The defendants also contend that because the plaintiff testified she had not paid for any of the claimed expenses, she has failed to prove her entitlement to special damages. Alternatively, the defendants argue that if special damages are awarded, they should be limited to a specific time period for which Ms. Andrews required the treatments claimed as a result of her injuries rather than other causes.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320</w:t>
      </w:r>
      <w:r>
        <w:rPr>
          <w:rFonts w:ascii="arial" w:eastAsia="arial" w:hAnsi="arial" w:cs="arial"/>
          <w:color w:val="000000"/>
          <w:sz w:val="20"/>
          <w:lang w:val="en-US" w:eastAsia="en-US" w:bidi="ar-SA"/>
        </w:rPr>
        <w:t>  The plaintiff's solicitors paid the invoices for the expenses claimed as special damages. I am satisfied that those expenses were paid on the plaintiff's behalf, and she is ultimately responsible for them. Accordingly, the plaintiff is entitled to an award of special damages for the out-of-pocket expenses which were reasonably incurred as a result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321</w:t>
      </w:r>
      <w:r>
        <w:rPr>
          <w:rFonts w:ascii="arial" w:eastAsia="arial" w:hAnsi="arial" w:cs="arial"/>
          <w:color w:val="000000"/>
          <w:sz w:val="20"/>
          <w:lang w:val="en-US" w:eastAsia="en-US" w:bidi="ar-SA"/>
        </w:rPr>
        <w:t>  Based on my finding that 50% of the plaintiff's ongoing psychological symptoms are attributable to the motor vehicle accident, I would allow 50% of the amounts claimed for the psychological counselling provided by Chuck Jung Associates in the amount of $4,817.50 and half of the psychological counselling provided by Dr. Joanne MacKinnon in the amount of $2,293.75, for a total of $7,111.25.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322</w:t>
      </w:r>
      <w:r>
        <w:rPr>
          <w:rFonts w:ascii="arial" w:eastAsia="arial" w:hAnsi="arial" w:cs="arial"/>
          <w:color w:val="000000"/>
          <w:sz w:val="20"/>
          <w:lang w:val="en-US" w:eastAsia="en-US" w:bidi="ar-SA"/>
        </w:rPr>
        <w:t>  I have found that the plaintiff required home support assistance through February 2010. Therefore I award the amount claimed for home support services from November 2, 2009 through February 28, 2010 in the sum of $1,338.75.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323</w:t>
      </w:r>
      <w:r>
        <w:rPr>
          <w:rFonts w:ascii="arial" w:eastAsia="arial" w:hAnsi="arial" w:cs="arial"/>
          <w:color w:val="000000"/>
          <w:sz w:val="20"/>
          <w:lang w:val="en-US" w:eastAsia="en-US" w:bidi="ar-SA"/>
        </w:rPr>
        <w:t>  The plaintiff claims a total of $20,346 for physiotherapy, including $6,440 for massage therapy and $6,150 for active rehabilitation. The plaintiff claims for 114 physiotherapy sessions, 67 massage therapy sessions and 71 active rehabilitation sessions. I have found that Ms. Andrews had substantially recovered from her physical injuries caused by the motor vehicle accident by late January 2011. The total expense incurred for physiotherapy, massage therapy and active rehabilitation services through January 2011 was $14,661.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324</w:t>
      </w:r>
      <w:r>
        <w:rPr>
          <w:rFonts w:ascii="arial" w:eastAsia="arial" w:hAnsi="arial" w:cs="arial"/>
          <w:color w:val="000000"/>
          <w:sz w:val="20"/>
          <w:lang w:val="en-US" w:eastAsia="en-US" w:bidi="ar-SA"/>
        </w:rPr>
        <w:t>  The plaintiff suffered minor to moderate physical injuries in the motor vehicle accident. Much of her ongoing pain was and is attributable to her psychological condition, and in particular, her pain disorder, which has impeded her recovery. Ms. Andrews also missed appointments for physiotherapy and massage therapy, which probably set back her recovery time. Further, the plaintiff has a history of flare-ups of her pre-existing neck and back pain. Bearing in mind the necessity for the court to exercise caution in arriving at fair and reasonable compensation where the plaintiff's complaints of pain have persisted beyond any normal recovery period for the soft tissue injuries she sustained in the accident, I award $7,500 as special damages for physiotherapy, including massage therapy and active rehabilitation.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325</w:t>
      </w:r>
      <w:r>
        <w:rPr>
          <w:rFonts w:ascii="arial" w:eastAsia="arial" w:hAnsi="arial" w:cs="arial"/>
          <w:color w:val="000000"/>
          <w:sz w:val="20"/>
          <w:lang w:val="en-US" w:eastAsia="en-US" w:bidi="ar-SA"/>
        </w:rPr>
        <w:t>  The plaintiff also claims $2,240 for the MRI brain and chest scan performed October 20, 2009. I am satisfied that expense was reasonably incurred in the investigation of the plaintiff's complaints of acute chest pain and cognitive impairment. The MRI scan enabled Ms. Andrews' medical care providers to diagnose her fractured sternum and indicated that the plaintiff had not suffered a traumatic brain injury as a result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326</w:t>
      </w:r>
      <w:r>
        <w:rPr>
          <w:rFonts w:ascii="arial" w:eastAsia="arial" w:hAnsi="arial" w:cs="arial"/>
          <w:color w:val="000000"/>
          <w:sz w:val="20"/>
          <w:lang w:val="en-US" w:eastAsia="en-US" w:bidi="ar-SA"/>
        </w:rPr>
        <w:t>  The plaintiff claims $36,798.19 for occupational therapy services provided by Turning Point Rehabilitation between October 31, 2009 and the date of trial. In addition to providing occupational therapy to Ms. Andrews, Turning Point, acting under the direction of the plaintiff's solicitors, managed or coordinated all of the plaintiff's multiple therapies. The Turning Point invoices, which I have reviewed, contain multiple entries for e-mail, telephone calls, and meetings with the plaintiff's lawyers, paralegals and other health care providers, time devoted to preparation for team meetings and other administrative matters. The plaintiff called no witness from Turning Point to establish the reasonableness of the amount claimed, or explain the efficacy of or benefit to Ms. Andrews of the "indirect" or administrative services provided by Turning Point. The plaintiff has not shown that all of the out-of-pocket expenses claimed for occupational therapy services were reasonably incurred in order to restore Ms. Andrews to the position she would have been in but for the accident. On my review of the Turning Point invoices, about 60% of the amount claimed represents time and disbursements incurred for one-on-one occupational therapy sessions with the plaintiff and related travel, including the kinesiology provided by Turning Point. Sixty per cent of the amount claimed is roughly $ 22,080. Bearing in mind the real possibility that the plaintiff might have decompensated before the trial date even if the accident had not occurred, and would then have required occupational therapy in any event I find that the reasonable allowance for this item is 50% of $22,080, which I have rounded to $11,000.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327</w:t>
      </w:r>
      <w:r>
        <w:rPr>
          <w:rFonts w:ascii="arial" w:eastAsia="arial" w:hAnsi="arial" w:cs="arial"/>
          <w:color w:val="000000"/>
          <w:sz w:val="20"/>
          <w:lang w:val="en-US" w:eastAsia="en-US" w:bidi="ar-SA"/>
        </w:rPr>
        <w:t>  Ms. Andrews has claimed $2,352.25 for cab fare between February 28, 2011 and November 30, 2012 to attend her various treatments. In addition, the plaintiff has claimed mileage, at 50 cents per kilometer in the amount of $1,417.88 for visits to her physiotherapists, yoga classes, a fitness centre, her family doctors and treating psychologists. Some of the mileage and taxi fare claimed relates to travel for counselling sessions and other attendances for treatment that were not attributable to the accident. I would allow the plaintiff $1,000 for her taxi fares and $700 for mileage.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328</w:t>
      </w:r>
      <w:r>
        <w:rPr>
          <w:rFonts w:ascii="arial" w:eastAsia="arial" w:hAnsi="arial" w:cs="arial"/>
          <w:color w:val="000000"/>
          <w:sz w:val="20"/>
          <w:lang w:val="en-US" w:eastAsia="en-US" w:bidi="ar-SA"/>
        </w:rPr>
        <w:t>  I allow the claim for yoga in the full amount of $142.80, but do not allow the amounts claimed for gym membership. The latter expenses were incurred at a time when the plaintiff was not following a regular exercise regime. I am not persuaded that the plaintiff derived any benefit from this expense.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329</w:t>
      </w:r>
      <w:r>
        <w:rPr>
          <w:rFonts w:ascii="arial" w:eastAsia="arial" w:hAnsi="arial" w:cs="arial"/>
          <w:color w:val="000000"/>
          <w:sz w:val="20"/>
          <w:lang w:val="en-US" w:eastAsia="en-US" w:bidi="ar-SA"/>
        </w:rPr>
        <w:t>  Finally, I would allow $350 of the $672 claimed for the clean-up or "de-cluttering" of the plaintiff's home, recognizing that she would likely have incurred some of this expense in any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330</w:t>
      </w:r>
      <w:r>
        <w:rPr>
          <w:rFonts w:ascii="arial" w:eastAsia="arial" w:hAnsi="arial" w:cs="arial"/>
          <w:color w:val="000000"/>
          <w:sz w:val="20"/>
          <w:lang w:val="en-US" w:eastAsia="en-US" w:bidi="ar-SA"/>
        </w:rPr>
        <w:t>  To conclude, damages are awarded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3869"/>
        <w:gridCol w:w="2718"/>
        <w:gridCol w:w="25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378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Non-pecuniary damages</w:t>
            </w:r>
          </w:p>
        </w:tc>
        <w:tc>
          <w:tcPr>
            <w:tcW w:w="266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$ 85.000.00</w:t>
            </w:r>
          </w:p>
        </w:tc>
        <w:tc>
          <w:tcPr>
            <w:tcW w:w="245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4392"/>
        <w:gridCol w:w="2195"/>
        <w:gridCol w:w="25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w:t>
            </w:r>
          </w:p>
        </w:tc>
        <w:tc>
          <w:tcPr>
            <w:tcW w:w="430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Past loss of earning capacity</w:t>
            </w:r>
          </w:p>
        </w:tc>
        <w:tc>
          <w:tcPr>
            <w:tcW w:w="215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$ 84,000.00</w:t>
            </w:r>
          </w:p>
        </w:tc>
        <w:tc>
          <w:tcPr>
            <w:tcW w:w="245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4496"/>
        <w:gridCol w:w="2091"/>
        <w:gridCol w:w="25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w:t>
            </w:r>
          </w:p>
        </w:tc>
        <w:tc>
          <w:tcPr>
            <w:tcW w:w="440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Future loss of earning capacity</w:t>
            </w:r>
          </w:p>
        </w:tc>
        <w:tc>
          <w:tcPr>
            <w:tcW w:w="204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$150,000.00</w:t>
            </w:r>
          </w:p>
        </w:tc>
        <w:tc>
          <w:tcPr>
            <w:tcW w:w="245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3764"/>
        <w:gridCol w:w="2823"/>
        <w:gridCol w:w="25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w:t>
            </w:r>
          </w:p>
        </w:tc>
        <w:tc>
          <w:tcPr>
            <w:tcW w:w="368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Cost of future care</w:t>
            </w:r>
          </w:p>
        </w:tc>
        <w:tc>
          <w:tcPr>
            <w:tcW w:w="276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$ 16,000.00</w:t>
            </w:r>
          </w:p>
        </w:tc>
        <w:tc>
          <w:tcPr>
            <w:tcW w:w="245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3450"/>
        <w:gridCol w:w="3137"/>
        <w:gridCol w:w="25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w:t>
            </w:r>
          </w:p>
        </w:tc>
        <w:tc>
          <w:tcPr>
            <w:tcW w:w="337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Special damages</w:t>
            </w:r>
          </w:p>
        </w:tc>
        <w:tc>
          <w:tcPr>
            <w:tcW w:w="307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$ 31,386.60</w:t>
            </w:r>
          </w:p>
        </w:tc>
        <w:tc>
          <w:tcPr>
            <w:tcW w:w="245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2927"/>
        <w:gridCol w:w="3660"/>
        <w:gridCol w:w="25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86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w:t>
            </w:r>
          </w:p>
        </w:tc>
        <w:tc>
          <w:tcPr>
            <w:tcW w:w="358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$366,386.60</w:t>
            </w:r>
          </w:p>
        </w:tc>
        <w:tc>
          <w:tcPr>
            <w:tcW w:w="245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331</w:t>
      </w:r>
      <w:r>
        <w:rPr>
          <w:rFonts w:ascii="arial" w:eastAsia="arial" w:hAnsi="arial" w:cs="arial"/>
          <w:color w:val="000000"/>
          <w:sz w:val="20"/>
          <w:lang w:val="en-US" w:eastAsia="en-US" w:bidi="ar-SA"/>
        </w:rPr>
        <w:t>  This award is subject to a reduction for failure to mitigate of 10% on non-pecuniary damages. Accordingly, after that deduction is made, the total award of damages is $357,886.60.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DEDUCTIONS AND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332</w:t>
      </w:r>
      <w:r>
        <w:rPr>
          <w:rFonts w:ascii="arial" w:eastAsia="arial" w:hAnsi="arial" w:cs="arial"/>
          <w:color w:val="000000"/>
          <w:sz w:val="20"/>
          <w:lang w:val="en-US" w:eastAsia="en-US" w:bidi="ar-SA"/>
        </w:rPr>
        <w:t xml:space="preserve">  Counsel have requested that any matters relating to deductions for advances, amounts deductible pursuant to s. 83 of the </w:t>
      </w:r>
      <w:r>
        <w:rPr>
          <w:rFonts w:ascii="arial" w:eastAsia="arial" w:hAnsi="arial" w:cs="arial"/>
          <w:i/>
          <w:color w:val="000000"/>
          <w:sz w:val="20"/>
          <w:lang w:val="en-US" w:eastAsia="en-US" w:bidi="ar-SA"/>
        </w:rPr>
        <w:t>Insurance (Vehicle) Act</w:t>
      </w:r>
      <w:r>
        <w:rPr>
          <w:rFonts w:ascii="arial" w:eastAsia="arial" w:hAnsi="arial" w:cs="arial"/>
          <w:color w:val="000000"/>
          <w:sz w:val="20"/>
          <w:lang w:val="en-US" w:eastAsia="en-US" w:bidi="ar-SA"/>
        </w:rPr>
        <w:t>, any tax gross-up, and costs all be addressed following the delivery of these Reasons. Accordingly, counsel are at liberty to set a hearing date, through the Registry, to address those matters.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P.J. PEARLMAN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58" style="position:absolute;z-index:2517882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42"/>
          <w:headerReference w:type="default" r:id="rId543"/>
          <w:footerReference w:type="even" r:id="rId544"/>
          <w:footerReference w:type="default" r:id="rId545"/>
          <w:headerReference w:type="first" r:id="rId546"/>
          <w:footerReference w:type="first" r:id="rId54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548" w:history="1">
        <w:r>
          <w:rPr>
            <w:rFonts w:ascii="arial" w:eastAsia="arial" w:hAnsi="arial" w:cs="arial"/>
            <w:b/>
            <w:bCs/>
            <w:i/>
            <w:color w:val="0077CC"/>
            <w:kern w:val="32"/>
            <w:sz w:val="28"/>
            <w:szCs w:val="32"/>
            <w:u w:val="single"/>
            <w:shd w:val="clear" w:color="auto" w:fill="FFFFFF"/>
            <w:lang w:val="en-US" w:eastAsia="en-US" w:bidi="ar-SA"/>
          </w:rPr>
          <w:t>Boston Pizza International Inc. v. Filcan Ventures (International) Inc., [2001] B.C.J. No. 3108</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A.G. Henderson J.</w:t>
      </w:r>
    </w:p>
    <w:p>
      <w:pPr>
        <w:spacing w:before="120" w:line="260" w:lineRule="atLeast"/>
        <w:jc w:val="center"/>
        <w:rPr>
          <w:lang w:val="en-US" w:eastAsia="en-US" w:bidi="ar-SA"/>
        </w:rPr>
      </w:pPr>
      <w:r>
        <w:rPr>
          <w:rFonts w:ascii="arial" w:eastAsia="arial" w:hAnsi="arial" w:cs="arial"/>
          <w:color w:val="000000"/>
          <w:sz w:val="20"/>
          <w:lang w:val="en-US" w:eastAsia="en-US" w:bidi="ar-SA"/>
        </w:rPr>
        <w:t>Oral judgment: November 23, 2001.</w:t>
      </w:r>
    </w:p>
    <w:p>
      <w:pPr>
        <w:spacing w:before="120" w:line="260" w:lineRule="atLeast"/>
        <w:jc w:val="center"/>
        <w:rPr>
          <w:lang w:val="en-US" w:eastAsia="en-US" w:bidi="ar-SA"/>
        </w:rPr>
      </w:pPr>
      <w:r>
        <w:rPr>
          <w:rFonts w:ascii="arial" w:eastAsia="arial" w:hAnsi="arial" w:cs="arial"/>
          <w:color w:val="000000"/>
          <w:sz w:val="20"/>
          <w:lang w:val="en-US" w:eastAsia="en-US" w:bidi="ar-SA"/>
        </w:rPr>
        <w:t>Docket: C952134</w:t>
      </w:r>
    </w:p>
    <w:p>
      <w:pPr>
        <w:spacing w:before="120" w:line="260" w:lineRule="atLeast"/>
        <w:jc w:val="center"/>
        <w:rPr>
          <w:lang w:val="en-US" w:eastAsia="en-US" w:bidi="ar-SA"/>
        </w:rPr>
      </w:pPr>
      <w:r>
        <w:rPr>
          <w:rFonts w:ascii="arial" w:eastAsia="arial" w:hAnsi="arial" w:cs="arial"/>
          <w:color w:val="000000"/>
          <w:sz w:val="20"/>
          <w:lang w:val="en-US" w:eastAsia="en-US" w:bidi="ar-SA"/>
        </w:rPr>
        <w:t>Registry: Vancouver</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[2001] B.C.J. No. 3108</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2001 BCSC 1907</w:t>
      </w:r>
    </w:p>
    <w:p>
      <w:pPr>
        <w:spacing w:before="120" w:line="260" w:lineRule="atLeast"/>
        <w:rPr>
          <w:lang w:val="en-US" w:eastAsia="en-US" w:bidi="ar-SA"/>
        </w:rPr>
      </w:pPr>
      <w:r>
        <w:rPr>
          <w:rFonts w:ascii="arial" w:eastAsia="arial" w:hAnsi="arial" w:cs="arial"/>
          <w:color w:val="000000"/>
          <w:sz w:val="20"/>
          <w:lang w:val="en-US" w:eastAsia="en-US" w:bidi="ar-SA"/>
        </w:rPr>
        <w:t>Between Boston Pizza International Inc., Plaintiff, and Filcan Ventures (International) Inc., Felix Lacsamana, Quentin Rickerby, Michael Presse also known as Mike Prasse, Efren Aquino, Danilo Santos Carlos also known as Danny Carlos and Pocholo Martin Aquino also known as P. Martin G. Aquino,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(107 paras.)</w:t>
      </w:r>
    </w:p>
    <w:p>
      <w:pPr>
        <w:jc w:val="both"/>
        <w:rPr>
          <w:lang w:val="en-US" w:eastAsia="en-US" w:bidi="ar-SA"/>
        </w:rPr>
      </w:pPr>
      <w:bookmarkStart w:id="172" w:name="Counsel_27"/>
      <w:bookmarkEnd w:id="172"/>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159" style="position:absolute;z-index:251686912"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Plaintiff: A. Morrison and G. Harney.</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Defendants: G.H. Fraser.</w:t>
      </w:r>
      <w:r>
        <w:rPr>
          <w:lang w:val="en-US" w:eastAsia="en-US" w:bidi="ar-SA"/>
        </w:rPr>
        <w:cr/>
      </w:r>
    </w:p>
    <w:p>
      <w:pPr>
        <w:spacing w:after="240"/>
        <w:rPr>
          <w:lang w:val="en-US" w:eastAsia="en-US" w:bidi="ar-SA"/>
        </w:rPr>
      </w:pPr>
      <w:bookmarkStart w:id="173" w:name="Judgment_27"/>
      <w:bookmarkEnd w:id="173"/>
      <w:r>
        <w:pict>
          <v:line id="_x0000_s1160" style="position:absolute;z-index:251738112" from="0,12pt" to="512pt,12pt" strokecolor="#009ddb" strokeweight="1.5pt">
            <v:stroke linestyle="single"/>
          </v:line>
        </w:pict>
      </w:r>
    </w:p>
    <w:p>
      <w:pPr>
        <w:spacing w:before="120" w:line="260" w:lineRule="atLeast"/>
        <w:jc w:val="center"/>
        <w:rPr>
          <w:lang w:val="en-US" w:eastAsia="en-US" w:bidi="ar-SA"/>
        </w:rPr>
      </w:pPr>
      <w:r>
        <w:rPr>
          <w:rFonts w:ascii="arial" w:eastAsia="arial" w:hAnsi="arial" w:cs="arial"/>
          <w:color w:val="000000"/>
          <w:sz w:val="20"/>
          <w:lang w:val="en-US" w:eastAsia="en-US" w:bidi="ar-SA"/>
        </w:rPr>
        <w:t>Oral Reasons for judgment</w:t>
      </w:r>
      <w:r>
        <w:rPr>
          <w:lang w:val="en-US" w:eastAsia="en-US" w:bidi="ar-SA"/>
        </w:rPr>
        <w:cr/>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43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174" w:name="A.G. HENDERSON J. (orally)"/>
            <w:bookmarkEnd w:id="174"/>
            <w:r>
              <w:rPr>
                <w:rFonts w:ascii="arial" w:eastAsia="arial" w:hAnsi="arial" w:cs="arial"/>
                <w:b/>
                <w:color w:val="000000"/>
                <w:sz w:val="30"/>
                <w:lang w:val="en-US" w:eastAsia="en-US" w:bidi="ar-SA"/>
              </w:rPr>
              <w:t>A.G. HENDERSON J. (orally)</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Boston Pizza International and the corporate defendant Filcan entered into a franchise agreement for the operation of what is known as a "Quick Express" or "Q.E." restaurant on Robson Street in Vancouver. This is a small kiosk type operation which is significantly different in its operation, appearance and clientele from traditional full-service restaurants. The individual defendants were all involved in the financing or operation (or both) of the franchised restaurant.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 have already granted judgment upon admissions to the plaintiff, Boston Pizza, with respect to certain unpaid royalties which the franchise agreement obligated Filcan to pay. This trial has been concerned with a counterclaim by the defendants.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defendant Quentin Rickerby is a discharged bankrupt. His claim has not been pursued, although Mr. Rickerby did give evidence. Filcan also has gone through a bankruptcy but it assigned its right to pursue its claim in this proceeding to the individual defendants.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Many of the individual allegations overlap. They fall into three broad categories.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first cause of action is negligent misrepresentation. It is said that a number of misrepresentations were made by Boston Pizza concerning the worth of the location, the viability of the concept, and the prospects of success. The Filcan group says that these misrepresentations were negligent and induced them to enter into the franchise agreement. There is one specific allegation, which is that, at a meeting on March 14, 1994, the chief executive officer of Boston Pizza, George Melville, said that all of the other Boston Pizza Quick Expresses were doing well and making money.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second group of allegations relates to breach of contract. I will describe the material terms of the franchise agreement later. In general, it requires the franchisor to render significant assistance to the franchisee in a number of areas. The focus in this trial was on the obligation to render assistance in marketing and accounting. The other major breach of contract alleged is the failure to provide adequate location research.</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third group of allegations amount to a claim that the various acts of assistance and services which Boston Pizza rendered to its franchisee in accordance with the franchise agreement were provided in a negligent manner.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 will describe the claims in greater detail after I have set out the chronology of events.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Robson Street is a very busy commercial area in the heart of Vancouver. Boston Pizza had long had its eye on that location.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It was not alone. Two of the individual defendants, Quentin Rickerby and Mike Prasse, were Boston Pizza franchisees in a full-service restaurant in North Vancouver. They had turned that restaurant from a money-loser to a successful venture. They were confident of their abilities. In a letter, these two members described the Robson Street area (and the downtown Vancouver area in general) as an "untapped market". They described themselves as "aggressive" businessmen and expressed a keen interest in pursuing any opportunity that might arise on Robson Street.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Because Messrs. Rickerby and Prasse had virtually day-to-day contact with Boston Pizza, they naturally fell into discussions with it about the Robson area. At one point, a full-service restaurant was envisioned there but the premises were snapped up by somebody else. Boston Pizza then brought to the attention of Messrs. Prasse and Rickerby the possibility of opening a Quick Express at a street level location which was too small for a full-service operation.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It was clear from the outset that this was a novel and somewhat experimental concept. Boston Pizza had several other Quick Expresses, in such places as shopping malls and airports, but had not tried a street level operation before. All of the members of the Filcan group knew that, at all material times.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Messrs. Rickerby and Prasse recruited Mr. Efren Aquino (and, to a lesser extent, the other defendants) to be their financial backers. For the most part, the money was put up by Efren Aquino.</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group was presented with a prospectus filed by Boston Pizza in Alberta under the applicable securities legislation, and with a document specific to the Robson Street location described as the "Business Opportunity".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Business Opportunity describes the prospects of a Quick Express on Robson in buoyant and optimistic terms. There are sales projections, cost projections, and corresponding revenue projections in the document. Three scenarios were presented. There was a projection of $350,000 in sales the first year or, alternatively, $400,000 or, in the further alternative, $450,000. In each of these scenarios, costs were set off against those projected revenues in order to project or forecast the profit that would result. No exception is taken to the costs figures in the Business Opportunity projections. They were based upon a great deal of experience Boston Pizza had had over the previous 20 to 25 years.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The Filcan group says, however, that the revenue projections were wildly and inaccurately optimistic, that they were based on inadequate and shoddy research, and that they amounted to a breach of the franchise agreement and to an act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What is referred to as "location research" was done primarily by John McDonald on behalf of his employer, Boston Pizza. Others also played a role, notably Mr. George Doran, a chartered accountant and an employee of Boston Pizza.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McDonald had an intimate familiarity with the Robson Street area. He kept in constant communication with landlords and businessmen there. He was often found speaking to real estate agents. On an anecdotal basis, he gathered a great deal of information or, if you like, did a great deal of "research" about possible Robson Street locations. He was aware, of course, of how busy the street was and that there was a very considerable amount of pedestrian traffic in the area.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He was also aware of several other pizza restaurants of varying types already established in that general area. Far from seeing that as a detriment, Mr. McDonald viewed this as positive. Many of the Boston Pizza personnel were of the view that their restaurants were at least as likely to succeed if they were located near restaurants of their competitors. In this light, Mr. McDonald viewed the presence of the Flying Wedge restaurant in the Robson area as a positive indicator. He believed at the time, based upon the information he had then received, that the Flying Wedge was earning over a million dollars a year selling pizza. Evidence obtained subsequently, for this proceeding, establishes that, while the Flying Wedge was not that successful, it was nevertheless doing very well. In the year 1993, the Flying Wedge sold $720,000 worth of pizza. It sold slightly more the following year.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McDonald, in projecting the revenue as he did, relied on one further very significant factor. The premises in question had been occupied by Dijo's Restaurant, itself a pizza operation. Mr. McDonald was in possession of an unaudited set of financial statements for Dijo's for the fiscal year ending on April 1, 1993. These showed Dijo's having enjoyed revenue of about $278,000 over the year. Mr. McDonald reasoned that Boston Pizza could and would do significantly better than Dijo's in that location because of the well-known Boston Pizza brand name and its marketing efforts. He therefore increased, for the purpose of his projections, the revenue earned by Dijo's to $350,000 for the most conservative of the three scenarios, and to $400,000 for the middle scenario.</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His methodology was criticized. The Filcan group's expert, Mr. Morrison, said that, had he been doing the projection (and he has done several in the past), he would have taken additional steps. He detailed several additional sources he would have gone to for information.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Business Opportunity was the main document relied upon by the Filcan group in deciding to make their investment and sign the franchise agreement. There was a meeting on March 14, 1994, which most of the group attended, together with Mr. Melville and Mr. Treliving, executives of Boston Pizza.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Despite the fact that all of the defendants were there to hear what Boston Pizza had to say about the prospects of the business, and despite the fact that Mr. Melville (as C.E.O. of the company) would have commanded their utmost attention, Efren Aquino is the only person who remembers Mr. Melville making the specific representation that all of the other Quick Expresses were doing well and making money.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Melville, testifying before me under oath, said that he cannot now recall precisely what was said at the meeting but he is entirely satisfied that he would not have said anything of that sort. He said that franchisees report to Boston Pizza their revenue figures but do not report their net profits. Those are confidential to the franchisee. Therefore, said Mr. Melville, he did not know, and would not have known, whether the individual Quick Expresses were actually earning money for their owners or not. He admitted that he could have drawn inferences from various sources, including the quantity of supplies being ordered and that sort of thing, but he emphasized that he had no real way of knowing whether an individual franchise was profitable for its owner and would not in any circumstances have made the representation attributed to him.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Some support for Efren Aquino's assertion is found in a letter from a Mr. Fox, in January, 1995, from Boston Pizza to Filcan, wherein Mr. Fox expresses the belief that the other Quick Expresses were making money. Notwithstanding that letter, the weight of the evidence is against Mr. Aquino's assertion. I am satisfied with Mr. Aquino's credibility. I am inclined to the view that he has confused in his recollection the conversation with Mr. Melville and certain other conversations he may have had, after signing the franchise agreement, with other Boston Pizza employees. On the balance of probabilities, I find that Mr. Melville did not make this representation.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purchasers, after obtaining independent legal advice, entered into the franchise agreement. That agreement required the franchisor to provide the franchisee with a number of things, including intellectual property rights, and (I quote here from clause 3(b)):</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Location research, site selection, and assistance in the negotiation of the lease or property purchase.</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And (e):</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On the job training with respect to the operation of the Boston Pizza Quick Express restaurant.</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And (f):</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Assistance in the opening of a Boston Pizza Quick Express restaurant, including the provision of a representative of a franchisor to spend time at the Boston Pizza Quick Express restaurant, in order to minimize the number of problems and to provide management advice on matters such as accounts, advertising, and licensing requirements.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And (j):</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Assistance in various areas of management, including accounting, advertising, construction and renovations, financing, lease negotiations, products and supplies, and bulk purchasing arrangements.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agreement also imposes certain obligations on the franchisee, including the obligation to pay royalties, to spend up to four percent of gross sales on advertising, and to carry out the advertising at its own initiative. Finally, there is an obligation described in clause 5(a):</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to diligently seek suitable locations for the restaurants.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Essentially, in the clauses which are in issue here, the franchisor is required to render assistance and to do location research. The level of assistance is not defined.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assistance must be that reasonable level of assistance which would have been in the contemplation of the parties at the time they entered into the agreement. References to the level of assistance provided by other franchisors to its franchisees, such as McDonald's, are not immaterial to that discussion but are not conclusive. It is a question of what these parties intended at the time they entered into this agreement.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As far as location research is concerned, that also, it seems to me, must be assessed on a reasonableness standard. Clearly, Boston Pizza did some location research. The argument here is that it was so inadequate, so lacking in substance or reasonableness, that it amounted in the circumstances to a breach of contract.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After signing the agreement, arrangements were quickly made to get the restaurant up and running. The first difficulty was a $22,000 overrun in the construction of the leasehold improvements. They were projected to cost $77,000 but they cost $99,000.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store had what is referred to as a "soft opening" on July 17, 1994, with a formal and more elaborate opening a few days later.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pricing of the product was suggested by the marketing department of Boston Pizza.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restaurant never really performed according to expectations. After a reasonable August and September, which were still below the projected revenues, the position deteriorated month by month.</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As of September 30th, the restaurant had earned about $47,500 on gross sales, which was well below what it needed to earn to break even and well below the projection.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Problems arose right from the beginning. Many creditors were unpaid. There were accounts receivable which, as of late November 1994, had not been paid and which predated the opening on July 17th.</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By November 17, 1994, creditors were demanding a significant amount of the employees' time at the restaurant as they phoned to demand payment. By November 21st, only five months or so after the opening, the principals were seriously considering putting the restaurant into bankruptcy. By December 1st, the amount owing to creditors was around $60,000.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franchisor never paid its royalties to Boston Pizza after the month of August. In addition, it left unpaid some of the money it owed to Boston Pizza for co-operative advertising in August.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These failures to satisfy obligations occurred so early in the life of the business that it is hard to escape the conclusion that the business was under-capitalized.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any event, despite not being paid its royalties, Boston Pizza continued to attempt to assist the business. It is important to note that franchisor and franchisee are in a symbiotic relationship. It is in the interests of both that the franchise succeed. It is only through the financial success of the franchisee that the franchisor will continue to earn royalties on a long-term basis.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By mid-December, the Filcan investors had come to the conclusion that the concept itself was wrong. It was not working. They attempted to make some changes in the product and the pricing.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These met with no success. The December sales were around $13,200, far less than what was projected for that month (which is usually one of the busiest of the year).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By February 2, 1995, Boston Pizza's solicitors were threatening to sue for the royalties and the investors were attempting to sell the business to somebody else. It struggled along for another two to three months and then folded.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There were a number of specific aspects of the business which were focused upon in the evidence. The first I will deal with is that of management.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original manager of the restaurant was expected to be Martin Aquino, Mr. Efren Aquino's son. He has a B.A. from Fordham University in political science and economics. He impressed me as a man of intelligence.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Martin Aquino, I find, received the same training that every other Boston Pizza franchise manager receives. For some reason, he had difficulties with it. A machine called "a Panasonic machine" is used to record the type of sale at the point of sale and to record the revenue received from sales. This machine can be configured so as to dump out the data it contains and provide the user with regular sales reports. Although Martin Aquino was trained to operate this machine, he said that the training did not really sink in and he had difficulty understanding how the Panasonic is used. A lot was said about the lack of a manual for the Panasonic machine. Apparently Boston Pizza either did not provide one or did not provide the right one, although the evidence on that point is unclear.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It is significant that Mr. Aquino, despite his well-educated background and his position as store manager, did not take the initiative to contact Panasonic, a large, multinational corporation, and ask for the appropriate manual. This difficulty with the Panasonic machine, combined with other difficulties with reporting forms (to which I will refer later), meant that it was not until around the end of September that the business began to report accurately its financial position. When it did so, it became clear to everyone that the business was not doing well.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Martin Aquino did not seem to be performing as expected. The investors, recognizing that, inserted Mr. Prasse into the business as manager sometime in October. Mr. Prasse was already heavily involved with the North Vancouver store. I infer that he spent a significant amount of time at that store. He was dividing his time between the two operations.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Mr. Rickerby, who was in charge of marketing for the Robson Street Q.E., divided his time in a similar way. Indeed, that had always been their proposal. In the letter to which I referred earlier, Messrs. Rickerby and Prasse spoke of running the store on the "general manager concept," by which they meant that the actual manager would not be on site more than a portion of the time.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Mr. Prasse, having failed to improve the financial position of the restaurant, left, and was replaced by the defendant Felix Lacsamana in December. Mr. Lacsamana had a successful track record as a McDonald's restaurant manager. Unfortunately, Mr. Lacsamana was still involved with McDonald's when he became the manager of the Quick Express. Although he was nominally the manager of the Q.E., by Christmas time Mr. Lacsamana was still working for McDonald's. I infer that he was available only part of the time to assist in the operation of the Q.E.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It is entirely clear that these frequent changes in management, and the fact that two of the three managers for periods of time were not able to devote their full-time attentions to the Quick Express, were important contributing factors to the lack of success of the operation.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Another major focus of the trial had to do with an operations manual. I am satisfied that Mr. Melville promised an operations manual to these defendants. One is routinely provided to franchisees in franchise operations. Boston Pizza follows that practice.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No single volume of documents amounting to an operations manual was ever provided to the defendants. They were provided with a considerable quantity of material, some of which pertained primarily to full-service restaurants, but much of which was relevant to Quick Express operations. These bits and pieces of material were provided at various times. They should have been collected into a single volume, tabbed and indexed, which store employees could have referred to and used like an operations manual. That was not done. Boston Pizza did not do it. Neither did any of the Filcan group.</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As of July 17, 1994, many of the forms used by the Quick Express to report and analyze its financial position were really forms that were designed and optimized for the full-service restaurants. Custom-designed forms for the Quick Express on Robson Street were delivered around September 22, 1994.</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In the result, the Quick Express was provided with the sort of information that one would find in an operations manual, but it was provided in bits and pieces rather than in one organized binder. Some of the bits and pieces were provided weeks after the restaurant had already opened. This was a less-than-optimum performance by Boston Pizza of its contractual obligation. Whether it amounts to a breach of the contract is something I will address later.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 heard significant evidence about sales practices and, in particular, about the need to display pizza in order to entice customers. The Quick Express concept (as formulated by Boston Pizza) meant that fresh, attractive-looking pizza of various types should be on display at all times and, particularly, at peak periods, such as lunch hours. Despite that, on more than one occasion, Boston Pizza employees found that, upon entering the Quick Express, there was little or nothing on display at lunch hour. For example, on a visit around Christmas time, a Boston Pizza employee found insufficient pizza on display. He noted at the same time that the price he paid for the slice of pizza he was purchasing differed from the advertised price on the menu board.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In December, an employee of the Quick Express acknowledged that they were deliberately "under-proportioning" pizza, and using some of their own cooking practices which differed from those prescribed by the franchisor. The adoption of these different cooking practices and the reduction in the size of a slice of pizza are understandable in the circumstances, given the lack of success of the original concept.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 heard much evidence about marketing. Under the contract, it was the franchisees' obligation to perform or execute marketing. The franchisor was required to render "assistance" in that area. It was expected, at the very least, that the franchisee would take the initiative to carry out marketing. That was what the parties intended when they signed the franchise agreement.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Mr. Rickerby concentrated on marketing during July, August and September, and did place a number of ads. The marketing department gave Mr. Rickerby assistance at that time with respect to such things as pricing, menus, the menu display board, and signage. Some "pizza by the slice" cards were provided. However, it would appear, at least with the wisdom of hindsight, that there was too little marketing.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A marketing action plan was eventually drawn up by Boston Pizza at a time when the restaurant concept was already being abandoned by the investors. It was delivered to the investors late in 1994. By that time, the investors had already concluded they did not wish to spend any more on marketing. The marketing action plan was not pursued.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Mr. Rickerby said that he telephoned the marketing department repeatedly, or tried to contact them, and found them very unresponsive. I was not impressed with Mr. Rickerby's evidence. He seemed unprepared to give it. His recollections (in some instances) struck me as unreliable. There were inconsistencies in his recollections.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written record suggests that, while the marketing department may not have performed perfectly or in an optimum fashion, they were rendering a reasonable amount of assistance to the franchisee.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one focused complaint about marketing had to do with take-out menus. Take-out, and more particularly delivery, would have enhanced the revenues of the operation. Everyone accepts that having a small take-out menu which a prospective customer can take away with him or her is an important marketing tool. It should have been done early.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take-out menus could not be produced by Mr. Rickerby. They had to be done, or at least approved, by Boston Pizza because Boston Pizza's trademark, logo, etc. would appear on them. Work on the take-out menus started in August. They were still being discussed in September. The physical menus were printed and delivered to the Q.E., I find, around early November, 1994.</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Therefore, I conclude that most of the revenue the business would otherwise have earned from take-out customers in August, September and October was lost.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Delivery is a different matter because it was the firm policy of Boston Pizza that delivery not be implemented until a couple of months have passed and the franchise has firmly established itself in its business. This particular business never did get firmly established. Delivery services to customers were never really implemented.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There were problems concerning the physical layout of the restaurant. The menu board was said to have been placed too high, and in such a way that the lighting did not make it very visible. No one could explain why the menu board was not simply lowered to avoid this problem.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cooler door designed by Boston Pizza's architects for the premises was too small to permit pizzas to be removed from the cooler through the front without tipping the pizza, which is detrimental. This required employees to go around behind the cooler and pull out the pizza from that location, which must have caused some inconvenience.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These and many other aspects of the business were reviewed and criticized constructively by the franchisor, most notably in a 60-day review in September, 1994, and again in a quality assurance report. The 60-day review itemizes a lot of problems, some important and some not, which required rectification.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quality assurance report gives relatively high "marks" to the operation but then, rather inconsistently, contains a number of highly negative comments about how the operation was run. The failure to display pizza effectively is one recurring theme.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With that overview, I turn to the first cause of action, that dealing with oral misrepresentations.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 have already found as a fact that Mr. Melville did not say the words attributed to him by Mr. Efren Aquino on March 14, 1994.</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Filcan group, in their closing argument, made reference to a number of other so-called representations.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It is said that the statement by a Boston Pizza employee in February, 1994, to Mr. Rickerby that the Business Opportunity is a "highly researched document" and "contained very accurate projections" was a misrepresentation. To a large extent, that is simply an expression of opinion by the enthusiastic Mr. Skene. It is what used to be called "puffery".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To the extent that it has factual content and can be viewed as a representation, I am not satisfied it was a misrepresentation. Much research did indeed go into the Business Opportunity, particularly with respect to the levels of cost and expenses the business would incur. In the result, it does not appear that the income projections were an accurate prediction. It is entirely possible that some other franchisees might have attained the desired results. In any event, Mr. Skene was not purporting to provide any guarantee of success. His assertion that the projections were accurate was no more than the expression of an opinion. It was neither a representation nor a misrepresentation.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Filcan group also allege that Mr. Melville told them Boston Pizza had "special expertise" in preparing financial projections that the projections were based on "extensive research", and what he was "comfortable" with them. It is true that Boston Pizza had special expertise. I find as a fact that Mr. Melville was comfortable with the projections. The research was extensive in certain areas. Boston Pizza's cost projections were detailed. There has been no real criticism of them in this proceeding.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Whether or not the research on the revenue side could fairly be described as extensive, the real issue is whether the research was so lacking as to amount to a breach of the contract. I am unable to view the allegation framed as a negligent misrepresentation as adding any new or different dimension to the defendants' case. I will consider that question again when I approach the breach of contract issue.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It is also alleged that Mr. Melville's assertion to the defendants that they would be provided with an operations manual was a negligent misrepresentation.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In my view, that was not a representation at all, but a promise. I am satisfied that the information provided to the franchisees, both with respect to its quantity and its substance, amounted to, in effect, an operations manual. It was provided in a disorganized fashion and some bits were provided later than they should have been, but, overall, there was substantial compliance with what I will view for present purposes as a contractual obligation to provide an operations manual.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It is alleged that there was a misrepresentation contained in the prospectus given to the defendants, to the effect that the financial projections were based on assumptions considered to be reasonable. There is no evidence that Boston Pizza did not consider whatever assumptions went into the financial projections as reasonable. As for whether the projections themselves were reckless or reasonable, I will assess that question later under the heading of breach of contract.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 turn now to the allegations of breach of contract, which lie at the heart of this proceeding.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 location research had, as its most critical component, a forecast of revenues at the particular location in question. What Boston Pizza did was assume that their franchisee could make at least as much as Dijo's made, plus an additional amount by virtue of their use of Boston Pizza's logo, menu, co-operative advertising, etc.</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Boston Pizza had significant knowledge of the area. It had information from a number of sources. It was aware that the Flying Wedge restaurant was making significantly more in revenue than the most optimistic scenario in the Business Opportunity projection.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Mr. Morrison, the Filcan group's expert, gave a description of what might have been done ideally to leave no stone unturned in the performance of the location research. He described an ideal.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In my view, the research here, while not perfect, was in substantial compliance with the contractual obligation Boston Pizza had to its franchisee. The research was not perfect, but neither was it negligent or inadequate. No location research can ever guarantee success. Any business can fail despite good, thorough, competent research, and one cannot, with the wisdom of hindsight, look at what happened to the business and infer from that that the research was faulty or inadequate.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 contract also requires reasonable assistance in marketing and accounting. Boston Pizza's performance in the area of marketing was, I find, less than optimum. They were, however, required to give marketing advice, not to carry out the marketing. They gave some advice in July and August. By October, it is clear that the franchisees were very reluctant to spend further money on marketing. They wanted the business to pay for itself. They wanted to pay for marketing from monthly revenues. They were, for the most part, unwilling to inject fresh capital into the business for marketing or to pay the trade creditors.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 suspect that, while Mr. Rickerby may have had some difficulty getting hold of the marketing department, his successors did not pursue the matter very vigorously because the decision to avoid injecting further money into marketing was made at a relatively early stage.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The evidence does not satisfy me on the balance of probabilities that Boston Pizza rendered marketing assistance that was so inadequate, tardy, or otherwise lacking, as to amount to a breach of its contractual obligation.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 am satisfied that adequate accounting assistance was rendered to the business by the franchisor. Martin Aquino was given training appropriate to his level of experience and intelligence. Mr. Hancock spent many days (or parts of days) at the store, assisting in training.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Mr. Prasse, when he became manager, was already trained in the operation of a full-service restaurant. He had available to him the resources of Boston Pizza if he needed to use them.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Mr. Lacsamana was not trained. He was, however, the third manager in four months for this operation. It was not unreasonable for Boston Pizza to expect the franchisee to assist by having Martin Aquino impart what he knew to Felix Lacsamana. I do not view Boston Pizza's failure to offer training immediately to Felix Lacsamana as a breach of its contractual obligation. I am satisfied that it performed its contractual obligation with respect to accounting assistance and training.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It follows that the Filcan group has not established a breach of contract.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The third group of allegations falls under the heading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rendering of services and assistance. It is questionable whether it is legitimate to view these claims separately in this fashion. These are contractual obligations. The contract sets out the type and nature of services that should be rendered.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xml:space="preserve">  It is said that the $22,000 leasehold overrun, the installation of a cooler door that was too small, the placing of a menu board that was too high, the failure to provide Mr. Lacsamana with management training, the failure to provide timely and adequate supervision, and the failure to provide an operations manual amounted, collectively,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Other particulars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were pointed to in final argument. These include the failure (or alleged failure) to do a survey of the preferences of the potential clientele on Robson Street, insufficient investigation of the nature of the competition, and the way in which the location research was done. It is also alleged as particulars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that there was a failure to provide take-out menus and guidelines for accounting. It is said that inappropriate advice for advertising was given.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The cost overrun was troubling, but it is not an unique or even uncommon event.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The fact that a cooler door which was too small was installed is, again, somewhat troubling, but the evidence suggests that it was more of an inconvenience than a drag on profitability. Employees had to walk around to remove the pizzas from the back of the cooler.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I have already found that there was no failure by Boston Pizza to render adequate training to Martin Aquino. Mr. Lacsamana, as I have said, was the third manager in four months. By the time of his arrival, the company was paying neither its royalties nor its creditors. It was not unreasonable to expect the franchisee to ensure that Mr. Lacsamana was told what he needed to know. He was already a highly experienced manager of another franchise operation, at McDonald's.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The allegation of untimely and inadequate supervision has not been established. In general, Boston Pizza's supervision of its franchisee was diligent.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The menu board was a problem which should have been rectified, I find, by the franchise itself.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The take-out menus were delivered later than they should have been; this is another area where Boston Pizza performed at a less than optimum level.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xml:space="preserve">  One must view all of these lapses collectively and assess them against the entirety of the operation and the entirety of the relationship between the parties. Overall, I am not satisfied that the lease cost overrun, the small cooler door, the late delivery of take-out menus, and whatever failings there may have been in the location research, amounted collectively to actionable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Overall, the performance of this franchisor lived up to that which would have been in the reasonable and objective contemplation of these parties at the time they entered into the agreement. It was not negligent for Boston Pizza to render services and assistance in the manner it did. As in any ongoing business relationship, there were some things that were done flawlessly and some which could have been done better. Boston Pizza's performance was not perfect, but it does not amount to a breach of its agreement or to actionable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Much of the blame for the demise of the business must be attributed, I find, to the defendants. Important contributing factors to its demise were the failure to capitalize the business adequately, the failure to pay the creditors in a timely fashion, having too many managers, lax control of the employees at certain times (probably caused by the manager being elsewhere and not on the premises) a willingness to abandon the concept too early, and last, but not least, an over-reliance on the franchisor at the expense of the franchisee taking some real initiative.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For these reasons, the counterclaim is dismissed.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[SUBMISSIONS RE: COSTS]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THE COURT: The successful party, Boston Pizza, is entitled to its costs on Scale 3.</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I am not going to deduct from that anything to reflect the unsuccessful no-evidence motion made by Boston Pizza. Insofar as unnecessary costs were caused by that motion, They can be set off against the delay that occurred near the beginning of the case, which was caused by the pleadings not being in appropriate form. I think those two events, from a cost point of view, balance each other out.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I am going to award costs at Scale 3.</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Mr. Rickerby is not liable in costs for this trial. Boston Pizza can recover costs against Mr. Rickerby, if it so chooses, up to the first day of trial. Mr. Rickerby is not liable for any of the costs of this trial - not even the first day.</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A.G. HENDERSON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1" style="position:absolute;z-index:25178931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49"/>
          <w:headerReference w:type="default" r:id="rId550"/>
          <w:footerReference w:type="even" r:id="rId551"/>
          <w:footerReference w:type="default" r:id="rId552"/>
          <w:headerReference w:type="first" r:id="rId553"/>
          <w:footerReference w:type="first" r:id="rId55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55" w:history="1">
        <w:r>
          <w:rPr>
            <w:rFonts w:ascii="arial" w:eastAsia="arial" w:hAnsi="arial" w:cs="arial"/>
            <w:b/>
            <w:bCs/>
            <w:i/>
            <w:color w:val="0077CC"/>
            <w:kern w:val="32"/>
            <w:sz w:val="28"/>
            <w:szCs w:val="32"/>
            <w:u w:val="single"/>
            <w:shd w:val="clear" w:color="auto" w:fill="FFFFFF"/>
            <w:lang w:val="en-US" w:eastAsia="en-US" w:bidi="ar-SA"/>
          </w:rPr>
          <w:t>Briante (Litigation guardian of) v. Vancouver Island Health Authority (c.o.b. Royal Jubilee Hospital), [2015] B.C.J. No. 975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J.K. Bracken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6,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March 31,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Dockets: 09-4697, 09-4737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Victoria</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[2015] B.C.J. No. 975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2015 BCSC 807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2015 CarswellBC 1308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18 C.C.L.T. (4th) 157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Joseph Briante by his Litigation Guardian Carole Briante, Plaintiffs, and Vancouver Island Health Authority doing business as Royal Jubilee Hospital and Dr. Helen Mary Ross and John-Marc Priest and Nurse Tami Hooff and Jane Doe, Defendants And between Carol Briante and James Briante and Carter Hovey, Plaintiffs, and Vancouver Island Health Authority doing business as Royal Jubilee Hospital and Dr. Helen Mary Ross and John-Marc Priest and Nurse Tami Hooff and Jane Doe,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(79 paras.)</w:t>
      </w:r>
    </w:p>
    <w:p>
      <w:pPr>
        <w:jc w:val="both"/>
        <w:rPr>
          <w:rFonts w:ascii="arial" w:eastAsia="arial" w:hAnsi="arial" w:cs="arial"/>
          <w:sz w:val="20"/>
          <w:lang w:val="en-US" w:eastAsia="en-US" w:bidi="ar-SA"/>
        </w:rPr>
      </w:pPr>
      <w:bookmarkStart w:id="175" w:name="Counsel_28"/>
      <w:bookmarkEnd w:id="17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62" style="position:absolute;z-index:2516879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R. Cameron and N. Mason, Z. Marler, Articled Student.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Vancouver Island Health Authority and Nurse Tami Hooff: L.A. Slater and C. Alexander.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Dr. Helen Mary Ross, appearing by teleconference: D. Pilley and A. Turner.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76" w:name="Judgment_28"/>
      <w:bookmarkEnd w:id="176"/>
      <w:r>
        <w:pict>
          <v:line id="_x0000_s1163" style="position:absolute;z-index:25173913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Oral 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821"/>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77" w:name="J.K. BRACKEN J. (orally)"/>
            <w:bookmarkEnd w:id="177"/>
            <w:r>
              <w:rPr>
                <w:rFonts w:ascii="arial" w:eastAsia="arial" w:hAnsi="arial" w:cs="arial"/>
                <w:b/>
                <w:color w:val="000000"/>
                <w:sz w:val="30"/>
                <w:lang w:val="en-US" w:eastAsia="en-US" w:bidi="ar-SA"/>
              </w:rPr>
              <w:t>J.K. BRACKEN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plaintiff, Joseph Briante by his litigation guardian, applies for an order pursuant to Rule 14-1(9) and (15)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that each party in this action pay their own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Mr. Briante is a relatively young man who suffered serious permanent brain damage as a result of his attempt to take his own life. He had initially been a young lawyer who appeared to have been well launched on a successful career path, first in Toronto and then Vancouver. He experienced some personal difficulties and left the law firm where he worked and was well regarded by the partners of the firm. He found work in a non-legal environment, but his mental health began to deteriorate. He was visiting his parents and his sister and her husband in Victoria when he stabbed and slashed himself at his parents' home. He lost almost all of his blood volume and suffered serious brain damage as a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His family was aware of his deteriorating mental health and was very concerned about him. His parents and his sister were sufficiently concerned that they persuaded him to go with them to the Royal Jubilee Hospital in Victoria, where they knew a specialized emergency mental health unit operated. Mr. Briante saw the mental health nurse and an emergency room doctor. His family hoped and expected that he would be referred to a psychiatrist, but instead he was released with advice to contact an outpatient psychiatric facility associated with the hospital. He was advised that he would be contacted by the outpatient clinic within a few days. Six days later, and before he was contacted, he attempted to take his own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plaintiff sued the defendants, alleging that they were negligent in failing to refer Mr. Briante to a psychiatrist. The trial was conducted over a period of 28 days, commencing March 4, 2013. In reasons for judgment indexed as </w:t>
      </w:r>
      <w:hyperlink r:id="rId556" w:history="1">
        <w:r>
          <w:rPr>
            <w:rFonts w:ascii="arial" w:eastAsia="arial" w:hAnsi="arial" w:cs="arial"/>
            <w:i/>
            <w:color w:val="0077CC"/>
            <w:sz w:val="20"/>
            <w:u w:val="single"/>
            <w:shd w:val="clear" w:color="auto" w:fill="FFFFFF"/>
            <w:lang w:val="en-US" w:eastAsia="en-US" w:bidi="ar-SA"/>
          </w:rPr>
          <w:t>2014 BCSC 1511</w:t>
        </w:r>
      </w:hyperlink>
      <w:r>
        <w:rPr>
          <w:rFonts w:ascii="arial" w:eastAsia="arial" w:hAnsi="arial" w:cs="arial"/>
          <w:color w:val="000000"/>
          <w:sz w:val="20"/>
          <w:lang w:val="en-US" w:eastAsia="en-US" w:bidi="ar-SA"/>
        </w:rPr>
        <w:t xml:space="preserve">, I found that the defendants were negligent in failing to refer the plaintiff to the on-call psychiatrist, but dismissed the action on the ground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did not cause the harm. Fault was apportioned 80 percent to the psychiatric nurse, Ms. Tami Hooff, and 20 percent to the emergency room physician, Dr. Ross.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Throughout the litigation, the defendants denied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each made cross-allegations alleging that the other failed to meet the requisite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There was no suggestion that the plaintiff acted improperly in the conduct of the litigation and no adverse findings were made against the plaintiff in the trial judgment. While the plaintiff was unsuccessful in his action, the action was not frivolous. As a result of the decision, the plaintiff says the defendant Vancouver Island Health Authority has made changes to its practice that the plaintiff says will result in better care to the public, and therefore the action has a public interest component.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Rule 14-1(9)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Subject to subrule (12), costs of a proceeding must be awarded to the successful party unless the court otherwise orders.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Rule 14-1(15)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may award costs</w:t>
      </w:r>
    </w:p>
    <w:p>
      <w:pPr>
        <w:numPr>
          <w:numId w:val="1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of a proceeding,</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relate to some particular application, step or matter in or related to the proceeding, or</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except so far as they relate to some particular application, step or matter in or related to the proceeding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in awarding those costs the court may fix the amount of costs, including the amount of disbursements.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Rule 14-1(9) relates to costs for the entire proceeding, and Rule 14-1(15) deals with cases where success is divided and costs are apportioned. The test for apportioned costs is set out in </w:t>
      </w:r>
      <w:r>
        <w:rPr>
          <w:rFonts w:ascii="arial" w:eastAsia="arial" w:hAnsi="arial" w:cs="arial"/>
          <w:i/>
          <w:color w:val="000000"/>
          <w:sz w:val="20"/>
          <w:lang w:val="en-US" w:eastAsia="en-US" w:bidi="ar-SA"/>
        </w:rPr>
        <w:t>Sutherland v. Canada (Attorney General),</w:t>
      </w:r>
      <w:r>
        <w:rPr>
          <w:rFonts w:ascii="arial" w:eastAsia="arial" w:hAnsi="arial" w:cs="arial"/>
          <w:color w:val="000000"/>
          <w:sz w:val="20"/>
          <w:lang w:val="en-US" w:eastAsia="en-US" w:bidi="ar-SA"/>
        </w:rPr>
        <w:t xml:space="preserve"> </w:t>
      </w:r>
      <w:hyperlink r:id="rId557" w:history="1">
        <w:r>
          <w:rPr>
            <w:rFonts w:ascii="arial" w:eastAsia="arial" w:hAnsi="arial" w:cs="arial"/>
            <w:i/>
            <w:color w:val="0077CC"/>
            <w:sz w:val="20"/>
            <w:u w:val="single"/>
            <w:shd w:val="clear" w:color="auto" w:fill="FFFFFF"/>
            <w:lang w:val="en-US" w:eastAsia="en-US" w:bidi="ar-SA"/>
          </w:rPr>
          <w:t>[2008] B.C.J. No. 103</w:t>
        </w:r>
      </w:hyperlink>
      <w:r>
        <w:rPr>
          <w:rFonts w:ascii="arial" w:eastAsia="arial" w:hAnsi="arial" w:cs="arial"/>
          <w:color w:val="000000"/>
          <w:sz w:val="20"/>
          <w:lang w:val="en-US" w:eastAsia="en-US" w:bidi="ar-SA"/>
        </w:rPr>
        <w:t xml:space="preserve"> at para. 31, where the court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test for the apportionment of costs under Rule 57(15) can be set out as follows:</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party seeking apportionment must establish that there are separate and discrete issues upon which the ultimately unsuccessful party succeeded at trial;</w:t>
      </w:r>
    </w:p>
    <w:p>
      <w:pPr>
        <w:numPr>
          <w:numId w:val="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must be a basis on which the trial judge can identify the time attributable to the trial of these separate issues;</w:t>
      </w:r>
    </w:p>
    <w:p>
      <w:pPr>
        <w:numPr>
          <w:numId w:val="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it must be shown that apportionment would effect a just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Catalyst Paper Corp. v. Companhia de Navegaçao Norsul</w:t>
      </w:r>
      <w:r>
        <w:rPr>
          <w:rFonts w:ascii="arial" w:eastAsia="arial" w:hAnsi="arial" w:cs="arial"/>
          <w:color w:val="000000"/>
          <w:sz w:val="20"/>
          <w:lang w:val="en-US" w:eastAsia="en-US" w:bidi="ar-SA"/>
        </w:rPr>
        <w:t xml:space="preserve">, </w:t>
      </w:r>
      <w:hyperlink r:id="rId558" w:history="1">
        <w:r>
          <w:rPr>
            <w:rFonts w:ascii="arial" w:eastAsia="arial" w:hAnsi="arial" w:cs="arial"/>
            <w:i/>
            <w:color w:val="0077CC"/>
            <w:sz w:val="20"/>
            <w:u w:val="single"/>
            <w:shd w:val="clear" w:color="auto" w:fill="FFFFFF"/>
            <w:lang w:val="en-US" w:eastAsia="en-US" w:bidi="ar-SA"/>
          </w:rPr>
          <w:t>2009 BCCA 16</w:t>
        </w:r>
      </w:hyperlink>
      <w:r>
        <w:rPr>
          <w:rFonts w:ascii="arial" w:eastAsia="arial" w:hAnsi="arial" w:cs="arial"/>
          <w:color w:val="000000"/>
          <w:sz w:val="20"/>
          <w:lang w:val="en-US" w:eastAsia="en-US" w:bidi="ar-SA"/>
        </w:rPr>
        <w:t>, the court confirmed that costs should normally follow the event, unless there is some principled reason to depart from the usual rule.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British Columbia v. Worthington (Canada) Inc.</w:t>
      </w:r>
      <w:r>
        <w:rPr>
          <w:rFonts w:ascii="arial" w:eastAsia="arial" w:hAnsi="arial" w:cs="arial"/>
          <w:color w:val="000000"/>
          <w:sz w:val="20"/>
          <w:lang w:val="en-US" w:eastAsia="en-US" w:bidi="ar-SA"/>
        </w:rPr>
        <w:t xml:space="preserve">, </w:t>
      </w:r>
      <w:hyperlink r:id="rId559" w:history="1">
        <w:r>
          <w:rPr>
            <w:rFonts w:ascii="arial" w:eastAsia="arial" w:hAnsi="arial" w:cs="arial"/>
            <w:i/>
            <w:color w:val="0077CC"/>
            <w:sz w:val="20"/>
            <w:u w:val="single"/>
            <w:shd w:val="clear" w:color="auto" w:fill="FFFFFF"/>
            <w:lang w:val="en-US" w:eastAsia="en-US" w:bidi="ar-SA"/>
          </w:rPr>
          <w:t>[1988] B.C.J. No. 1214</w:t>
        </w:r>
      </w:hyperlink>
      <w:r>
        <w:rPr>
          <w:rFonts w:ascii="arial" w:eastAsia="arial" w:hAnsi="arial" w:cs="arial"/>
          <w:color w:val="000000"/>
          <w:sz w:val="20"/>
          <w:lang w:val="en-US" w:eastAsia="en-US" w:bidi="ar-SA"/>
        </w:rPr>
        <w:t>, the court commented that there is considerable discretion in determining who pays costs of a trial, but that the discretion must be exercised judicially, not arbitrarily or capriciously, and it cannot be exercised on grounds unconnected to the litigation. In a minority decision, Mr. Justice Lambert said that the discretion of the trial judge does not mean that the trial judge may "do as he pleases".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issue in this application is how the discretion to award costs should be exercised in the circumstances of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plaintiffs make the following submissions in support of their argument that the parties should bear their own costs:</w:t>
      </w:r>
      <w:r>
        <w:rPr>
          <w:rFonts w:ascii="arial" w:eastAsia="arial" w:hAnsi="arial" w:cs="arial"/>
          <w:sz w:val="20"/>
          <w:lang w:val="en-US" w:eastAsia="en-US" w:bidi="ar-SA"/>
        </w:rPr>
        <w:cr/>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succeeded on the standard of care issue and their actions throughout the litigation were reasonable. In particular, the plaintiffs advanced claims which they perceived as highly meritorious and conducted the litigation without undue prolongation or misconduct.</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conduct justifies departure from the usual rule as to costs. Specifically, the evidence given by Ms. Hooff and Dr. Ross during discovery diverged in certain respects from their testimony at trial. As well, Ms. Hooff and Dr. Ross each alleged that the other had breached the standard of care which, along with the expert evidence, should have clearly indicated to the defendants that the plaintiffs would succeed in establishing a breach.</w:t>
      </w:r>
    </w:p>
    <w:p>
      <w:pPr>
        <w:numPr>
          <w:numId w:val="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would incur significant financial hardship if ordered to pay the defendants' costs.</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litigation involved novel issues and resulted in a precedent-setting ruling regarding the standards of care for specialized psychiatric emergency service providers.</w:t>
      </w:r>
    </w:p>
    <w:p>
      <w:pPr>
        <w:numPr>
          <w:numId w:val="1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delivered a notice to mediate and an offer to settle to the defendants.</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Cumulatively, these factors support the judicial exercise of discretion to order that each party bear its own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Counsel for Ms. Hooff and Vancouver Island Health Authority argue that the costs should follow the event, and offers the following in support of that position:</w:t>
      </w:r>
      <w:r>
        <w:rPr>
          <w:rFonts w:ascii="arial" w:eastAsia="arial" w:hAnsi="arial" w:cs="arial"/>
          <w:sz w:val="20"/>
          <w:lang w:val="en-US" w:eastAsia="en-US" w:bidi="ar-SA"/>
        </w:rPr>
        <w:cr/>
      </w:r>
    </w:p>
    <w:p>
      <w:pPr>
        <w:numPr>
          <w:numId w:val="1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claim failed as the tort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requires proof of causation in addition to proof of a breach of the standard of care.</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comported themselves reasonably throughout the litigation and did not raise defences which could be characterized as doubtful or frivolous. Any evidentiary discrepancies are attributable to the vagaries of human memory and the trial process, rather than to dishonesty. As well, the defendants were not required to admit a breach of the standard of care merely because one or both of them might be found to be at fault.</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Hardship alone is not a sufficient basis for depriving a successful litigant of its costs, and in any event the plaintiffs have the financial ability to pay costs.</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brought the litigation seeking to recover significant damages for personal injury and not for broader altruistic or public reasons.</w:t>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offer to settle should not be considered when determining appropriate disposition as to costs in this case.</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are no special circumstances which justify depriving the defendants of their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Finally, counsel for Dr. Ross makes the following submissions respecting costs:</w:t>
      </w:r>
      <w:r>
        <w:rPr>
          <w:rFonts w:ascii="arial" w:eastAsia="arial" w:hAnsi="arial" w:cs="arial"/>
          <w:sz w:val="20"/>
          <w:lang w:val="en-US" w:eastAsia="en-US" w:bidi="ar-SA"/>
        </w:rPr>
        <w:cr/>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Dr. Ross's breach of the standard of care occurred prior to the litigation, that factor cannot be taken into account here because it is an error in principle to consider the pre-litigation conduct of the parties in determining costs.</w:t>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conduct of the litigation was reasonable. Dr. Ross's trial evidence was not inconsistent with her evidence during discovery, but rather merely provided a more fulsome explanation. In the alternative, any inconsistencies were the result of imperfect recollection, rather than dishonesty, and there were further discrepancies in the plaintiffs' case. The existence of strong contrary evidence on the standard of care issue does not disentitle the defendants from arguing that issue at trial, particularly as it arose out of the plaintiffs' case. The defendants' chances of success on that issue were no less than were the plaintiffs' as regard causation.</w:t>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Hardship may be considered, but it is a factor which is of greater import in the family law context.</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case amounted to nothing more than a personal injury claim and did not involve novel or publicly significant issues.</w:t>
      </w:r>
    </w:p>
    <w:p>
      <w:pPr>
        <w:numPr>
          <w:numId w:val="24"/>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Dr. Ross did not address issues relating to the plaintiffs' notice to mediate or offer to settle in written argument.</w:t>
      </w:r>
    </w:p>
    <w:p>
      <w:pPr>
        <w:numPr>
          <w:numId w:val="25"/>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are no special circumstances which justify depriving the defendants of their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As noted, Rule 14-1(9) stipulates that costs must be awarded to the successful party in a proceeding, unless otherwise ordered. That is the usual rule governing costs. Generally, a defendant achieves success where he or she obtains a dismissal of the plaintiff's case, while a plaintiff can be construed as successful where he or she establishes liability under a cause of action and obtains a remedy: see </w:t>
      </w:r>
      <w:r>
        <w:rPr>
          <w:rFonts w:ascii="arial" w:eastAsia="arial" w:hAnsi="arial" w:cs="arial"/>
          <w:i/>
          <w:color w:val="000000"/>
          <w:sz w:val="20"/>
          <w:lang w:val="en-US" w:eastAsia="en-US" w:bidi="ar-SA"/>
        </w:rPr>
        <w:t>Loft v. Nat</w:t>
      </w:r>
      <w:r>
        <w:rPr>
          <w:rFonts w:ascii="arial" w:eastAsia="arial" w:hAnsi="arial" w:cs="arial"/>
          <w:color w:val="000000"/>
          <w:sz w:val="20"/>
          <w:lang w:val="en-US" w:eastAsia="en-US" w:bidi="ar-SA"/>
        </w:rPr>
        <w:t xml:space="preserve">, </w:t>
      </w:r>
      <w:hyperlink r:id="rId560" w:history="1">
        <w:r>
          <w:rPr>
            <w:rFonts w:ascii="arial" w:eastAsia="arial" w:hAnsi="arial" w:cs="arial"/>
            <w:i/>
            <w:color w:val="0077CC"/>
            <w:sz w:val="20"/>
            <w:u w:val="single"/>
            <w:shd w:val="clear" w:color="auto" w:fill="FFFFFF"/>
            <w:lang w:val="en-US" w:eastAsia="en-US" w:bidi="ar-SA"/>
          </w:rPr>
          <w:t>2014 BCCA 108</w:t>
        </w:r>
      </w:hyperlink>
      <w:r>
        <w:rPr>
          <w:rFonts w:ascii="arial" w:eastAsia="arial" w:hAnsi="arial" w:cs="arial"/>
          <w:color w:val="000000"/>
          <w:sz w:val="20"/>
          <w:lang w:val="en-US" w:eastAsia="en-US" w:bidi="ar-SA"/>
        </w:rPr>
        <w:t xml:space="preserve"> at para. 46.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On the present facts, the plaintiffs obtained no remedy and their actions were dismissed. They concede that the defendants succeeded overall at trial, so that the plaintiffs bear the onus of justifying departure from the usual rule on costs. That onus is a substantial one, particularly in circumstances such as these, "a long and expensive trial ... where the defendant was successful in defeating the claim on an evidentiary basis": </w:t>
      </w:r>
      <w:r>
        <w:rPr>
          <w:rFonts w:ascii="arial" w:eastAsia="arial" w:hAnsi="arial" w:cs="arial"/>
          <w:i/>
          <w:color w:val="000000"/>
          <w:sz w:val="20"/>
          <w:lang w:val="en-US" w:eastAsia="en-US" w:bidi="ar-SA"/>
        </w:rPr>
        <w:t>Gill v. Canada (Minister of Transport)</w:t>
      </w:r>
      <w:r>
        <w:rPr>
          <w:rFonts w:ascii="arial" w:eastAsia="arial" w:hAnsi="arial" w:cs="arial"/>
          <w:color w:val="000000"/>
          <w:sz w:val="20"/>
          <w:lang w:val="en-US" w:eastAsia="en-US" w:bidi="ar-SA"/>
        </w:rPr>
        <w:t xml:space="preserve">, </w:t>
      </w:r>
      <w:hyperlink r:id="rId561" w:history="1">
        <w:r>
          <w:rPr>
            <w:rFonts w:ascii="arial" w:eastAsia="arial" w:hAnsi="arial" w:cs="arial"/>
            <w:i/>
            <w:color w:val="0077CC"/>
            <w:sz w:val="20"/>
            <w:u w:val="single"/>
            <w:shd w:val="clear" w:color="auto" w:fill="FFFFFF"/>
            <w:lang w:val="en-US" w:eastAsia="en-US" w:bidi="ar-SA"/>
          </w:rPr>
          <w:t>2014 BCSC 2235</w:t>
        </w:r>
      </w:hyperlink>
      <w:r>
        <w:rPr>
          <w:rFonts w:ascii="arial" w:eastAsia="arial" w:hAnsi="arial" w:cs="arial"/>
          <w:color w:val="000000"/>
          <w:sz w:val="20"/>
          <w:lang w:val="en-US" w:eastAsia="en-US" w:bidi="ar-SA"/>
        </w:rPr>
        <w:t xml:space="preserve"> at para. 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As held by Justice Hinkson, as he then was, in </w:t>
      </w:r>
      <w:r>
        <w:rPr>
          <w:rFonts w:ascii="arial" w:eastAsia="arial" w:hAnsi="arial" w:cs="arial"/>
          <w:i/>
          <w:color w:val="000000"/>
          <w:sz w:val="20"/>
          <w:lang w:val="en-US" w:eastAsia="en-US" w:bidi="ar-SA"/>
        </w:rPr>
        <w:t>Chaster (Guardian ad litem of) v. LeBlanc</w:t>
      </w:r>
      <w:r>
        <w:rPr>
          <w:rFonts w:ascii="arial" w:eastAsia="arial" w:hAnsi="arial" w:cs="arial"/>
          <w:color w:val="000000"/>
          <w:sz w:val="20"/>
          <w:lang w:val="en-US" w:eastAsia="en-US" w:bidi="ar-SA"/>
        </w:rPr>
        <w:t xml:space="preserve">, </w:t>
      </w:r>
      <w:hyperlink r:id="rId562" w:history="1">
        <w:r>
          <w:rPr>
            <w:rFonts w:ascii="arial" w:eastAsia="arial" w:hAnsi="arial" w:cs="arial"/>
            <w:i/>
            <w:color w:val="0077CC"/>
            <w:sz w:val="20"/>
            <w:u w:val="single"/>
            <w:shd w:val="clear" w:color="auto" w:fill="FFFFFF"/>
            <w:lang w:val="en-US" w:eastAsia="en-US" w:bidi="ar-SA"/>
          </w:rPr>
          <w:t>2008 BCSC 47</w:t>
        </w:r>
      </w:hyperlink>
      <w:r>
        <w:rPr>
          <w:rFonts w:ascii="arial" w:eastAsia="arial" w:hAnsi="arial" w:cs="arial"/>
          <w:color w:val="000000"/>
          <w:sz w:val="20"/>
          <w:lang w:val="en-US" w:eastAsia="en-US" w:bidi="ar-SA"/>
        </w:rPr>
        <w:t>, the following four-part test guides the determination of whether to award costs to a substantially successful party:</w:t>
      </w:r>
      <w:r>
        <w:rPr>
          <w:rFonts w:ascii="arial" w:eastAsia="arial" w:hAnsi="arial" w:cs="arial"/>
          <w:sz w:val="20"/>
          <w:lang w:val="en-US" w:eastAsia="en-US" w:bidi="ar-SA"/>
        </w:rPr>
        <w:cr/>
      </w:r>
    </w:p>
    <w:p>
      <w:pPr>
        <w:numPr>
          <w:numId w:val="26"/>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First, by focusing on the "matters in dispute" at the trial. These may or may not include "issues" explicitly mentioned in the pleadings.</w:t>
      </w:r>
    </w:p>
    <w:p>
      <w:pPr>
        <w:numPr>
          <w:numId w:val="27"/>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Second, by assessing the weight or importance of those "matters" to the parties.</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Third, by doing a global determination with respect to all the matters in dispute and determining which party "substantially succeeded," overall and therefore won the event.</w:t>
      </w:r>
    </w:p>
    <w:p>
      <w:pPr>
        <w:numPr>
          <w:numId w:val="29"/>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Fourth, where one party "substantially succeeded," a consideration of whether there are reasons to "otherwise order" that the winning party be deprived of his or her costs and each side then bear their own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As the fourth branch of the test makes clear, mere success at trial does not necessarily entitle a litigant to an award of costs, as the court retains discretion to otherwise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Our Court of Appeal has indicated that the discretion of the trial judge to make costs awards is very broad, </w:t>
      </w:r>
      <w:r>
        <w:rPr>
          <w:rFonts w:ascii="arial" w:eastAsia="arial" w:hAnsi="arial" w:cs="arial"/>
          <w:i/>
          <w:color w:val="000000"/>
          <w:sz w:val="20"/>
          <w:lang w:val="en-US" w:eastAsia="en-US" w:bidi="ar-SA"/>
        </w:rPr>
        <w:t>Re Vieira</w:t>
      </w:r>
      <w:r>
        <w:rPr>
          <w:rFonts w:ascii="arial" w:eastAsia="arial" w:hAnsi="arial" w:cs="arial"/>
          <w:color w:val="000000"/>
          <w:sz w:val="20"/>
          <w:lang w:val="en-US" w:eastAsia="en-US" w:bidi="ar-SA"/>
        </w:rPr>
        <w:t xml:space="preserve">, </w:t>
      </w:r>
      <w:hyperlink r:id="rId563" w:history="1">
        <w:r>
          <w:rPr>
            <w:rFonts w:ascii="arial" w:eastAsia="arial" w:hAnsi="arial" w:cs="arial"/>
            <w:i/>
            <w:color w:val="0077CC"/>
            <w:sz w:val="20"/>
            <w:u w:val="single"/>
            <w:shd w:val="clear" w:color="auto" w:fill="FFFFFF"/>
            <w:lang w:val="en-US" w:eastAsia="en-US" w:bidi="ar-SA"/>
          </w:rPr>
          <w:t>2013 BCCA 420</w:t>
        </w:r>
      </w:hyperlink>
      <w:r>
        <w:rPr>
          <w:rFonts w:ascii="arial" w:eastAsia="arial" w:hAnsi="arial" w:cs="arial"/>
          <w:color w:val="000000"/>
          <w:sz w:val="20"/>
          <w:lang w:val="en-US" w:eastAsia="en-US" w:bidi="ar-SA"/>
        </w:rPr>
        <w:t xml:space="preserve"> at para. 15, and perhaps growing broader: see </w:t>
      </w:r>
      <w:r>
        <w:rPr>
          <w:rFonts w:ascii="arial" w:eastAsia="arial" w:hAnsi="arial" w:cs="arial"/>
          <w:i/>
          <w:color w:val="000000"/>
          <w:sz w:val="20"/>
          <w:lang w:val="en-US" w:eastAsia="en-US" w:bidi="ar-SA"/>
        </w:rPr>
        <w:t>Lee v. Jarvie</w:t>
      </w:r>
      <w:r>
        <w:rPr>
          <w:rFonts w:ascii="arial" w:eastAsia="arial" w:hAnsi="arial" w:cs="arial"/>
          <w:color w:val="000000"/>
          <w:sz w:val="20"/>
          <w:lang w:val="en-US" w:eastAsia="en-US" w:bidi="ar-SA"/>
        </w:rPr>
        <w:t xml:space="preserve">, </w:t>
      </w:r>
      <w:hyperlink r:id="rId564" w:history="1">
        <w:r>
          <w:rPr>
            <w:rFonts w:ascii="arial" w:eastAsia="arial" w:hAnsi="arial" w:cs="arial"/>
            <w:i/>
            <w:color w:val="0077CC"/>
            <w:sz w:val="20"/>
            <w:u w:val="single"/>
            <w:shd w:val="clear" w:color="auto" w:fill="FFFFFF"/>
            <w:lang w:val="en-US" w:eastAsia="en-US" w:bidi="ar-SA"/>
          </w:rPr>
          <w:t>2013 BCCA 515</w:t>
        </w:r>
      </w:hyperlink>
      <w:r>
        <w:rPr>
          <w:rFonts w:ascii="arial" w:eastAsia="arial" w:hAnsi="arial" w:cs="arial"/>
          <w:color w:val="000000"/>
          <w:sz w:val="20"/>
          <w:lang w:val="en-US" w:eastAsia="en-US" w:bidi="ar-SA"/>
        </w:rPr>
        <w:t xml:space="preserve"> at para. 31.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Indeed, in describing the discretion of the trial judge to apportion costs under what is now Rule 14-1(15), the court stated that, "The only restrictions that I would impose on that general discretion is that ... [it] must be exercised judicially, not arbitrarily or capriciously, and it cannot be exercised on grounds unconnected with the litigation.": </w:t>
      </w:r>
      <w:r>
        <w:rPr>
          <w:rFonts w:ascii="arial" w:eastAsia="arial" w:hAnsi="arial" w:cs="arial"/>
          <w:i/>
          <w:color w:val="000000"/>
          <w:sz w:val="20"/>
          <w:lang w:val="en-US" w:eastAsia="en-US" w:bidi="ar-SA"/>
        </w:rPr>
        <w:t>British Columbia v. Worthington</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This discretion must be exercised in light of the purposes served by cost rules, as articulated by the Court of Appeal in </w:t>
      </w:r>
      <w:r>
        <w:rPr>
          <w:rFonts w:ascii="arial" w:eastAsia="arial" w:hAnsi="arial" w:cs="arial"/>
          <w:i/>
          <w:color w:val="000000"/>
          <w:sz w:val="20"/>
          <w:lang w:val="en-US" w:eastAsia="en-US" w:bidi="ar-SA"/>
        </w:rPr>
        <w:t>Giles v. Westminster Savings and Credit Union</w:t>
      </w:r>
      <w:r>
        <w:rPr>
          <w:rFonts w:ascii="arial" w:eastAsia="arial" w:hAnsi="arial" w:cs="arial"/>
          <w:color w:val="000000"/>
          <w:sz w:val="20"/>
          <w:lang w:val="en-US" w:eastAsia="en-US" w:bidi="ar-SA"/>
        </w:rPr>
        <w:t xml:space="preserve">, </w:t>
      </w:r>
      <w:hyperlink r:id="rId565" w:history="1">
        <w:r>
          <w:rPr>
            <w:rFonts w:ascii="arial" w:eastAsia="arial" w:hAnsi="arial" w:cs="arial"/>
            <w:i/>
            <w:color w:val="0077CC"/>
            <w:sz w:val="20"/>
            <w:u w:val="single"/>
            <w:shd w:val="clear" w:color="auto" w:fill="FFFFFF"/>
            <w:lang w:val="en-US" w:eastAsia="en-US" w:bidi="ar-SA"/>
          </w:rPr>
          <w:t>2010 BCCA 282</w:t>
        </w:r>
      </w:hyperlink>
      <w:r>
        <w:rPr>
          <w:rFonts w:ascii="arial" w:eastAsia="arial" w:hAnsi="arial" w:cs="arial"/>
          <w:color w:val="000000"/>
          <w:sz w:val="20"/>
          <w:lang w:val="en-US" w:eastAsia="en-US" w:bidi="ar-SA"/>
        </w:rPr>
        <w:t xml:space="preserve"> at para. 74:</w:t>
      </w:r>
      <w:r>
        <w:rPr>
          <w:rFonts w:ascii="arial" w:eastAsia="arial" w:hAnsi="arial" w:cs="arial"/>
          <w:sz w:val="20"/>
          <w:lang w:val="en-US" w:eastAsia="en-US" w:bidi="ar-SA"/>
        </w:rPr>
        <w:cr/>
      </w:r>
    </w:p>
    <w:p>
      <w:pPr>
        <w:numPr>
          <w:numId w:val="30"/>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to deter frivolous actions or defences;</w:t>
      </w:r>
    </w:p>
    <w:p>
      <w:pPr>
        <w:numPr>
          <w:numId w:val="3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to encourage conduct that reduces the duration and expense of litigation and to discourage conduct that has the opposite effect;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 to encourage litigants to settle whenever possible,</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thus freeing up judicial resources for other cases; and</w:t>
      </w:r>
      <w:r>
        <w:rPr>
          <w:rFonts w:ascii="arial" w:eastAsia="arial" w:hAnsi="arial" w:cs="arial"/>
          <w:sz w:val="20"/>
          <w:lang w:val="en-US" w:eastAsia="en-US" w:bidi="ar-SA"/>
        </w:rPr>
        <w:cr/>
      </w:r>
    </w:p>
    <w:p>
      <w:pPr>
        <w:numPr>
          <w:numId w:val="32"/>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to have a winnowing function in the litigation process by requiring litigants to carefully assess their cases, whether at the outset or in the course of the litigation, and to discourage the continuance of doubtful cases or defences.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Circumstances begging exercise of that discretion may include:</w:t>
      </w:r>
      <w:r>
        <w:rPr>
          <w:rFonts w:ascii="arial" w:eastAsia="arial" w:hAnsi="arial" w:cs="arial"/>
          <w:sz w:val="20"/>
          <w:lang w:val="en-US" w:eastAsia="en-US" w:bidi="ar-SA"/>
        </w:rPr>
        <w:cr/>
      </w:r>
    </w:p>
    <w:p>
      <w:pPr>
        <w:numPr>
          <w:numId w:val="33"/>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where the successful party engaged in misconduct in the course of litigation, see </w:t>
      </w:r>
      <w:r>
        <w:rPr>
          <w:rFonts w:ascii="arial" w:eastAsia="arial" w:hAnsi="arial" w:cs="arial"/>
          <w:i/>
          <w:color w:val="000000"/>
          <w:sz w:val="20"/>
          <w:lang w:val="en-US" w:eastAsia="en-US" w:bidi="ar-SA"/>
        </w:rPr>
        <w:t>Loft</w:t>
      </w:r>
      <w:r>
        <w:rPr>
          <w:rFonts w:ascii="arial" w:eastAsia="arial" w:hAnsi="arial" w:cs="arial"/>
          <w:color w:val="000000"/>
          <w:sz w:val="20"/>
          <w:lang w:val="en-US" w:eastAsia="en-US" w:bidi="ar-SA"/>
        </w:rPr>
        <w:t xml:space="preserve"> at para. 49;</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where the successful party failed to accept an offer to settle under Rule 9-1, again </w:t>
      </w:r>
      <w:r>
        <w:rPr>
          <w:rFonts w:ascii="arial" w:eastAsia="arial" w:hAnsi="arial" w:cs="arial"/>
          <w:i/>
          <w:color w:val="000000"/>
          <w:sz w:val="20"/>
          <w:lang w:val="en-US" w:eastAsia="en-US" w:bidi="ar-SA"/>
        </w:rPr>
        <w:t>Loft</w:t>
      </w:r>
      <w:r>
        <w:rPr>
          <w:rFonts w:ascii="arial" w:eastAsia="arial" w:hAnsi="arial" w:cs="arial"/>
          <w:color w:val="000000"/>
          <w:sz w:val="20"/>
          <w:lang w:val="en-US" w:eastAsia="en-US" w:bidi="ar-SA"/>
        </w:rPr>
        <w:t xml:space="preserve"> at para. 49;</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where the court rules against the successful party on one or more issues that took a discrete amount of time at trial, again </w:t>
      </w:r>
      <w:r>
        <w:rPr>
          <w:rFonts w:ascii="arial" w:eastAsia="arial" w:hAnsi="arial" w:cs="arial"/>
          <w:i/>
          <w:color w:val="000000"/>
          <w:sz w:val="20"/>
          <w:lang w:val="en-US" w:eastAsia="en-US" w:bidi="ar-SA"/>
        </w:rPr>
        <w:t>Loft</w:t>
      </w:r>
      <w:r>
        <w:rPr>
          <w:rFonts w:ascii="arial" w:eastAsia="arial" w:hAnsi="arial" w:cs="arial"/>
          <w:color w:val="000000"/>
          <w:sz w:val="20"/>
          <w:lang w:val="en-US" w:eastAsia="en-US" w:bidi="ar-SA"/>
        </w:rPr>
        <w:t xml:space="preserve"> at 49;</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where factors such as hardship, earning capacity, or the possibility of upsetting the balance struck by the trial judgment militate against applying the usual rule, </w:t>
      </w:r>
      <w:r>
        <w:rPr>
          <w:rFonts w:ascii="arial" w:eastAsia="arial" w:hAnsi="arial" w:cs="arial"/>
          <w:i/>
          <w:color w:val="000000"/>
          <w:sz w:val="20"/>
          <w:lang w:val="en-US" w:eastAsia="en-US" w:bidi="ar-SA"/>
        </w:rPr>
        <w:t>Gold v. Gold</w:t>
      </w:r>
      <w:r>
        <w:rPr>
          <w:rFonts w:ascii="arial" w:eastAsia="arial" w:hAnsi="arial" w:cs="arial"/>
          <w:color w:val="000000"/>
          <w:sz w:val="20"/>
          <w:lang w:val="en-US" w:eastAsia="en-US" w:bidi="ar-SA"/>
        </w:rPr>
        <w:t xml:space="preserve">, </w:t>
      </w:r>
      <w:hyperlink r:id="rId566" w:history="1">
        <w:r>
          <w:rPr>
            <w:rFonts w:ascii="arial" w:eastAsia="arial" w:hAnsi="arial" w:cs="arial"/>
            <w:i/>
            <w:color w:val="0077CC"/>
            <w:sz w:val="20"/>
            <w:u w:val="single"/>
            <w:shd w:val="clear" w:color="auto" w:fill="FFFFFF"/>
            <w:lang w:val="en-US" w:eastAsia="en-US" w:bidi="ar-SA"/>
          </w:rPr>
          <w:t>[1993] B.C.J. No. 1792</w:t>
        </w:r>
      </w:hyperlink>
      <w:r>
        <w:rPr>
          <w:rFonts w:ascii="arial" w:eastAsia="arial" w:hAnsi="arial" w:cs="arial"/>
          <w:color w:val="000000"/>
          <w:sz w:val="20"/>
          <w:lang w:val="en-US" w:eastAsia="en-US" w:bidi="ar-SA"/>
        </w:rPr>
        <w:t xml:space="preserve"> (C.A.) at para. 21; or</w:t>
      </w:r>
    </w:p>
    <w:p>
      <w:pPr>
        <w:numPr>
          <w:numId w:val="3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where the litigation involves issues of interest to the greater public, </w:t>
      </w:r>
      <w:r>
        <w:rPr>
          <w:rFonts w:ascii="arial" w:eastAsia="arial" w:hAnsi="arial" w:cs="arial"/>
          <w:i/>
          <w:color w:val="000000"/>
          <w:sz w:val="20"/>
          <w:lang w:val="en-US" w:eastAsia="en-US" w:bidi="ar-SA"/>
        </w:rPr>
        <w:t>Barclay (Guardian ad litem of) v. British Columbia,</w:t>
      </w:r>
      <w:r>
        <w:rPr>
          <w:rFonts w:ascii="arial" w:eastAsia="arial" w:hAnsi="arial" w:cs="arial"/>
          <w:color w:val="000000"/>
          <w:sz w:val="20"/>
          <w:lang w:val="en-US" w:eastAsia="en-US" w:bidi="ar-SA"/>
        </w:rPr>
        <w:t xml:space="preserve"> </w:t>
      </w:r>
      <w:hyperlink r:id="rId567" w:history="1">
        <w:r>
          <w:rPr>
            <w:rFonts w:ascii="arial" w:eastAsia="arial" w:hAnsi="arial" w:cs="arial"/>
            <w:i/>
            <w:color w:val="0077CC"/>
            <w:sz w:val="20"/>
            <w:u w:val="single"/>
            <w:shd w:val="clear" w:color="auto" w:fill="FFFFFF"/>
            <w:lang w:val="en-US" w:eastAsia="en-US" w:bidi="ar-SA"/>
          </w:rPr>
          <w:t>2006 BCCA 434</w:t>
        </w:r>
      </w:hyperlink>
      <w:r>
        <w:rPr>
          <w:rFonts w:ascii="arial" w:eastAsia="arial" w:hAnsi="arial" w:cs="arial"/>
          <w:color w:val="000000"/>
          <w:sz w:val="20"/>
          <w:lang w:val="en-US" w:eastAsia="en-US" w:bidi="ar-SA"/>
        </w:rPr>
        <w:t xml:space="preserve"> at para. 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plaintiffs submit that their success on the standard of care issue warrants consideration on the question of costs, despite the dismissal of their overall claim. They rely on Rule 14-1(15), but do not ask for an apportionment of costs based on discrete matters within the litigation. Instead, they seek an order that the parties bear their own costs and say that their success in establishing a breach of the standard of care is one factor among others which supports their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The defendants point out that the breaches of the standard of care preceded the litigation and say that it would be an error in principle to make an award of costs on the basis of that pre-litigation conduct. They rely on </w:t>
      </w:r>
      <w:r>
        <w:rPr>
          <w:rFonts w:ascii="arial" w:eastAsia="arial" w:hAnsi="arial" w:cs="arial"/>
          <w:i/>
          <w:color w:val="000000"/>
          <w:sz w:val="20"/>
          <w:lang w:val="en-US" w:eastAsia="en-US" w:bidi="ar-SA"/>
        </w:rPr>
        <w:t>Rossmo v. Vancouver City Police Board</w:t>
      </w:r>
      <w:r>
        <w:rPr>
          <w:rFonts w:ascii="arial" w:eastAsia="arial" w:hAnsi="arial" w:cs="arial"/>
          <w:color w:val="000000"/>
          <w:sz w:val="20"/>
          <w:lang w:val="en-US" w:eastAsia="en-US" w:bidi="ar-SA"/>
        </w:rPr>
        <w:t xml:space="preserve">, </w:t>
      </w:r>
      <w:hyperlink r:id="rId568" w:history="1">
        <w:r>
          <w:rPr>
            <w:rFonts w:ascii="arial" w:eastAsia="arial" w:hAnsi="arial" w:cs="arial"/>
            <w:i/>
            <w:color w:val="0077CC"/>
            <w:sz w:val="20"/>
            <w:u w:val="single"/>
            <w:shd w:val="clear" w:color="auto" w:fill="FFFFFF"/>
            <w:lang w:val="en-US" w:eastAsia="en-US" w:bidi="ar-SA"/>
          </w:rPr>
          <w:t>2003 BCCA 677</w:t>
        </w:r>
      </w:hyperlink>
      <w:r>
        <w:rPr>
          <w:rFonts w:ascii="arial" w:eastAsia="arial" w:hAnsi="arial" w:cs="arial"/>
          <w:color w:val="000000"/>
          <w:sz w:val="20"/>
          <w:lang w:val="en-US" w:eastAsia="en-US" w:bidi="ar-SA"/>
        </w:rPr>
        <w:t>, in support of that proposition. There, the trial judge denied costs to a successful defendant. The Court of Appeal overturned that decision, substituting an award of party-and-party costs to the defendant at para. 61.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court held the trial judge erred in basing her costs decision on the defendant's pre-litigation conduct as the very purpose of the litigation was to determine whether that conduct justified an award of damages. Thus, the order appealed from amounted to a finding of "quasi liability" which could not be sustained. The defendants say that this is the very thing which the plaintiffs ask the court to do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On the other hand, the case law also reveals instances where the pre-litigation conduct of the parties has been held to be relevant in determining the appropriate costs award. For instance, in </w:t>
      </w:r>
      <w:r>
        <w:rPr>
          <w:rFonts w:ascii="arial" w:eastAsia="arial" w:hAnsi="arial" w:cs="arial"/>
          <w:i/>
          <w:color w:val="000000"/>
          <w:sz w:val="20"/>
          <w:lang w:val="en-US" w:eastAsia="en-US" w:bidi="ar-SA"/>
        </w:rPr>
        <w:t>Grealy v. Kuntz</w:t>
      </w:r>
      <w:r>
        <w:rPr>
          <w:rFonts w:ascii="arial" w:eastAsia="arial" w:hAnsi="arial" w:cs="arial"/>
          <w:color w:val="000000"/>
          <w:sz w:val="20"/>
          <w:lang w:val="en-US" w:eastAsia="en-US" w:bidi="ar-SA"/>
        </w:rPr>
        <w:t xml:space="preserve">, </w:t>
      </w:r>
      <w:hyperlink r:id="rId569" w:history="1">
        <w:r>
          <w:rPr>
            <w:rFonts w:ascii="arial" w:eastAsia="arial" w:hAnsi="arial" w:cs="arial"/>
            <w:i/>
            <w:color w:val="0077CC"/>
            <w:sz w:val="20"/>
            <w:u w:val="single"/>
            <w:shd w:val="clear" w:color="auto" w:fill="FFFFFF"/>
            <w:lang w:val="en-US" w:eastAsia="en-US" w:bidi="ar-SA"/>
          </w:rPr>
          <w:t>[1994] B.C.J. No. 2232</w:t>
        </w:r>
      </w:hyperlink>
      <w:r>
        <w:rPr>
          <w:rFonts w:ascii="arial" w:eastAsia="arial" w:hAnsi="arial" w:cs="arial"/>
          <w:color w:val="000000"/>
          <w:sz w:val="20"/>
          <w:lang w:val="en-US" w:eastAsia="en-US" w:bidi="ar-SA"/>
        </w:rPr>
        <w:t xml:space="preserve"> (S.C.), the plaintiff failed to prove causation and damages in a medical malpractice action, although the defendant doctor had clearly been negligent. Indeed, the court ruled that the defendant's own actions in performing experimental surgery without obtaining proper consent "brought on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those circumstances, the court found that the case could be viewed as one with divided success on the two main issues, and the court frequently orders that each party bear their own costs in situations where there has been divided success. The court ordered accordingly at paras. 10 and 11 of the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The defendants further contend that the plaintiffs cannot be construed as having attained partial or divided success, relying on </w:t>
      </w:r>
      <w:r>
        <w:rPr>
          <w:rFonts w:ascii="arial" w:eastAsia="arial" w:hAnsi="arial" w:cs="arial"/>
          <w:i/>
          <w:color w:val="000000"/>
          <w:sz w:val="20"/>
          <w:lang w:val="en-US" w:eastAsia="en-US" w:bidi="ar-SA"/>
        </w:rPr>
        <w:t>Brito (Guardian ad litem of) v. Woolley</w:t>
      </w:r>
      <w:r>
        <w:rPr>
          <w:rFonts w:ascii="arial" w:eastAsia="arial" w:hAnsi="arial" w:cs="arial"/>
          <w:color w:val="000000"/>
          <w:sz w:val="20"/>
          <w:lang w:val="en-US" w:eastAsia="en-US" w:bidi="ar-SA"/>
        </w:rPr>
        <w:t xml:space="preserve">, </w:t>
      </w:r>
      <w:hyperlink r:id="rId570" w:history="1">
        <w:r>
          <w:rPr>
            <w:rFonts w:ascii="arial" w:eastAsia="arial" w:hAnsi="arial" w:cs="arial"/>
            <w:i/>
            <w:color w:val="0077CC"/>
            <w:sz w:val="20"/>
            <w:u w:val="single"/>
            <w:shd w:val="clear" w:color="auto" w:fill="FFFFFF"/>
            <w:lang w:val="en-US" w:eastAsia="en-US" w:bidi="ar-SA"/>
          </w:rPr>
          <w:t>2007 BCCA 1</w:t>
        </w:r>
      </w:hyperlink>
      <w:r>
        <w:rPr>
          <w:rFonts w:ascii="arial" w:eastAsia="arial" w:hAnsi="arial" w:cs="arial"/>
          <w:color w:val="000000"/>
          <w:sz w:val="20"/>
          <w:lang w:val="en-US" w:eastAsia="en-US" w:bidi="ar-SA"/>
        </w:rPr>
        <w:t xml:space="preserve">. As in the case at bar, </w:t>
      </w:r>
      <w:r>
        <w:rPr>
          <w:rFonts w:ascii="arial" w:eastAsia="arial" w:hAnsi="arial" w:cs="arial"/>
          <w:i/>
          <w:color w:val="000000"/>
          <w:sz w:val="20"/>
          <w:lang w:val="en-US" w:eastAsia="en-US" w:bidi="ar-SA"/>
        </w:rPr>
        <w:t>Brito</w:t>
      </w:r>
      <w:r>
        <w:rPr>
          <w:rFonts w:ascii="arial" w:eastAsia="arial" w:hAnsi="arial" w:cs="arial"/>
          <w:color w:val="000000"/>
          <w:sz w:val="20"/>
          <w:lang w:val="en-US" w:eastAsia="en-US" w:bidi="ar-SA"/>
        </w:rPr>
        <w:t xml:space="preserve"> involved a medical malpractice claim in which the plaintiffs proved breaches of the standard of care by certain defendants, but failed to prove causation in relation to any of the defendants. Nevertheless, the trial judge in </w:t>
      </w:r>
      <w:r>
        <w:rPr>
          <w:rFonts w:ascii="arial" w:eastAsia="arial" w:hAnsi="arial" w:cs="arial"/>
          <w:i/>
          <w:color w:val="000000"/>
          <w:sz w:val="20"/>
          <w:lang w:val="en-US" w:eastAsia="en-US" w:bidi="ar-SA"/>
        </w:rPr>
        <w:t>Brito</w:t>
      </w:r>
      <w:r>
        <w:rPr>
          <w:rFonts w:ascii="arial" w:eastAsia="arial" w:hAnsi="arial" w:cs="arial"/>
          <w:color w:val="000000"/>
          <w:sz w:val="20"/>
          <w:lang w:val="en-US" w:eastAsia="en-US" w:bidi="ar-SA"/>
        </w:rPr>
        <w:t xml:space="preserve"> ordered the defendants to pay the costs of the plaintiffs. On review, the Court of Appeal reversed that decision, ordering costs to the defendants in the usual way. The court held that the plaintiffs' failure to prove causation meant that their claim had been "entirely unsuccessful" and that accordingly, absent any other sound basis for departing from the usual rule, the defendants were entitled to their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Brito</w:t>
      </w:r>
      <w:r>
        <w:rPr>
          <w:rFonts w:ascii="arial" w:eastAsia="arial" w:hAnsi="arial" w:cs="arial"/>
          <w:color w:val="000000"/>
          <w:sz w:val="20"/>
          <w:lang w:val="en-US" w:eastAsia="en-US" w:bidi="ar-SA"/>
        </w:rPr>
        <w:t xml:space="preserve"> may be taken as authority for the proposition that the standard of care and causation components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are not divisible issues for the purpose of determining the relative success of the parties at trial. However, in a subsequent ruling in </w:t>
      </w:r>
      <w:r>
        <w:rPr>
          <w:rFonts w:ascii="arial" w:eastAsia="arial" w:hAnsi="arial" w:cs="arial"/>
          <w:i/>
          <w:color w:val="000000"/>
          <w:sz w:val="20"/>
          <w:lang w:val="en-US" w:eastAsia="en-US" w:bidi="ar-SA"/>
        </w:rPr>
        <w:t>Lee</w:t>
      </w:r>
      <w:r>
        <w:rPr>
          <w:rFonts w:ascii="arial" w:eastAsia="arial" w:hAnsi="arial" w:cs="arial"/>
          <w:color w:val="000000"/>
          <w:sz w:val="20"/>
          <w:lang w:val="en-US" w:eastAsia="en-US" w:bidi="ar-SA"/>
        </w:rPr>
        <w:t xml:space="preserve">, the court recognized that the individual heads of damage under a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constitute divisible issues for that purpose, although it is significant that liability was not at issue in that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Conceptually, the distinctions endorsed in </w:t>
      </w:r>
      <w:r>
        <w:rPr>
          <w:rFonts w:ascii="arial" w:eastAsia="arial" w:hAnsi="arial" w:cs="arial"/>
          <w:i/>
          <w:color w:val="000000"/>
          <w:sz w:val="20"/>
          <w:lang w:val="en-US" w:eastAsia="en-US" w:bidi="ar-SA"/>
        </w:rPr>
        <w:t>Lee</w:t>
      </w:r>
      <w:r>
        <w:rPr>
          <w:rFonts w:ascii="arial" w:eastAsia="arial" w:hAnsi="arial" w:cs="arial"/>
          <w:color w:val="000000"/>
          <w:sz w:val="20"/>
          <w:lang w:val="en-US" w:eastAsia="en-US" w:bidi="ar-SA"/>
        </w:rPr>
        <w:t xml:space="preserve"> are more minute than those rejected in </w:t>
      </w:r>
      <w:r>
        <w:rPr>
          <w:rFonts w:ascii="arial" w:eastAsia="arial" w:hAnsi="arial" w:cs="arial"/>
          <w:i/>
          <w:color w:val="000000"/>
          <w:sz w:val="20"/>
          <w:lang w:val="en-US" w:eastAsia="en-US" w:bidi="ar-SA"/>
        </w:rPr>
        <w:t>Brito</w:t>
      </w:r>
      <w:r>
        <w:rPr>
          <w:rFonts w:ascii="arial" w:eastAsia="arial" w:hAnsi="arial" w:cs="arial"/>
          <w:color w:val="000000"/>
          <w:sz w:val="20"/>
          <w:lang w:val="en-US" w:eastAsia="en-US" w:bidi="ar-SA"/>
        </w:rPr>
        <w:t xml:space="preserve">, as they involve differentiation between subordinate issues that were subsumed within a component of the tort, rather than between the components of the tort. In other words, success in </w:t>
      </w:r>
      <w:r>
        <w:rPr>
          <w:rFonts w:ascii="arial" w:eastAsia="arial" w:hAnsi="arial" w:cs="arial"/>
          <w:i/>
          <w:color w:val="000000"/>
          <w:sz w:val="20"/>
          <w:lang w:val="en-US" w:eastAsia="en-US" w:bidi="ar-SA"/>
        </w:rPr>
        <w:t>Lee</w:t>
      </w:r>
      <w:r>
        <w:rPr>
          <w:rFonts w:ascii="arial" w:eastAsia="arial" w:hAnsi="arial" w:cs="arial"/>
          <w:color w:val="000000"/>
          <w:sz w:val="20"/>
          <w:lang w:val="en-US" w:eastAsia="en-US" w:bidi="ar-SA"/>
        </w:rPr>
        <w:t xml:space="preserve"> was defined by reference to victory in battles rather than in the larger war, a break from both preceding and subsequent jurisprudence: see </w:t>
      </w:r>
      <w:r>
        <w:rPr>
          <w:rFonts w:ascii="arial" w:eastAsia="arial" w:hAnsi="arial" w:cs="arial"/>
          <w:i/>
          <w:color w:val="000000"/>
          <w:sz w:val="20"/>
          <w:lang w:val="en-US" w:eastAsia="en-US" w:bidi="ar-SA"/>
        </w:rPr>
        <w:t>Lewis v. Lehigh Northwest Cement Limited</w:t>
      </w:r>
      <w:r>
        <w:rPr>
          <w:rFonts w:ascii="arial" w:eastAsia="arial" w:hAnsi="arial" w:cs="arial"/>
          <w:color w:val="000000"/>
          <w:sz w:val="20"/>
          <w:lang w:val="en-US" w:eastAsia="en-US" w:bidi="ar-SA"/>
        </w:rPr>
        <w:t xml:space="preserve">, </w:t>
      </w:r>
      <w:hyperlink r:id="rId571" w:history="1">
        <w:r>
          <w:rPr>
            <w:rFonts w:ascii="arial" w:eastAsia="arial" w:hAnsi="arial" w:cs="arial"/>
            <w:i/>
            <w:color w:val="0077CC"/>
            <w:sz w:val="20"/>
            <w:u w:val="single"/>
            <w:shd w:val="clear" w:color="auto" w:fill="FFFFFF"/>
            <w:lang w:val="en-US" w:eastAsia="en-US" w:bidi="ar-SA"/>
          </w:rPr>
          <w:t>2009 BCCA 424</w:t>
        </w:r>
      </w:hyperlink>
      <w:r>
        <w:rPr>
          <w:rFonts w:ascii="arial" w:eastAsia="arial" w:hAnsi="arial" w:cs="arial"/>
          <w:color w:val="000000"/>
          <w:sz w:val="20"/>
          <w:lang w:val="en-US" w:eastAsia="en-US" w:bidi="ar-SA"/>
        </w:rPr>
        <w:t xml:space="preserve"> at para. 38; </w:t>
      </w:r>
      <w:r>
        <w:rPr>
          <w:rFonts w:ascii="arial" w:eastAsia="arial" w:hAnsi="arial" w:cs="arial"/>
          <w:i/>
          <w:color w:val="000000"/>
          <w:sz w:val="20"/>
          <w:lang w:val="en-US" w:eastAsia="en-US" w:bidi="ar-SA"/>
        </w:rPr>
        <w:t>Bronson v. Hewitt</w:t>
      </w:r>
      <w:r>
        <w:rPr>
          <w:rFonts w:ascii="arial" w:eastAsia="arial" w:hAnsi="arial" w:cs="arial"/>
          <w:color w:val="000000"/>
          <w:sz w:val="20"/>
          <w:lang w:val="en-US" w:eastAsia="en-US" w:bidi="ar-SA"/>
        </w:rPr>
        <w:t xml:space="preserve">, </w:t>
      </w:r>
      <w:hyperlink r:id="rId572" w:history="1">
        <w:r>
          <w:rPr>
            <w:rFonts w:ascii="arial" w:eastAsia="arial" w:hAnsi="arial" w:cs="arial"/>
            <w:i/>
            <w:color w:val="0077CC"/>
            <w:sz w:val="20"/>
            <w:u w:val="single"/>
            <w:shd w:val="clear" w:color="auto" w:fill="FFFFFF"/>
            <w:lang w:val="en-US" w:eastAsia="en-US" w:bidi="ar-SA"/>
          </w:rPr>
          <w:t>2011 BCSC 102</w:t>
        </w:r>
      </w:hyperlink>
      <w:r>
        <w:rPr>
          <w:rFonts w:ascii="arial" w:eastAsia="arial" w:hAnsi="arial" w:cs="arial"/>
          <w:color w:val="000000"/>
          <w:sz w:val="20"/>
          <w:lang w:val="en-US" w:eastAsia="en-US" w:bidi="ar-SA"/>
        </w:rPr>
        <w:t xml:space="preserve"> at paras. 166 to 167; and </w:t>
      </w:r>
      <w:r>
        <w:rPr>
          <w:rFonts w:ascii="arial" w:eastAsia="arial" w:hAnsi="arial" w:cs="arial"/>
          <w:i/>
          <w:color w:val="000000"/>
          <w:sz w:val="20"/>
          <w:lang w:val="en-US" w:eastAsia="en-US" w:bidi="ar-SA"/>
        </w:rPr>
        <w:t>Sigurdson v. Fidelity Insurance Company of Canada et al (No. 2),</w:t>
      </w:r>
      <w:r>
        <w:rPr>
          <w:rFonts w:ascii="arial" w:eastAsia="arial" w:hAnsi="arial" w:cs="arial"/>
          <w:color w:val="000000"/>
          <w:sz w:val="20"/>
          <w:lang w:val="en-US" w:eastAsia="en-US" w:bidi="ar-SA"/>
        </w:rPr>
        <w:t xml:space="preserve"> </w:t>
      </w:r>
      <w:hyperlink r:id="rId573" w:history="1">
        <w:r>
          <w:rPr>
            <w:rFonts w:ascii="arial" w:eastAsia="arial" w:hAnsi="arial" w:cs="arial"/>
            <w:i/>
            <w:color w:val="0077CC"/>
            <w:sz w:val="20"/>
            <w:u w:val="single"/>
            <w:shd w:val="clear" w:color="auto" w:fill="FFFFFF"/>
            <w:lang w:val="en-US" w:eastAsia="en-US" w:bidi="ar-SA"/>
          </w:rPr>
          <w:t>[1977] B.C.J. No. 1176</w:t>
        </w:r>
      </w:hyperlink>
      <w:r>
        <w:rPr>
          <w:rFonts w:ascii="arial" w:eastAsia="arial" w:hAnsi="arial" w:cs="arial"/>
          <w:color w:val="000000"/>
          <w:sz w:val="20"/>
          <w:lang w:val="en-US" w:eastAsia="en-US" w:bidi="ar-SA"/>
        </w:rPr>
        <w:t xml:space="preserve"> (S.C.) at para. 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The decision in </w:t>
      </w:r>
      <w:r>
        <w:rPr>
          <w:rFonts w:ascii="arial" w:eastAsia="arial" w:hAnsi="arial" w:cs="arial"/>
          <w:i/>
          <w:color w:val="000000"/>
          <w:sz w:val="20"/>
          <w:lang w:val="en-US" w:eastAsia="en-US" w:bidi="ar-SA"/>
        </w:rPr>
        <w:t>Lee</w:t>
      </w:r>
      <w:r>
        <w:rPr>
          <w:rFonts w:ascii="arial" w:eastAsia="arial" w:hAnsi="arial" w:cs="arial"/>
          <w:color w:val="000000"/>
          <w:sz w:val="20"/>
          <w:lang w:val="en-US" w:eastAsia="en-US" w:bidi="ar-SA"/>
        </w:rPr>
        <w:t xml:space="preserve"> might well be taken as reflecting the increasing discretion granted to trial judges on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The plaintiffs point to decisions from other jurisdictions in which costs have not been awarded against unsuccessful plaintiffs in medical malpractice actions. For instance, in </w:t>
      </w:r>
      <w:r>
        <w:rPr>
          <w:rFonts w:ascii="arial" w:eastAsia="arial" w:hAnsi="arial" w:cs="arial"/>
          <w:i/>
          <w:color w:val="000000"/>
          <w:sz w:val="20"/>
          <w:lang w:val="en-US" w:eastAsia="en-US" w:bidi="ar-SA"/>
        </w:rPr>
        <w:t>Khoshmashrab v. Bent</w:t>
      </w:r>
      <w:r>
        <w:rPr>
          <w:rFonts w:ascii="arial" w:eastAsia="arial" w:hAnsi="arial" w:cs="arial"/>
          <w:color w:val="000000"/>
          <w:sz w:val="20"/>
          <w:lang w:val="en-US" w:eastAsia="en-US" w:bidi="ar-SA"/>
        </w:rPr>
        <w:t xml:space="preserve">, </w:t>
      </w:r>
      <w:hyperlink r:id="rId574" w:history="1">
        <w:r>
          <w:rPr>
            <w:rFonts w:ascii="arial" w:eastAsia="arial" w:hAnsi="arial" w:cs="arial"/>
            <w:i/>
            <w:color w:val="0077CC"/>
            <w:sz w:val="20"/>
            <w:u w:val="single"/>
            <w:shd w:val="clear" w:color="auto" w:fill="FFFFFF"/>
            <w:lang w:val="en-US" w:eastAsia="en-US" w:bidi="ar-SA"/>
          </w:rPr>
          <w:t>[2004] O.J. No. 2830</w:t>
        </w:r>
      </w:hyperlink>
      <w:r>
        <w:rPr>
          <w:rFonts w:ascii="arial" w:eastAsia="arial" w:hAnsi="arial" w:cs="arial"/>
          <w:color w:val="000000"/>
          <w:sz w:val="20"/>
          <w:lang w:val="en-US" w:eastAsia="en-US" w:bidi="ar-SA"/>
        </w:rPr>
        <w:t xml:space="preserve"> (S.C.), the Ontario Superior Court recognized that establishing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such claims "is extremely difficult" and that failure in this regard "should not always result in costs penalties".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Cranwill (Next Friend of) v. James</w:t>
      </w:r>
      <w:r>
        <w:rPr>
          <w:rFonts w:ascii="arial" w:eastAsia="arial" w:hAnsi="arial" w:cs="arial"/>
          <w:color w:val="000000"/>
          <w:sz w:val="20"/>
          <w:lang w:val="en-US" w:eastAsia="en-US" w:bidi="ar-SA"/>
        </w:rPr>
        <w:t xml:space="preserve">, </w:t>
      </w:r>
      <w:hyperlink r:id="rId575" w:history="1">
        <w:r>
          <w:rPr>
            <w:rFonts w:ascii="arial" w:eastAsia="arial" w:hAnsi="arial" w:cs="arial"/>
            <w:i/>
            <w:color w:val="0077CC"/>
            <w:sz w:val="20"/>
            <w:u w:val="single"/>
            <w:shd w:val="clear" w:color="auto" w:fill="FFFFFF"/>
            <w:lang w:val="en-US" w:eastAsia="en-US" w:bidi="ar-SA"/>
          </w:rPr>
          <w:t>[1995] A.J. No. 788</w:t>
        </w:r>
      </w:hyperlink>
      <w:r>
        <w:rPr>
          <w:rFonts w:ascii="arial" w:eastAsia="arial" w:hAnsi="arial" w:cs="arial"/>
          <w:color w:val="000000"/>
          <w:sz w:val="20"/>
          <w:lang w:val="en-US" w:eastAsia="en-US" w:bidi="ar-SA"/>
        </w:rPr>
        <w:t xml:space="preserve"> (Q.B.), the Alberta Court of Queen's Bench considered </w:t>
      </w:r>
      <w:r>
        <w:rPr>
          <w:rFonts w:ascii="arial" w:eastAsia="arial" w:hAnsi="arial" w:cs="arial"/>
          <w:i/>
          <w:color w:val="000000"/>
          <w:sz w:val="20"/>
          <w:lang w:val="en-US" w:eastAsia="en-US" w:bidi="ar-SA"/>
        </w:rPr>
        <w:t>Grealy</w:t>
      </w:r>
      <w:r>
        <w:rPr>
          <w:rFonts w:ascii="arial" w:eastAsia="arial" w:hAnsi="arial" w:cs="arial"/>
          <w:color w:val="000000"/>
          <w:sz w:val="20"/>
          <w:lang w:val="en-US" w:eastAsia="en-US" w:bidi="ar-SA"/>
        </w:rPr>
        <w:t xml:space="preserve"> in circumstances involving an unsuccessful medical malpractice claim. The plaintiff succeeded in establishing a breach of the standard of care in that case, but could not prove causation. The court justified depriving one of the defendants of costs as a result, finding that the breach in question "was a material factor resulting in the commencement of this litigation": paras. 26 and 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In my view, neither </w:t>
      </w:r>
      <w:r>
        <w:rPr>
          <w:rFonts w:ascii="arial" w:eastAsia="arial" w:hAnsi="arial" w:cs="arial"/>
          <w:i/>
          <w:color w:val="000000"/>
          <w:sz w:val="20"/>
          <w:lang w:val="en-US" w:eastAsia="en-US" w:bidi="ar-SA"/>
        </w:rPr>
        <w:t>Rossmo</w:t>
      </w:r>
      <w:r>
        <w:rPr>
          <w:rFonts w:ascii="arial" w:eastAsia="arial" w:hAnsi="arial" w:cs="arial"/>
          <w:color w:val="000000"/>
          <w:sz w:val="20"/>
          <w:lang w:val="en-US" w:eastAsia="en-US" w:bidi="ar-SA"/>
        </w:rPr>
        <w:t xml:space="preserve"> nor </w:t>
      </w:r>
      <w:r>
        <w:rPr>
          <w:rFonts w:ascii="arial" w:eastAsia="arial" w:hAnsi="arial" w:cs="arial"/>
          <w:i/>
          <w:color w:val="000000"/>
          <w:sz w:val="20"/>
          <w:lang w:val="en-US" w:eastAsia="en-US" w:bidi="ar-SA"/>
        </w:rPr>
        <w:t>Brito</w:t>
      </w:r>
      <w:r>
        <w:rPr>
          <w:rFonts w:ascii="arial" w:eastAsia="arial" w:hAnsi="arial" w:cs="arial"/>
          <w:color w:val="000000"/>
          <w:sz w:val="20"/>
          <w:lang w:val="en-US" w:eastAsia="en-US" w:bidi="ar-SA"/>
        </w:rPr>
        <w:t xml:space="preserve"> wholly preclude the consideration of the plaintiffs' success on the standard of care issue in determining costs, notwithstanding their failure to prove causation. In particular, that the plaintiffs were successful in proving breaches of the standard of care may be relevant in evaluating the reasonableness of the defendants' conduct in resisting the plaintiffs' claims. Certainly, if the defendants raised frivolous defences in relation to the standard of care issue which prolonged or complicated the trial, that would be relevant to the question of costs: see </w:t>
      </w:r>
      <w:r>
        <w:rPr>
          <w:rFonts w:ascii="arial" w:eastAsia="arial" w:hAnsi="arial" w:cs="arial"/>
          <w:i/>
          <w:color w:val="000000"/>
          <w:sz w:val="20"/>
          <w:lang w:val="en-US" w:eastAsia="en-US" w:bidi="ar-SA"/>
        </w:rPr>
        <w:t>Giles</w:t>
      </w:r>
      <w:r>
        <w:rPr>
          <w:rFonts w:ascii="arial" w:eastAsia="arial" w:hAnsi="arial" w:cs="arial"/>
          <w:color w:val="000000"/>
          <w:sz w:val="20"/>
          <w:lang w:val="en-US" w:eastAsia="en-US" w:bidi="ar-SA"/>
        </w:rPr>
        <w:t xml:space="preserve"> at para. 74.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plaintiffs' success on the standard of care issue suggests that an analysis of the defendants' conduct in defending that issue may well be warranted. Further, that the plaintiffs proved breaches of the standard of care also provides at least some indication that the action, though ultimately unsuccessful, had some merit and was not frivolously pursued by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Finally, </w:t>
      </w:r>
      <w:r>
        <w:rPr>
          <w:rFonts w:ascii="arial" w:eastAsia="arial" w:hAnsi="arial" w:cs="arial"/>
          <w:i/>
          <w:color w:val="000000"/>
          <w:sz w:val="20"/>
          <w:lang w:val="en-US" w:eastAsia="en-US" w:bidi="ar-SA"/>
        </w:rPr>
        <w:t>Brito</w:t>
      </w:r>
      <w:r>
        <w:rPr>
          <w:rFonts w:ascii="arial" w:eastAsia="arial" w:hAnsi="arial" w:cs="arial"/>
          <w:color w:val="000000"/>
          <w:sz w:val="20"/>
          <w:lang w:val="en-US" w:eastAsia="en-US" w:bidi="ar-SA"/>
        </w:rPr>
        <w:t xml:space="preserve"> has only limited application here, as the plaintiffs have conceded that the defendants were substantially successful and do not ask for an apportionment of costs. Rather, as discussed above, they seek an order that the parties bear their own costs. Accordingly, it is practically certain that the plaintiffs' success on the standard of care issue may be considered, at least for the limited purposes discussed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Misconduct on the part of litigants is a factor which may justify departure from the usual rule as to costs. Misconduct in this sense does not refer to merely suboptimal conduct, conduct short of perfection, or questionable judgment, but rather means conduct which "manifestly warrants rebuke": </w:t>
      </w:r>
      <w:r>
        <w:rPr>
          <w:rFonts w:ascii="arial" w:eastAsia="arial" w:hAnsi="arial" w:cs="arial"/>
          <w:i/>
          <w:color w:val="000000"/>
          <w:sz w:val="20"/>
          <w:lang w:val="en-US" w:eastAsia="en-US" w:bidi="ar-SA"/>
        </w:rPr>
        <w:t>LeClair v. Mibrella Inc</w:t>
      </w:r>
      <w:r>
        <w:rPr>
          <w:rFonts w:ascii="arial" w:eastAsia="arial" w:hAnsi="arial" w:cs="arial"/>
          <w:color w:val="000000"/>
          <w:sz w:val="20"/>
          <w:lang w:val="en-US" w:eastAsia="en-US" w:bidi="ar-SA"/>
        </w:rPr>
        <w:t xml:space="preserve">., </w:t>
      </w:r>
      <w:hyperlink r:id="rId576" w:history="1">
        <w:r>
          <w:rPr>
            <w:rFonts w:ascii="arial" w:eastAsia="arial" w:hAnsi="arial" w:cs="arial"/>
            <w:i/>
            <w:color w:val="0077CC"/>
            <w:sz w:val="20"/>
            <w:u w:val="single"/>
            <w:shd w:val="clear" w:color="auto" w:fill="FFFFFF"/>
            <w:lang w:val="en-US" w:eastAsia="en-US" w:bidi="ar-SA"/>
          </w:rPr>
          <w:t>2011 BCSC 533</w:t>
        </w:r>
      </w:hyperlink>
      <w:r>
        <w:rPr>
          <w:rFonts w:ascii="arial" w:eastAsia="arial" w:hAnsi="arial" w:cs="arial"/>
          <w:color w:val="000000"/>
          <w:sz w:val="20"/>
          <w:lang w:val="en-US" w:eastAsia="en-US" w:bidi="ar-SA"/>
        </w:rPr>
        <w:t xml:space="preserve"> at para. 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plaintiffs argue that they brought their claim in good faith and conducted the litigation reasonably and expediently. I agree with that characterization. In addition, the plaintiffs delivered a notice to mediate and an offer to settle, acts which may also indicate that the plaintiffs conducted themselves reasonably in the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Further, while there were inconsistencies between the discovery and the trial evidence given by certain of the plaintiffs' witnesses, I find that those discrepancies reflect the limits of human memory, rather than any lack of forthrightness or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However, as held in </w:t>
      </w:r>
      <w:r>
        <w:rPr>
          <w:rFonts w:ascii="arial" w:eastAsia="arial" w:hAnsi="arial" w:cs="arial"/>
          <w:i/>
          <w:color w:val="000000"/>
          <w:sz w:val="20"/>
          <w:lang w:val="en-US" w:eastAsia="en-US" w:bidi="ar-SA"/>
        </w:rPr>
        <w:t>Staley v. Squirrel Systems of Canada, Ltd.,</w:t>
      </w:r>
      <w:r>
        <w:rPr>
          <w:rFonts w:ascii="arial" w:eastAsia="arial" w:hAnsi="arial" w:cs="arial"/>
          <w:color w:val="000000"/>
          <w:sz w:val="20"/>
          <w:lang w:val="en-US" w:eastAsia="en-US" w:bidi="ar-SA"/>
        </w:rPr>
        <w:t xml:space="preserve"> </w:t>
      </w:r>
      <w:hyperlink r:id="rId577" w:history="1">
        <w:r>
          <w:rPr>
            <w:rFonts w:ascii="arial" w:eastAsia="arial" w:hAnsi="arial" w:cs="arial"/>
            <w:i/>
            <w:color w:val="0077CC"/>
            <w:sz w:val="20"/>
            <w:u w:val="single"/>
            <w:shd w:val="clear" w:color="auto" w:fill="FFFFFF"/>
            <w:lang w:val="en-US" w:eastAsia="en-US" w:bidi="ar-SA"/>
          </w:rPr>
          <w:t>2012 BCSC 954</w:t>
        </w:r>
      </w:hyperlink>
      <w:r>
        <w:rPr>
          <w:rFonts w:ascii="arial" w:eastAsia="arial" w:hAnsi="arial" w:cs="arial"/>
          <w:color w:val="000000"/>
          <w:sz w:val="20"/>
          <w:lang w:val="en-US" w:eastAsia="en-US" w:bidi="ar-SA"/>
        </w:rPr>
        <w:t>, reasonable conduct in litigation cannot on its own constitute a "special circumstance" justifying departure from the usual rule as to costs: see para. 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courts expect that litigants will comport themselves in this manner. Divergence from, rather than compliance with, the standard of conduct justifies an alternative costs disposition. However, I do not accept that the plaintiffs' conduct in this litigation does not provide any basis for depriving them of costs which they otherwise might have obtained.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Considering the defendants' conduct, the plaintiffs raise two concerns. Firstly, the plaintiffs argue that because Ms. Hooff and Dr. Ross each alleged that the other breached the standard of care, the defendants knew or should have known that the plaintiffs would be successful in establishing a breach against at least one of them. Accordingly, the plaintiffs say that the proceedings were unnecessarily lengthened or complicated by the defendants' insistence on litigating the standard of care issue, particularly in light of the strength of the plaintiffs' evidence on this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With that proposition, I must disagree. The contrary or cutthroat positions taken by Ms. Hooff and Dr. Ross perhaps provided a significant likelihood that one or the other would be found to have breached the standard of care. However, there was little to indicate which of the two had done so and whether breaches would be found with respect to both of them. In addition, the application, given that the essence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the failure to make a referral to a specialist psychiatrist, the plaintiffs' action was somewhat novel in that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In those circumstances, it seems to me that it cannot be said that the defendants were not entitled to defend the standard of care issue, as either could have harboured a reasonable hope of escaping liability on that basis, and it was not inconceivable that both defendants would be successful. In any event, the issue arose out of the plaintiffs' own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Secondly, the plaintiffs say that the discrepancies in the evidence of Ms. Hooff and Dr. Ross diverged in certain respects from their testimony at trial, and that that conduct justifies a departure from the usual rule as to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Brown v. Lowe</w:t>
      </w:r>
      <w:r>
        <w:rPr>
          <w:rFonts w:ascii="arial" w:eastAsia="arial" w:hAnsi="arial" w:cs="arial"/>
          <w:color w:val="000000"/>
          <w:sz w:val="20"/>
          <w:lang w:val="en-US" w:eastAsia="en-US" w:bidi="ar-SA"/>
        </w:rPr>
        <w:t xml:space="preserve">, </w:t>
      </w:r>
      <w:hyperlink r:id="rId120" w:history="1">
        <w:r>
          <w:rPr>
            <w:rFonts w:ascii="arial" w:eastAsia="arial" w:hAnsi="arial" w:cs="arial"/>
            <w:i/>
            <w:color w:val="0077CC"/>
            <w:sz w:val="20"/>
            <w:u w:val="single"/>
            <w:shd w:val="clear" w:color="auto" w:fill="FFFFFF"/>
            <w:lang w:val="en-US" w:eastAsia="en-US" w:bidi="ar-SA"/>
          </w:rPr>
          <w:t>2002 BCCA 7</w:t>
        </w:r>
      </w:hyperlink>
      <w:r>
        <w:rPr>
          <w:rFonts w:ascii="arial" w:eastAsia="arial" w:hAnsi="arial" w:cs="arial"/>
          <w:color w:val="000000"/>
          <w:sz w:val="20"/>
          <w:lang w:val="en-US" w:eastAsia="en-US" w:bidi="ar-SA"/>
        </w:rPr>
        <w:t>, the majority ruled that where a successful litigant either deliberately provides false evidence at any stage of the proceedings or, short of deliberate untruthfulness, the litigant exhibits a light regard for the truth, this may justify depriving that litigant of costs: see paras. 149 to 150 and 163 to 165.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Such conduct is highly germane to costs, given that the purpose of discovery is to permit the parties to "judge the strength of the discovered party's case and determine, among other things, the wisdom or otherwise of settlement", a purpose which is defeated by giving false evidence: </w:t>
      </w:r>
      <w:r>
        <w:rPr>
          <w:rFonts w:ascii="arial" w:eastAsia="arial" w:hAnsi="arial" w:cs="arial"/>
          <w:i/>
          <w:color w:val="000000"/>
          <w:sz w:val="20"/>
          <w:lang w:val="en-US" w:eastAsia="en-US" w:bidi="ar-SA"/>
        </w:rPr>
        <w:t>Brown v. Lowe</w:t>
      </w:r>
      <w:r>
        <w:rPr>
          <w:rFonts w:ascii="arial" w:eastAsia="arial" w:hAnsi="arial" w:cs="arial"/>
          <w:color w:val="000000"/>
          <w:sz w:val="20"/>
          <w:lang w:val="en-US" w:eastAsia="en-US" w:bidi="ar-SA"/>
        </w:rPr>
        <w:t xml:space="preserve"> at para. 150.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Counsel for Ms. Hooff cites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for the proposition that dishonesty can only suffice as a basis for depriving a successful party of its costs in extreme cases where the dishonesty results in significant consequence in the subsequent course of the litigation. While Chief Justice Finch employed language to that effect in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he was dissenting on that point. Madam Justice Southin wrote for the majority on the issue with Madam Justice Ryan concurring.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Ms. Hooff also relies on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as authority for the assertion that if dishonesty is to have an impact on costs, the evidence given must be false and calculated to mislead the trial judge. In this regard, the court in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referred to the decision of </w:t>
      </w:r>
      <w:r>
        <w:rPr>
          <w:rFonts w:ascii="arial" w:eastAsia="arial" w:hAnsi="arial" w:cs="arial"/>
          <w:i/>
          <w:color w:val="000000"/>
          <w:sz w:val="20"/>
          <w:lang w:val="en-US" w:eastAsia="en-US" w:bidi="ar-SA"/>
        </w:rPr>
        <w:t>Fullerton v. Matsqui (District)</w:t>
      </w:r>
      <w:r>
        <w:rPr>
          <w:rFonts w:ascii="arial" w:eastAsia="arial" w:hAnsi="arial" w:cs="arial"/>
          <w:color w:val="000000"/>
          <w:sz w:val="20"/>
          <w:lang w:val="en-US" w:eastAsia="en-US" w:bidi="ar-SA"/>
        </w:rPr>
        <w:t xml:space="preserve">, </w:t>
      </w:r>
      <w:hyperlink r:id="rId578" w:history="1">
        <w:r>
          <w:rPr>
            <w:rFonts w:ascii="arial" w:eastAsia="arial" w:hAnsi="arial" w:cs="arial"/>
            <w:i/>
            <w:color w:val="0077CC"/>
            <w:sz w:val="20"/>
            <w:u w:val="single"/>
            <w:shd w:val="clear" w:color="auto" w:fill="FFFFFF"/>
            <w:lang w:val="en-US" w:eastAsia="en-US" w:bidi="ar-SA"/>
          </w:rPr>
          <w:t>[1992] B.C.J. No. 2969</w:t>
        </w:r>
      </w:hyperlink>
      <w:r>
        <w:rPr>
          <w:rFonts w:ascii="arial" w:eastAsia="arial" w:hAnsi="arial" w:cs="arial"/>
          <w:color w:val="000000"/>
          <w:sz w:val="20"/>
          <w:lang w:val="en-US" w:eastAsia="en-US" w:bidi="ar-SA"/>
        </w:rPr>
        <w:t xml:space="preserve"> (C.A.). However, that excerpt is actually from the trial decision appealed from in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in which the trial judge articulated a limiting proposition concerning costs. The trial judge in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attributed that limiting proposition to </w:t>
      </w:r>
      <w:r>
        <w:rPr>
          <w:rFonts w:ascii="arial" w:eastAsia="arial" w:hAnsi="arial" w:cs="arial"/>
          <w:i/>
          <w:color w:val="000000"/>
          <w:sz w:val="20"/>
          <w:lang w:val="en-US" w:eastAsia="en-US" w:bidi="ar-SA"/>
        </w:rPr>
        <w:t>Fullerton</w:t>
      </w:r>
      <w:r>
        <w:rPr>
          <w:rFonts w:ascii="arial" w:eastAsia="arial" w:hAnsi="arial" w:cs="arial"/>
          <w:color w:val="000000"/>
          <w:sz w:val="20"/>
          <w:lang w:val="en-US" w:eastAsia="en-US" w:bidi="ar-SA"/>
        </w:rPr>
        <w:t xml:space="preserve">. However, the limiting proposition was expressly rejected by Justices Southin and Ryan on review. In any event, </w:t>
      </w:r>
      <w:r>
        <w:rPr>
          <w:rFonts w:ascii="arial" w:eastAsia="arial" w:hAnsi="arial" w:cs="arial"/>
          <w:i/>
          <w:color w:val="000000"/>
          <w:sz w:val="20"/>
          <w:lang w:val="en-US" w:eastAsia="en-US" w:bidi="ar-SA"/>
        </w:rPr>
        <w:t>Fullerton</w:t>
      </w:r>
      <w:r>
        <w:rPr>
          <w:rFonts w:ascii="arial" w:eastAsia="arial" w:hAnsi="arial" w:cs="arial"/>
          <w:color w:val="000000"/>
          <w:sz w:val="20"/>
          <w:lang w:val="en-US" w:eastAsia="en-US" w:bidi="ar-SA"/>
        </w:rPr>
        <w:t xml:space="preserve"> stands for no such proposition. The case establishes only that the presentation of evidence calculated to mislead constitutes a sufficient, but by no means necessary, basis for departing from the usual rule as to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The majority held in </w:t>
      </w:r>
      <w:r>
        <w:rPr>
          <w:rFonts w:ascii="arial" w:eastAsia="arial" w:hAnsi="arial" w:cs="arial"/>
          <w:i/>
          <w:color w:val="000000"/>
          <w:sz w:val="20"/>
          <w:lang w:val="en-US" w:eastAsia="en-US" w:bidi="ar-SA"/>
        </w:rPr>
        <w:t>Fullerton</w:t>
      </w:r>
      <w:r>
        <w:rPr>
          <w:rFonts w:ascii="arial" w:eastAsia="arial" w:hAnsi="arial" w:cs="arial"/>
          <w:color w:val="000000"/>
          <w:sz w:val="20"/>
          <w:lang w:val="en-US" w:eastAsia="en-US" w:bidi="ar-SA"/>
        </w:rPr>
        <w:t xml:space="preserve"> that such misconduct also met the more onerous standard required to order special costs, paras. 16 to 18, a finding which is logically consistent with Ms. Hooff's contention that a calculated effort to mislead the trier of fact constitutes a minimum standard of misconduct for departure from the usual rule on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Courts of other provinces have held that it is an error in principle to fail to consider inconsistencies in the evidence given by a litigant in fashioning a costs award: </w:t>
      </w:r>
      <w:r>
        <w:rPr>
          <w:rFonts w:ascii="arial" w:eastAsia="arial" w:hAnsi="arial" w:cs="arial"/>
          <w:i/>
          <w:color w:val="000000"/>
          <w:sz w:val="20"/>
          <w:lang w:val="en-US" w:eastAsia="en-US" w:bidi="ar-SA"/>
        </w:rPr>
        <w:t>Mirembe v. Tarshis</w:t>
      </w:r>
      <w:r>
        <w:rPr>
          <w:rFonts w:ascii="arial" w:eastAsia="arial" w:hAnsi="arial" w:cs="arial"/>
          <w:color w:val="000000"/>
          <w:sz w:val="20"/>
          <w:lang w:val="en-US" w:eastAsia="en-US" w:bidi="ar-SA"/>
        </w:rPr>
        <w:t xml:space="preserve">, </w:t>
      </w:r>
      <w:hyperlink r:id="rId579" w:history="1">
        <w:r>
          <w:rPr>
            <w:rFonts w:ascii="arial" w:eastAsia="arial" w:hAnsi="arial" w:cs="arial"/>
            <w:i/>
            <w:color w:val="0077CC"/>
            <w:sz w:val="20"/>
            <w:u w:val="single"/>
            <w:shd w:val="clear" w:color="auto" w:fill="FFFFFF"/>
            <w:lang w:val="en-US" w:eastAsia="en-US" w:bidi="ar-SA"/>
          </w:rPr>
          <w:t>[2003] O.J. No. 4753</w:t>
        </w:r>
      </w:hyperlink>
      <w:r>
        <w:rPr>
          <w:rFonts w:ascii="arial" w:eastAsia="arial" w:hAnsi="arial" w:cs="arial"/>
          <w:color w:val="000000"/>
          <w:sz w:val="20"/>
          <w:lang w:val="en-US" w:eastAsia="en-US" w:bidi="ar-SA"/>
        </w:rPr>
        <w:t xml:space="preserve"> (C.A.). There, the unsuccessful plaintiff in a medical malpractice claim failed to establish either a breach of the standard of care or causation at trial. On appeal, the court ruled that the trial judge had erred in failing to consider inconsistencies between the defendant's evidence at discovery versus the evidence given at trial. The court ruled that that was a factor which justified depriving the defendant of costs and ordered accordingly.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Returning then to the present facts, the plaintiffs point to discrepancies between the discovery and the trial evidence of Ms. Hooff and Dr. Ross, and say that that evidence and those inconsistencies amount to misconduct in the trial process. Regarding Ms. Hooff, the plaintiffs say that her evidence at trial diverged from her discovery evidence in several material respects. Ms. Hooff's counsel argues that she did not intentionally mislead the court, and says that these inconsistencies are attributable to either the limitations of human memory or to the consideration of information which became available during the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In my view, some of Ms. Hooff's evidence was self-serving and fell short of forthrightness, particularly as it pertains to certain issues relating to the standard of care. However, I cannot say that she deliberately misled the court, and at the very least I am of the view that Ms. Hooff had some difficulty with memory, and that that resulted in the divergences.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Turning to Dr. Ross, the plaintiffs take issue with the fact that during discovery, she testified that she "didn't really have a differential diagnosis regarding Joseph Briante." She resiled from that position at trial, saying that she "had a differential diagnosis. My primary diagnosis was situational crisis. I would have put substance use as a more secondary diagnosis."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When confronted with her discovery evidence at trial, she stated that the evidence she gave at discovery was incorrect, but conceded that she had not recorded any differential diagnosis on Joseph Briante's chart.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Though I cannot say that Dr. Ross deliberately misled the court, she did give inconsistent answers between her examination for discovery and her evidence at trial, although in fairness, it should be pointed out that Dr. Ross did not become aware of what the plaintiff had done until she was served with legal process long after the event. That, of course, was not the case with Ms. Hooff, who was aware of the situation soon after it happened. In these circumstances, I cannot find that Dr. Ross deliberately misled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I conclude that there was some evidence on the part of the defendant Ms. Hooff that can be fairly characterized as misconduct, as that term is understood by the jurisprudence. That misconduct likely diverted the discovery process, at least to some degree, and impeded the parties' attempts to negotiate or narrow down the issues at trial, preventing accurate evaluation of the relative strengths of their positions. In doing so, her conduct likely amplified the length and expense of the litigation, a factor which militates in favour of a departure from the usual rules on costs: see </w:t>
      </w:r>
      <w:r>
        <w:rPr>
          <w:rFonts w:ascii="arial" w:eastAsia="arial" w:hAnsi="arial" w:cs="arial"/>
          <w:i/>
          <w:color w:val="000000"/>
          <w:sz w:val="20"/>
          <w:lang w:val="en-US" w:eastAsia="en-US" w:bidi="ar-SA"/>
        </w:rPr>
        <w:t>Sutherland v. Canada</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Catalyst Paper Corp.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Standing alone, financial hardship to an unsuccessful litigant does not provide an adequate basis for depriving a successful litigant of a costs award: </w:t>
      </w:r>
      <w:r>
        <w:rPr>
          <w:rFonts w:ascii="arial" w:eastAsia="arial" w:hAnsi="arial" w:cs="arial"/>
          <w:i/>
          <w:color w:val="000000"/>
          <w:sz w:val="20"/>
          <w:lang w:val="en-US" w:eastAsia="en-US" w:bidi="ar-SA"/>
        </w:rPr>
        <w:t>B.R.T. v. J.L.T.T.</w:t>
      </w:r>
      <w:r>
        <w:rPr>
          <w:rFonts w:ascii="arial" w:eastAsia="arial" w:hAnsi="arial" w:cs="arial"/>
          <w:color w:val="000000"/>
          <w:sz w:val="20"/>
          <w:lang w:val="en-US" w:eastAsia="en-US" w:bidi="ar-SA"/>
        </w:rPr>
        <w:t xml:space="preserve">, </w:t>
      </w:r>
      <w:hyperlink r:id="rId580" w:history="1">
        <w:r>
          <w:rPr>
            <w:rFonts w:ascii="arial" w:eastAsia="arial" w:hAnsi="arial" w:cs="arial"/>
            <w:i/>
            <w:color w:val="0077CC"/>
            <w:sz w:val="20"/>
            <w:u w:val="single"/>
            <w:shd w:val="clear" w:color="auto" w:fill="FFFFFF"/>
            <w:lang w:val="en-US" w:eastAsia="en-US" w:bidi="ar-SA"/>
          </w:rPr>
          <w:t>2011 BCSC 440</w:t>
        </w:r>
      </w:hyperlink>
      <w:r>
        <w:rPr>
          <w:rFonts w:ascii="arial" w:eastAsia="arial" w:hAnsi="arial" w:cs="arial"/>
          <w:color w:val="000000"/>
          <w:sz w:val="20"/>
          <w:lang w:val="en-US" w:eastAsia="en-US" w:bidi="ar-SA"/>
        </w:rPr>
        <w:t xml:space="preserve"> at para. 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Nevertheless, financial hardship is a factor which may be taken into account in fashioning the appropriate order for costs and, in conjunction with other factors, may, in an appropriate case, justify departure from the usual rule that costs follow the event. Hardship from a costs award does not arise merely because an unsuccessful litigant earns but limited income or owns only modest assets: </w:t>
      </w:r>
      <w:r>
        <w:rPr>
          <w:rFonts w:ascii="arial" w:eastAsia="arial" w:hAnsi="arial" w:cs="arial"/>
          <w:i/>
          <w:color w:val="000000"/>
          <w:sz w:val="20"/>
          <w:lang w:val="en-US" w:eastAsia="en-US" w:bidi="ar-SA"/>
        </w:rPr>
        <w:t>Sandhu v. Sandhu</w:t>
      </w:r>
      <w:r>
        <w:rPr>
          <w:rFonts w:ascii="arial" w:eastAsia="arial" w:hAnsi="arial" w:cs="arial"/>
          <w:color w:val="000000"/>
          <w:sz w:val="20"/>
          <w:lang w:val="en-US" w:eastAsia="en-US" w:bidi="ar-SA"/>
        </w:rPr>
        <w:t xml:space="preserve">, </w:t>
      </w:r>
      <w:hyperlink r:id="rId581" w:history="1">
        <w:r>
          <w:rPr>
            <w:rFonts w:ascii="arial" w:eastAsia="arial" w:hAnsi="arial" w:cs="arial"/>
            <w:i/>
            <w:color w:val="0077CC"/>
            <w:sz w:val="20"/>
            <w:u w:val="single"/>
            <w:shd w:val="clear" w:color="auto" w:fill="FFFFFF"/>
            <w:lang w:val="en-US" w:eastAsia="en-US" w:bidi="ar-SA"/>
          </w:rPr>
          <w:t>2011 BCSC 853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Rather, in this context, the question is whether an award of costs would create such a hardship for an unsuccessful litigant that it would impact that litigant's general financial security and well-being: </w:t>
      </w:r>
      <w:r>
        <w:rPr>
          <w:rFonts w:ascii="arial" w:eastAsia="arial" w:hAnsi="arial" w:cs="arial"/>
          <w:i/>
          <w:color w:val="000000"/>
          <w:sz w:val="20"/>
          <w:lang w:val="en-US" w:eastAsia="en-US" w:bidi="ar-SA"/>
        </w:rPr>
        <w:t>Petroczi v. Petroczi</w:t>
      </w:r>
      <w:r>
        <w:rPr>
          <w:rFonts w:ascii="arial" w:eastAsia="arial" w:hAnsi="arial" w:cs="arial"/>
          <w:color w:val="000000"/>
          <w:sz w:val="20"/>
          <w:lang w:val="en-US" w:eastAsia="en-US" w:bidi="ar-SA"/>
        </w:rPr>
        <w:t xml:space="preserve">, </w:t>
      </w:r>
      <w:hyperlink r:id="rId582" w:history="1">
        <w:r>
          <w:rPr>
            <w:rFonts w:ascii="arial" w:eastAsia="arial" w:hAnsi="arial" w:cs="arial"/>
            <w:i/>
            <w:color w:val="0077CC"/>
            <w:sz w:val="20"/>
            <w:u w:val="single"/>
            <w:shd w:val="clear" w:color="auto" w:fill="FFFFFF"/>
            <w:lang w:val="en-US" w:eastAsia="en-US" w:bidi="ar-SA"/>
          </w:rPr>
          <w:t>2011 BCSC 1223</w:t>
        </w:r>
      </w:hyperlink>
      <w:r>
        <w:rPr>
          <w:rFonts w:ascii="arial" w:eastAsia="arial" w:hAnsi="arial" w:cs="arial"/>
          <w:color w:val="000000"/>
          <w:sz w:val="20"/>
          <w:lang w:val="en-US" w:eastAsia="en-US" w:bidi="ar-SA"/>
        </w:rPr>
        <w:t xml:space="preserve"> at para. 38.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Sandhu</w:t>
      </w:r>
      <w:r>
        <w:rPr>
          <w:rFonts w:ascii="arial" w:eastAsia="arial" w:hAnsi="arial" w:cs="arial"/>
          <w:color w:val="000000"/>
          <w:sz w:val="20"/>
          <w:lang w:val="en-US" w:eastAsia="en-US" w:bidi="ar-SA"/>
        </w:rPr>
        <w:t>, a partially unsuccessful litigant argued that an adverse costs award would constitute a hardship as a result of her limited assets and income. She also argued that any such award would upset the balance achieved by the trial judgment: para. 23. While the court accepted that the litigant's means were indeed modest, this alone did not render the costs award a hardship, nor did the court agree that the overall judgment would be upset by the awarding of costs: para. 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The jurisprudence indicates that the financial circumstances of a litigant must be rather grim indeed to justify denying costs on the basis of hardship. For instance, in </w:t>
      </w:r>
      <w:r>
        <w:rPr>
          <w:rFonts w:ascii="arial" w:eastAsia="arial" w:hAnsi="arial" w:cs="arial"/>
          <w:i/>
          <w:color w:val="000000"/>
          <w:sz w:val="20"/>
          <w:lang w:val="en-US" w:eastAsia="en-US" w:bidi="ar-SA"/>
        </w:rPr>
        <w:t>McHugh v. McHugh</w:t>
      </w:r>
      <w:r>
        <w:rPr>
          <w:rFonts w:ascii="arial" w:eastAsia="arial" w:hAnsi="arial" w:cs="arial"/>
          <w:color w:val="000000"/>
          <w:sz w:val="20"/>
          <w:lang w:val="en-US" w:eastAsia="en-US" w:bidi="ar-SA"/>
        </w:rPr>
        <w:t xml:space="preserve">, </w:t>
      </w:r>
      <w:hyperlink r:id="rId583" w:history="1">
        <w:r>
          <w:rPr>
            <w:rFonts w:ascii="arial" w:eastAsia="arial" w:hAnsi="arial" w:cs="arial"/>
            <w:i/>
            <w:color w:val="0077CC"/>
            <w:sz w:val="20"/>
            <w:u w:val="single"/>
            <w:shd w:val="clear" w:color="auto" w:fill="FFFFFF"/>
            <w:lang w:val="en-US" w:eastAsia="en-US" w:bidi="ar-SA"/>
          </w:rPr>
          <w:t>[1996] B.C.J. No. 141</w:t>
        </w:r>
      </w:hyperlink>
      <w:r>
        <w:rPr>
          <w:rFonts w:ascii="arial" w:eastAsia="arial" w:hAnsi="arial" w:cs="arial"/>
          <w:color w:val="000000"/>
          <w:sz w:val="20"/>
          <w:lang w:val="en-US" w:eastAsia="en-US" w:bidi="ar-SA"/>
        </w:rPr>
        <w:t xml:space="preserve"> (S.C.), a family law proceeding, the court dismissed the successful respondent's claim for costs on the basis of hardship. In that case, the court held that the financial circumstances of the petitioner were "so precarious that any award of costs against her would work a very serious hardship." At the time, the petitioner was pregnant, had no viable employment prospects, and historically had earned very little. Finally, the court noted that the costs award would destroy the petitioner's prospects of financial independence, a principle that is important in the area of family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Bucholtz v. Smith</w:t>
      </w:r>
      <w:r>
        <w:rPr>
          <w:rFonts w:ascii="arial" w:eastAsia="arial" w:hAnsi="arial" w:cs="arial"/>
          <w:color w:val="000000"/>
          <w:sz w:val="20"/>
          <w:lang w:val="en-US" w:eastAsia="en-US" w:bidi="ar-SA"/>
        </w:rPr>
        <w:t xml:space="preserve">, </w:t>
      </w:r>
      <w:hyperlink r:id="rId584" w:history="1">
        <w:r>
          <w:rPr>
            <w:rFonts w:ascii="arial" w:eastAsia="arial" w:hAnsi="arial" w:cs="arial"/>
            <w:i/>
            <w:color w:val="0077CC"/>
            <w:sz w:val="20"/>
            <w:u w:val="single"/>
            <w:shd w:val="clear" w:color="auto" w:fill="FFFFFF"/>
            <w:lang w:val="en-US" w:eastAsia="en-US" w:bidi="ar-SA"/>
          </w:rPr>
          <w:t>2002 BCSC 34</w:t>
        </w:r>
      </w:hyperlink>
      <w:r>
        <w:rPr>
          <w:rFonts w:ascii="arial" w:eastAsia="arial" w:hAnsi="arial" w:cs="arial"/>
          <w:color w:val="000000"/>
          <w:sz w:val="20"/>
          <w:lang w:val="en-US" w:eastAsia="en-US" w:bidi="ar-SA"/>
        </w:rPr>
        <w:t>, again a family law proceeding, the unsuccessful defendant incurred $135,000 in legal fees connected with the action. To fund the litigation, the defendant borrowed heavily from her elderly father, who had taken out a mortgage against his sole asset, his residence, in order to provide the defendant with financing. The court declined to award costs in the circumstances of that case, finding that to do otherwise would constitute a hardship to the defendant and undermine her ability to carry out her parental obligations.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P.P.W. v. R.S.L.B.,</w:t>
      </w:r>
      <w:r>
        <w:rPr>
          <w:rFonts w:ascii="arial" w:eastAsia="arial" w:hAnsi="arial" w:cs="arial"/>
          <w:color w:val="000000"/>
          <w:sz w:val="20"/>
          <w:lang w:val="en-US" w:eastAsia="en-US" w:bidi="ar-SA"/>
        </w:rPr>
        <w:t xml:space="preserve"> </w:t>
      </w:r>
      <w:hyperlink r:id="rId585" w:history="1">
        <w:r>
          <w:rPr>
            <w:rFonts w:ascii="arial" w:eastAsia="arial" w:hAnsi="arial" w:cs="arial"/>
            <w:i/>
            <w:color w:val="0077CC"/>
            <w:sz w:val="20"/>
            <w:u w:val="single"/>
            <w:shd w:val="clear" w:color="auto" w:fill="FFFFFF"/>
            <w:lang w:val="en-US" w:eastAsia="en-US" w:bidi="ar-SA"/>
          </w:rPr>
          <w:t>2010 BCSC 968</w:t>
        </w:r>
      </w:hyperlink>
      <w:r>
        <w:rPr>
          <w:rFonts w:ascii="arial" w:eastAsia="arial" w:hAnsi="arial" w:cs="arial"/>
          <w:color w:val="000000"/>
          <w:sz w:val="20"/>
          <w:lang w:val="en-US" w:eastAsia="en-US" w:bidi="ar-SA"/>
        </w:rPr>
        <w:t>, hardship justified a departure from the usual rule on costs where the unsuccessful litigant already stood in danger of losing her home and had only dim prospects for finding reasonably remunerative work. Thus, to make an award of costs would devastate the rather fragile balance struck by the trial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In this litigation, it is clear that Joseph Briante's parents will bear the brunt of any costs order against the plaintiffs. They are retired persons and reliant on the fixed income provided by their pensions. They own a home in Colwood and certain other assets. As they have left the workforce, it will be difficult for Joseph Briante's parents to replace the funds lost in paying an adverse costs award, particularly as a significant portion of their income in the future will go to paying for their son's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This litigation was complex, lengthy, and costly, so that any costs award against the plaintiffs will be substantial. Indeed, the plaintiffs indicate that the costs award, if made in the usual way, will certainly be well into the six figures.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Taken together, the foregoing factors suggest that moderate hardship, that is moderate harm to the plaintiffs' financial security and well-being, will befall them if the defendants are awarded their costs. The hardship anticipated by the plaintiffs is perhaps less significant than found in some other instances in the case law, however, and I note here that there is no danger of upsetting the fragile balance of a family trial judgment. Accordingly, this factor provides modest support for the plaintiffs' position on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Our Court of Appeal has found that the following factors provide useful guidance on the question of whether to order costs in public interest litigation: </w:t>
      </w:r>
      <w:r>
        <w:rPr>
          <w:rFonts w:ascii="arial" w:eastAsia="arial" w:hAnsi="arial" w:cs="arial"/>
          <w:i/>
          <w:color w:val="000000"/>
          <w:sz w:val="20"/>
          <w:lang w:val="en-US" w:eastAsia="en-US" w:bidi="ar-SA"/>
        </w:rPr>
        <w:t>British Columbia (Minister of Water, Land and Air Protection) v. British Columbia (Information and Privacy Commissioner)</w:t>
      </w:r>
      <w:r>
        <w:rPr>
          <w:rFonts w:ascii="arial" w:eastAsia="arial" w:hAnsi="arial" w:cs="arial"/>
          <w:color w:val="000000"/>
          <w:sz w:val="20"/>
          <w:lang w:val="en-US" w:eastAsia="en-US" w:bidi="ar-SA"/>
        </w:rPr>
        <w:t xml:space="preserve">, </w:t>
      </w:r>
      <w:hyperlink r:id="rId586" w:history="1">
        <w:r>
          <w:rPr>
            <w:rFonts w:ascii="arial" w:eastAsia="arial" w:hAnsi="arial" w:cs="arial"/>
            <w:i/>
            <w:color w:val="0077CC"/>
            <w:sz w:val="20"/>
            <w:u w:val="single"/>
            <w:shd w:val="clear" w:color="auto" w:fill="FFFFFF"/>
            <w:lang w:val="en-US" w:eastAsia="en-US" w:bidi="ar-SA"/>
          </w:rPr>
          <w:t>2005 BCCA 368</w:t>
        </w:r>
      </w:hyperlink>
      <w:r>
        <w:rPr>
          <w:rFonts w:ascii="arial" w:eastAsia="arial" w:hAnsi="arial" w:cs="arial"/>
          <w:color w:val="000000"/>
          <w:sz w:val="20"/>
          <w:lang w:val="en-US" w:eastAsia="en-US" w:bidi="ar-SA"/>
        </w:rPr>
        <w:t xml:space="preserve"> at para. 8, and </w:t>
      </w:r>
      <w:r>
        <w:rPr>
          <w:rFonts w:ascii="arial" w:eastAsia="arial" w:hAnsi="arial" w:cs="arial"/>
          <w:i/>
          <w:color w:val="000000"/>
          <w:sz w:val="20"/>
          <w:lang w:val="en-US" w:eastAsia="en-US" w:bidi="ar-SA"/>
        </w:rPr>
        <w:t>Barclay (Guardian ad litem) v. British Columbia</w:t>
      </w:r>
      <w:r>
        <w:rPr>
          <w:rFonts w:ascii="arial" w:eastAsia="arial" w:hAnsi="arial" w:cs="arial"/>
          <w:color w:val="000000"/>
          <w:sz w:val="20"/>
          <w:lang w:val="en-US" w:eastAsia="en-US" w:bidi="ar-SA"/>
        </w:rPr>
        <w:t xml:space="preserve">, </w:t>
      </w:r>
      <w:hyperlink r:id="rId567" w:history="1">
        <w:r>
          <w:rPr>
            <w:rFonts w:ascii="arial" w:eastAsia="arial" w:hAnsi="arial" w:cs="arial"/>
            <w:i/>
            <w:color w:val="0077CC"/>
            <w:sz w:val="20"/>
            <w:u w:val="single"/>
            <w:shd w:val="clear" w:color="auto" w:fill="FFFFFF"/>
            <w:lang w:val="en-US" w:eastAsia="en-US" w:bidi="ar-SA"/>
          </w:rPr>
          <w:t>2006 BCCA 434</w:t>
        </w:r>
      </w:hyperlink>
      <w:r>
        <w:rPr>
          <w:rFonts w:ascii="arial" w:eastAsia="arial" w:hAnsi="arial" w:cs="arial"/>
          <w:color w:val="000000"/>
          <w:sz w:val="20"/>
          <w:lang w:val="en-US" w:eastAsia="en-US" w:bidi="ar-SA"/>
        </w:rPr>
        <w:t xml:space="preserve"> at para. 24:</w:t>
      </w:r>
      <w:r>
        <w:rPr>
          <w:rFonts w:ascii="arial" w:eastAsia="arial" w:hAnsi="arial" w:cs="arial"/>
          <w:sz w:val="20"/>
          <w:lang w:val="en-US" w:eastAsia="en-US" w:bidi="ar-SA"/>
        </w:rPr>
        <w:cr/>
      </w:r>
    </w:p>
    <w:p>
      <w:pPr>
        <w:numPr>
          <w:numId w:val="38"/>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proceeding involves issues the importance of which extends beyond the immediate interests of the parties involved.</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person has no personal, proprietary or pecuniary interest in the outcome of the proceeding, or, if he or she has an interest, it clearly does not justify the proceeding economically.</w:t>
      </w:r>
    </w:p>
    <w:p>
      <w:pPr>
        <w:numPr>
          <w:numId w:val="40"/>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issues have not been previously determined by a court in a proceeding against the same defendant.</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has a clearly superior capacity to bear the costs of the proceeding.</w:t>
      </w:r>
    </w:p>
    <w:p>
      <w:pPr>
        <w:numPr>
          <w:numId w:val="4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not engaged in vexatious, frivolous or abusive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 agree with the plaintiffs that the public interest is engaged by certain issues raised in this proceeding. In particular, it appears that there was a clarification of the standards of care for specialized psychiatric emergency service providers. That clarification has apparently resulted in a change in the practice carried out by the Royal Jubilee Hospital and Vancouver Island Health Authority.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However, I note that this is in essence a case, like </w:t>
      </w:r>
      <w:r>
        <w:rPr>
          <w:rFonts w:ascii="arial" w:eastAsia="arial" w:hAnsi="arial" w:cs="arial"/>
          <w:i/>
          <w:color w:val="000000"/>
          <w:sz w:val="20"/>
          <w:lang w:val="en-US" w:eastAsia="en-US" w:bidi="ar-SA"/>
        </w:rPr>
        <w:t>Laktin v. Vancouver (City)</w:t>
      </w:r>
      <w:r>
        <w:rPr>
          <w:rFonts w:ascii="arial" w:eastAsia="arial" w:hAnsi="arial" w:cs="arial"/>
          <w:color w:val="000000"/>
          <w:sz w:val="20"/>
          <w:lang w:val="en-US" w:eastAsia="en-US" w:bidi="ar-SA"/>
        </w:rPr>
        <w:t xml:space="preserve">, </w:t>
      </w:r>
      <w:hyperlink r:id="rId587" w:history="1">
        <w:r>
          <w:rPr>
            <w:rFonts w:ascii="arial" w:eastAsia="arial" w:hAnsi="arial" w:cs="arial"/>
            <w:i/>
            <w:color w:val="0077CC"/>
            <w:sz w:val="20"/>
            <w:u w:val="single"/>
            <w:shd w:val="clear" w:color="auto" w:fill="FFFFFF"/>
            <w:lang w:val="en-US" w:eastAsia="en-US" w:bidi="ar-SA"/>
          </w:rPr>
          <w:t>2014 BCSC 484</w:t>
        </w:r>
      </w:hyperlink>
      <w:r>
        <w:rPr>
          <w:rFonts w:ascii="arial" w:eastAsia="arial" w:hAnsi="arial" w:cs="arial"/>
          <w:color w:val="000000"/>
          <w:sz w:val="20"/>
          <w:lang w:val="en-US" w:eastAsia="en-US" w:bidi="ar-SA"/>
        </w:rPr>
        <w:t>, brought to recover damages for the personal injuries suffered by the plaintiffs, rather than an action commenced primarily in the public interest. Thus, while acknowledging that there are aspects of this case which reflect the public interest, the plaintiffs' own pecuniary interest in the litigation indicate that a departure from the usual rule as to costs is not justifiable on that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On the facts of this case, the plaintiffs have not established any individual factor capable on its own of justifying a departure from the usual rule as to costs. However, in my view, the plaintiffs have succeeded in establishing a constellation of factors which, taken together, should militate in some way in favour of the order that they seek. In particular, I am of the view that the evidence of Ms. Hooff likely amplified the length and expense of the litigation by preventing the parties from accurately apprehending the relative strength of their positions, which in turn likely impeded the parties' abilities to narrow the issues or perhaps to even negotiate a settlement.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plaintiffs, particularly Joseph Briante's retiree parents, would experience some financial hardship as a result of an adverse costs award, and that certain aspects of the plaintiffs' case advanced issues in the public interest, though importance of this factor is offset, as noted, by the plaintiffs' own pecuniary interest in the outcome of the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Further, the reasonable and </w:t>
      </w:r>
      <w:r>
        <w:rPr>
          <w:rFonts w:ascii="arial" w:eastAsia="arial" w:hAnsi="arial" w:cs="arial"/>
          <w:i/>
          <w:color w:val="000000"/>
          <w:sz w:val="20"/>
          <w:lang w:val="en-US" w:eastAsia="en-US" w:bidi="ar-SA"/>
        </w:rPr>
        <w:t>bona fide</w:t>
      </w:r>
      <w:r>
        <w:rPr>
          <w:rFonts w:ascii="arial" w:eastAsia="arial" w:hAnsi="arial" w:cs="arial"/>
          <w:color w:val="000000"/>
          <w:sz w:val="20"/>
          <w:lang w:val="en-US" w:eastAsia="en-US" w:bidi="ar-SA"/>
        </w:rPr>
        <w:t xml:space="preserve"> conduct of the plaintiffs throughout these proceedings provides no basis for depriving them of any relief to which they might otherwise be entitled.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In all of the circumstances, I do not consider it to be a proper exercise of discretion to deprive the successful defendants of all of their costs. However, I am of the view that some compromise of the usual order is justifiable on the facts of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In the course of submissions, an assessment was made of the approximate time spent on the issue deciding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 compared to the issue of causation or the time spent on the trial in total. While the defendants maintain their respective positions that the usual rule that costs should follow the event is an appropriate outcome, if some adjustment is to be made, counsel submitted that it should only be that the parties should bear their own costs for the time attributable to the trial of the standard of care issue. I find that, in the circumstances of this case, to be an attractive compromise.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While I note that the plaintiffs did not advance this application on the process of some apportionment, that alternative has been suggested and, in my view, the appropriate order is to order that the defendants are entitled to their costs in the usual way, except that the parties shall each bear their own costs respecting the trial of the standard of care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Counsel prepared a draft schedule that seemed to be accepted as fair and, subject to any further submissions at the conclusion of these reasons, I direct that the standard of care costs shall be allocated on the basis of that schedule, with the order that each party shall bear that portion of the costs individually.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That concludes my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J.K. BRACKEN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64" style="position:absolute;z-index:25179033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88"/>
          <w:headerReference w:type="default" r:id="rId589"/>
          <w:footerReference w:type="even" r:id="rId590"/>
          <w:footerReference w:type="default" r:id="rId591"/>
          <w:headerReference w:type="first" r:id="rId592"/>
          <w:footerReference w:type="first" r:id="rId59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94" w:history="1">
        <w:r>
          <w:rPr>
            <w:rFonts w:ascii="arial" w:eastAsia="arial" w:hAnsi="arial" w:cs="arial"/>
            <w:b/>
            <w:bCs/>
            <w:i/>
            <w:color w:val="0077CC"/>
            <w:kern w:val="32"/>
            <w:sz w:val="28"/>
            <w:szCs w:val="32"/>
            <w:u w:val="single"/>
            <w:shd w:val="clear" w:color="auto" w:fill="FFFFFF"/>
            <w:lang w:val="en-US" w:eastAsia="en-US" w:bidi="ar-SA"/>
          </w:rPr>
          <w:t>Bricor Mechanical Ltd. (c.o.b. Ace Plumbing and Heating) v. St. Pierre, [2015] B.C.J. No. 350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Kelowna,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G.P. Weatherill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19,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26,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Kelowna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102065</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[2015] B.C.J. No. 350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2015 BCSC 296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IN THE MATTER OF the Commercial Arbitration Act, R.S.B.C. 1996, c. 55 AND IN THE MATTER OF an Arbitral Award issued on or about December 12, 2013 Between Bricor Mechanical Ltd. dba Ace Plumbing and Heating, Petitioner, and Ernie St. Pierre, Marilyn St. Pierre, Chriscan Enterprises Ltd. And Len Suchocki, Respondents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(23 paras.)</w:t>
      </w:r>
    </w:p>
    <w:p>
      <w:pPr>
        <w:jc w:val="both"/>
        <w:rPr>
          <w:rFonts w:ascii="arial" w:eastAsia="arial" w:hAnsi="arial" w:cs="arial"/>
          <w:sz w:val="20"/>
          <w:lang w:val="en-US" w:eastAsia="en-US" w:bidi="ar-SA"/>
        </w:rPr>
      </w:pPr>
      <w:bookmarkStart w:id="178" w:name="Counsel_29"/>
      <w:bookmarkEnd w:id="17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65" style="position:absolute;z-index:2516889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Petitioner: S.G. Schwartz.</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Respondents, Chriscan Enterprises Ltd. and Len Suchocki: I.G. Schildt.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Respondents, Ernie St. Pierre, Marilyn St. Pierre: No appearance.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79" w:name="Judgment_29"/>
      <w:bookmarkEnd w:id="179"/>
      <w:r>
        <w:pict>
          <v:line id="_x0000_s1166" style="position:absolute;z-index:25174016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2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80" w:name="G.P. WEATHERILL J."/>
            <w:bookmarkEnd w:id="180"/>
            <w:r>
              <w:rPr>
                <w:rFonts w:ascii="arial" w:eastAsia="arial" w:hAnsi="arial" w:cs="arial"/>
                <w:b/>
                <w:color w:val="000000"/>
                <w:sz w:val="30"/>
                <w:lang w:val="en-US" w:eastAsia="en-US" w:bidi="ar-SA"/>
              </w:rPr>
              <w:t>G.P. WEATHERILL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In September 1994, the respondent Chriscan Enterprises Ltd. ["Chriscan"] contracted with the respondents Ernie St. Pierre and Marilyn St. Pierre ["Owners"] to construct a home for them in Kelowna ["Head Contract"]. The petitioner ["Ace Plumbing"] was one of Chriscan's subcontractors.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Ace Plumbing's subcontract ["Subcontract"] involved the design and installation of a driveway snowmelt system ["Driveway Snowmelt System"] that ultimately failed and a dispute as to who was responsible ensued. Pursuant to the terms of the Head Contract the dispute was referred to arbitration under the </w:t>
      </w:r>
      <w:r>
        <w:rPr>
          <w:rFonts w:ascii="arial" w:eastAsia="arial" w:hAnsi="arial" w:cs="arial"/>
          <w:i/>
          <w:color w:val="000000"/>
          <w:sz w:val="20"/>
          <w:lang w:val="en-US" w:eastAsia="en-US" w:bidi="ar-SA"/>
        </w:rPr>
        <w:t>Arbitration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55</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On December 13, 2013 an arbitral award was made in favour of Chriscan against Ace Plumbing ["the Award"] in the amount of $122,769.44.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Ace Plumbing applies for leave to appeal the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For the reasons that follow, I dismiss Ace Plumbing's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Legal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Section 31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sets out the circumstances of when an appeal from an arbitration award can be made, the relevant portions of which provide: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31 (1) A party to an arbitration... may appeal to the court on any question of law arising out of the award if...</w:t>
      </w:r>
    </w:p>
    <w:p>
      <w:pPr>
        <w:numPr>
          <w:numId w:val="1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grants leave to appeal.</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an application for leave under subsection (1) (b), the court may grant leave if it determines that</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importance of the result of the arbitration to the parties justifies the intervention of the court and the determination of the point of law may prevent a miscarriage of justice...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Parties have only a narrow scope for appellate review of an arbitral award because arbitration is an alternative dispute resolution mechanism the parties elect to submit their dispute to: </w:t>
      </w:r>
      <w:r>
        <w:rPr>
          <w:rFonts w:ascii="arial" w:eastAsia="arial" w:hAnsi="arial" w:cs="arial"/>
          <w:i/>
          <w:color w:val="000000"/>
          <w:sz w:val="20"/>
          <w:lang w:val="en-US" w:eastAsia="en-US" w:bidi="ar-SA"/>
        </w:rPr>
        <w:t>Boxer Capital Corporation v. JEL Investments Ltd.,</w:t>
      </w:r>
      <w:r>
        <w:rPr>
          <w:rFonts w:ascii="arial" w:eastAsia="arial" w:hAnsi="arial" w:cs="arial"/>
          <w:color w:val="000000"/>
          <w:sz w:val="20"/>
          <w:lang w:val="en-US" w:eastAsia="en-US" w:bidi="ar-SA"/>
        </w:rPr>
        <w:t xml:space="preserve"> </w:t>
      </w:r>
      <w:hyperlink r:id="rId595" w:history="1">
        <w:r>
          <w:rPr>
            <w:rFonts w:ascii="arial" w:eastAsia="arial" w:hAnsi="arial" w:cs="arial"/>
            <w:i/>
            <w:color w:val="0077CC"/>
            <w:sz w:val="20"/>
            <w:u w:val="single"/>
            <w:shd w:val="clear" w:color="auto" w:fill="FFFFFF"/>
            <w:lang w:val="en-US" w:eastAsia="en-US" w:bidi="ar-SA"/>
          </w:rPr>
          <w:t>2015 BCCA 24</w:t>
        </w:r>
      </w:hyperlink>
      <w:r>
        <w:rPr>
          <w:rFonts w:ascii="arial" w:eastAsia="arial" w:hAnsi="arial" w:cs="arial"/>
          <w:color w:val="000000"/>
          <w:sz w:val="20"/>
          <w:lang w:val="en-US" w:eastAsia="en-US" w:bidi="ar-SA"/>
        </w:rPr>
        <w:t xml:space="preserve"> at paras. 6-7. It is now clear that a party seeking leave to appeal must first establish that the appeal involves a question of law, as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forbids review of an arbitrator's factual findings: </w:t>
      </w:r>
      <w:r>
        <w:rPr>
          <w:rFonts w:ascii="arial" w:eastAsia="arial" w:hAnsi="arial" w:cs="arial"/>
          <w:i/>
          <w:color w:val="000000"/>
          <w:sz w:val="20"/>
          <w:lang w:val="en-US" w:eastAsia="en-US" w:bidi="ar-SA"/>
        </w:rPr>
        <w:t>Sattva Capital Corp. v. Creston Moly Corp.</w:t>
      </w:r>
      <w:r>
        <w:rPr>
          <w:rFonts w:ascii="arial" w:eastAsia="arial" w:hAnsi="arial" w:cs="arial"/>
          <w:color w:val="000000"/>
          <w:sz w:val="20"/>
          <w:lang w:val="en-US" w:eastAsia="en-US" w:bidi="ar-SA"/>
        </w:rPr>
        <w:t xml:space="preserve">, </w:t>
      </w:r>
      <w:hyperlink r:id="rId596" w:history="1">
        <w:r>
          <w:rPr>
            <w:rFonts w:ascii="arial" w:eastAsia="arial" w:hAnsi="arial" w:cs="arial"/>
            <w:i/>
            <w:color w:val="0077CC"/>
            <w:sz w:val="20"/>
            <w:u w:val="single"/>
            <w:shd w:val="clear" w:color="auto" w:fill="FFFFFF"/>
            <w:lang w:val="en-US" w:eastAsia="en-US" w:bidi="ar-SA"/>
          </w:rPr>
          <w:t>2014 SCC 53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Sattva</w:t>
      </w:r>
      <w:r>
        <w:rPr>
          <w:rFonts w:ascii="arial" w:eastAsia="arial" w:hAnsi="arial" w:cs="arial"/>
          <w:color w:val="000000"/>
          <w:sz w:val="20"/>
          <w:lang w:val="en-US" w:eastAsia="en-US" w:bidi="ar-SA"/>
        </w:rPr>
        <w:t xml:space="preserve">] at paras. 42 and 104. </w:t>
      </w:r>
      <w:r>
        <w:rPr>
          <w:rFonts w:ascii="arial" w:eastAsia="arial" w:hAnsi="arial" w:cs="arial"/>
          <w:i/>
          <w:color w:val="000000"/>
          <w:sz w:val="20"/>
          <w:lang w:val="en-US" w:eastAsia="en-US" w:bidi="ar-SA"/>
        </w:rPr>
        <w:t>Sattva</w:t>
      </w:r>
      <w:r>
        <w:rPr>
          <w:rFonts w:ascii="arial" w:eastAsia="arial" w:hAnsi="arial" w:cs="arial"/>
          <w:color w:val="000000"/>
          <w:sz w:val="20"/>
          <w:lang w:val="en-US" w:eastAsia="en-US" w:bidi="ar-SA"/>
        </w:rPr>
        <w:t xml:space="preserve"> also makes it clear that the standard of review of an arbitrator's decision is almost always reasonableness (para. 75).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Canada (Citizenship and Immigration) v. Khosa</w:t>
      </w:r>
      <w:r>
        <w:rPr>
          <w:rFonts w:ascii="arial" w:eastAsia="arial" w:hAnsi="arial" w:cs="arial"/>
          <w:color w:val="000000"/>
          <w:sz w:val="20"/>
          <w:lang w:val="en-US" w:eastAsia="en-US" w:bidi="ar-SA"/>
        </w:rPr>
        <w:t xml:space="preserve">, </w:t>
      </w:r>
      <w:hyperlink r:id="rId597" w:history="1">
        <w:r>
          <w:rPr>
            <w:rFonts w:ascii="arial" w:eastAsia="arial" w:hAnsi="arial" w:cs="arial"/>
            <w:i/>
            <w:color w:val="0077CC"/>
            <w:sz w:val="20"/>
            <w:u w:val="single"/>
            <w:shd w:val="clear" w:color="auto" w:fill="FFFFFF"/>
            <w:lang w:val="en-US" w:eastAsia="en-US" w:bidi="ar-SA"/>
          </w:rPr>
          <w:t>2009 SCC 12</w:t>
        </w:r>
      </w:hyperlink>
      <w:r>
        <w:rPr>
          <w:rFonts w:ascii="arial" w:eastAsia="arial" w:hAnsi="arial" w:cs="arial"/>
          <w:color w:val="000000"/>
          <w:sz w:val="20"/>
          <w:lang w:val="en-US" w:eastAsia="en-US" w:bidi="ar-SA"/>
        </w:rPr>
        <w:t>, the Court stated at para. 59: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59 Reasonableness is a single standard that takes its colour from the context. One of the objectives of </w:t>
      </w:r>
      <w:r>
        <w:rPr>
          <w:rFonts w:ascii="arial" w:eastAsia="arial" w:hAnsi="arial" w:cs="arial"/>
          <w:i/>
          <w:color w:val="000000"/>
          <w:sz w:val="20"/>
          <w:lang w:val="en-US" w:eastAsia="en-US" w:bidi="ar-SA"/>
        </w:rPr>
        <w:t>Dunsmuir</w:t>
      </w:r>
      <w:r>
        <w:rPr>
          <w:rFonts w:ascii="arial" w:eastAsia="arial" w:hAnsi="arial" w:cs="arial"/>
          <w:color w:val="000000"/>
          <w:sz w:val="20"/>
          <w:lang w:val="en-US" w:eastAsia="en-US" w:bidi="ar-SA"/>
        </w:rPr>
        <w:t xml:space="preserve"> was to liberate judicial review courts from what came to be seen as undue complexity and formalism. Where the reasonableness standard applies, it requires deference. Reviewing courts cannot substitute their own appreciation of the appropriate solution, but must rather determine if the outcome falls within "a range of possible, acceptable outcomes which are defensible in respect of the facts and law" (</w:t>
      </w:r>
      <w:r>
        <w:rPr>
          <w:rFonts w:ascii="arial" w:eastAsia="arial" w:hAnsi="arial" w:cs="arial"/>
          <w:i/>
          <w:color w:val="000000"/>
          <w:sz w:val="20"/>
          <w:lang w:val="en-US" w:eastAsia="en-US" w:bidi="ar-SA"/>
        </w:rPr>
        <w:t xml:space="preserve">Dunsmuir, </w:t>
      </w:r>
      <w:hyperlink r:id="rId598" w:history="1">
        <w:r>
          <w:rPr>
            <w:rFonts w:ascii="arial" w:eastAsia="arial" w:hAnsi="arial" w:cs="arial"/>
            <w:i/>
            <w:color w:val="0077CC"/>
            <w:sz w:val="20"/>
            <w:u w:val="single"/>
            <w:shd w:val="clear" w:color="auto" w:fill="FFFFFF"/>
            <w:lang w:val="en-US" w:eastAsia="en-US" w:bidi="ar-SA"/>
          </w:rPr>
          <w:t>[2008] 1 S.C.R. 190</w:t>
        </w:r>
      </w:hyperlink>
      <w:r>
        <w:rPr>
          <w:rFonts w:ascii="arial" w:eastAsia="arial" w:hAnsi="arial" w:cs="arial"/>
          <w:color w:val="000000"/>
          <w:sz w:val="20"/>
          <w:lang w:val="en-US" w:eastAsia="en-US" w:bidi="ar-SA"/>
        </w:rPr>
        <w:t>, at para. 47). There might be more than one reasonable outcome. However, as long as the process and the outcome fit comfortably with the principles of justification, transparency and intelligibility, it is not open to a reviewing court to substitute its own view of a preferable outcome.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Sattva</w:t>
      </w:r>
      <w:r>
        <w:rPr>
          <w:rFonts w:ascii="arial" w:eastAsia="arial" w:hAnsi="arial" w:cs="arial"/>
          <w:color w:val="000000"/>
          <w:sz w:val="20"/>
          <w:lang w:val="en-US" w:eastAsia="en-US" w:bidi="ar-SA"/>
        </w:rPr>
        <w:t xml:space="preserve"> establishes that a leave inquiry under s. 31(2) in the context of the standard of review of reasonableness will determine whether there is any arguable merit to the position that the arbitrator's decision was unreasonable: para. 75. The "arguable merit" standard is interpreted to mean that the issue raised by the applicant cannot be dismissed through a preliminary examination of the question of law: </w:t>
      </w:r>
      <w:r>
        <w:rPr>
          <w:rFonts w:ascii="arial" w:eastAsia="arial" w:hAnsi="arial" w:cs="arial"/>
          <w:i/>
          <w:color w:val="000000"/>
          <w:sz w:val="20"/>
          <w:lang w:val="en-US" w:eastAsia="en-US" w:bidi="ar-SA"/>
        </w:rPr>
        <w:t>Sattva</w:t>
      </w:r>
      <w:r>
        <w:rPr>
          <w:rFonts w:ascii="arial" w:eastAsia="arial" w:hAnsi="arial" w:cs="arial"/>
          <w:color w:val="000000"/>
          <w:sz w:val="20"/>
          <w:lang w:val="en-US" w:eastAsia="en-US" w:bidi="ar-SA"/>
        </w:rPr>
        <w:t xml:space="preserve"> at para. 74. The court will keep in mind that the arbitrator is not required to refer to all the arguments made during the arbitration for the decision to be reasonable: </w:t>
      </w:r>
      <w:r>
        <w:rPr>
          <w:rFonts w:ascii="arial" w:eastAsia="arial" w:hAnsi="arial" w:cs="arial"/>
          <w:i/>
          <w:color w:val="000000"/>
          <w:sz w:val="20"/>
          <w:lang w:val="en-US" w:eastAsia="en-US" w:bidi="ar-SA"/>
        </w:rPr>
        <w:t>Newfoundland and Labrador Nurses' Union v. Newfoundland and Labrador (Treasury Board)</w:t>
      </w:r>
      <w:r>
        <w:rPr>
          <w:rFonts w:ascii="arial" w:eastAsia="arial" w:hAnsi="arial" w:cs="arial"/>
          <w:color w:val="000000"/>
          <w:sz w:val="20"/>
          <w:lang w:val="en-US" w:eastAsia="en-US" w:bidi="ar-SA"/>
        </w:rPr>
        <w:t xml:space="preserve">, </w:t>
      </w:r>
      <w:hyperlink r:id="rId599" w:history="1">
        <w:r>
          <w:rPr>
            <w:rFonts w:ascii="arial" w:eastAsia="arial" w:hAnsi="arial" w:cs="arial"/>
            <w:i/>
            <w:color w:val="0077CC"/>
            <w:sz w:val="20"/>
            <w:u w:val="single"/>
            <w:shd w:val="clear" w:color="auto" w:fill="FFFFFF"/>
            <w:lang w:val="en-US" w:eastAsia="en-US" w:bidi="ar-SA"/>
          </w:rPr>
          <w:t>2011 SCC 62</w:t>
        </w:r>
      </w:hyperlink>
      <w:r>
        <w:rPr>
          <w:rFonts w:ascii="arial" w:eastAsia="arial" w:hAnsi="arial" w:cs="arial"/>
          <w:color w:val="000000"/>
          <w:sz w:val="20"/>
          <w:lang w:val="en-US" w:eastAsia="en-US" w:bidi="ar-SA"/>
        </w:rPr>
        <w:t xml:space="preserve"> at para. 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Therefore, before leave can be granted, Ace Plumbing must establish that its position, i.e. that the arbitrator's decision on the question at issue was unreasonable, has arguable merit.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Errors alleged by Ace Plumbing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Ace Plumbing argues that leave to appeal should be granted because:</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arbitrator erred in law by equating his finding that a duty of care owed by Ace Plumbing to both the Owners and Chriscan automatically meant it was liable. After finding that a duty existed, the arbitrator erred in law by failing to consider what Ace Plumbing's standard of care was in the circumstances and by failing to consider whether Ace Plumbing actually breached its duty of care by failing to meet the standard of care.</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Alternatively the arbitrator erred in law by failing to consider Ace Plumbing's argument that Chriscan was contributorily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I will deal with Ace Plumbing's argument regarding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first.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 xml:space="preserve">Contributory </w:t>
      </w: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the Award the arbitrator stated:</w:t>
      </w:r>
      <w:r>
        <w:rPr>
          <w:rFonts w:ascii="arial" w:eastAsia="arial" w:hAnsi="arial" w:cs="arial"/>
          <w:sz w:val="20"/>
          <w:lang w:val="en-US" w:eastAsia="en-US" w:bidi="ar-SA"/>
        </w:rPr>
        <w:cr/>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first three deficiencies are design errors. The party designing the system for a 4300 square foot driveway, undersized the boilers, the piping and the pumps. Mr. Walters, the principal of the party responsible for this design, Ace Plumbing, as much as concedes this in his witness statement. That is, the evidence clearly indicates that it was Ace Plumbing, and no one else, that was responsible for the design of the heating system. Mr. Walters knew the system was under designed at the time of its installation yet said nothing to either Chriscan or the St. Pierres about this.</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absence of installation under the reinforcing steel, intended to prevent the escape of heat from the driveway system, is, in my view, also the responsibility of Ace Plumbing. It was Ace which had the expertise to determine what required for the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These are findings of fact and were the basis of the arbitrator's finding of liability against Ace Plumbing. He found Ace Plumbing 100% at fault for the failed Driveway Snowmelt System. Section 6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 xml:space="preserve"> provides that fault is a question of fact. This finding cannot be challenged on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Accordingly, Ace Plumbing's argument regarding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fails.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In any event, Ace Plumbing did not plead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did not raise it at the arbitration.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Duty to Consider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Ace Plumbing concedes that it owed both the Owners and Chriscan a duty of care to design and install a Driveway Snowmelt System that was reasonably fit for its intended purpose and agrees with the arbitrator's finding in that regard. It argues, however, that the arbitrator failed to consider or analyze what the standard of care actually was and whether or not Ace Plumbing breached that standard. It argues that the arbitrator simply made a finding that a duty of care existed and therefore Ace Plumbing was negligent. Ace Plumbing relies on the following statements made by the arbitrator in the Award: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So, in my view, the evidence here clearly establishes a duty of care owed by Ace Plumbing to the Claimants and, had Ace been named as a Respondent in these proceedings, I would have found it liable to the Claimants. Of course it is abundantly clear that Ace Plumbing owed a duty to Chriscan to design and install a driveway heating system that was reasonably fit for its intended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my view, this passage must be placed in the context of the main claim against Ace Plumbing which was founded in contract. In para. 3 of the Award the arbitrator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Although the Contract is not quite as clear as it might have been, I think that it is fair to conclude that what Chriscan undertook to do was to build the Claimants' home in accordance with the plans and specifications and to ensure that good and proper workmanship and materials were used throughout. It is clear from the Contract that Chriscan intended to employ subcontractors and sub-trades for the purpose of constructing the home but it retained the contractual responsibility for building a home and its component parts, including the driveway heating system. That responsibility would encompass the obligation to deliver a home that was reasonably fit for its intended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third party notice against Ace Plumbing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Breach of the Agreement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was an expressed or implied term of the Agreement that:</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driveway heating system recommended, designed and supplied by Ace Plumbing would carry out the function for which it was intended, i.e. to melt snow and ice on the driveway; and</w:t>
      </w:r>
    </w:p>
    <w:p>
      <w:pPr>
        <w:numPr>
          <w:numId w:val="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driveway heating system recommended, designed and supplied by Ace Plumbing would be suitable for the driveway forming part of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Although Chriscan plead in the alternative that Ace Plumbing was guilty of negligent misrepresentation, that claim was directed at Ace Plumbing's recommendations to Chriscan of a particular driveway heating system and its duty to ensure that the design was adequate and would function properly.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Although the arbitrator did not articulate a distinction between breach of contract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it is clear to me that his finding against Ace Plumbing was founded in contract. The "duty" that he refers to in the award is the contractual duty that Ace Plumbing owed to Chriscan under the terms of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Accordingly there was no need for the arbitrator to consider the standard of care that would arise on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Indeed, the fact that the arbitrator did not discuss or analyze the standard of care is an indication that he did not decide the case based on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but rather on breach of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my judgement Ace Plumbing has not demonstrated an arguable case that there was any error of law on the part of the arbitrator which would or could have resulted in a different result in the arbitration. Accordingly it has not met the test required to obtain leave to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sum Ace Plumbing's application for leave to appeal from the award is dismissed with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G.P. WEATHERILL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67" style="position:absolute;z-index:2517913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00"/>
          <w:headerReference w:type="default" r:id="rId601"/>
          <w:footerReference w:type="even" r:id="rId602"/>
          <w:footerReference w:type="default" r:id="rId603"/>
          <w:headerReference w:type="first" r:id="rId604"/>
          <w:footerReference w:type="first" r:id="rId60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606" w:history="1">
        <w:r>
          <w:rPr>
            <w:rFonts w:ascii="arial" w:eastAsia="arial" w:hAnsi="arial" w:cs="arial"/>
            <w:b/>
            <w:bCs/>
            <w:i/>
            <w:color w:val="0077CC"/>
            <w:kern w:val="32"/>
            <w:sz w:val="28"/>
            <w:szCs w:val="32"/>
            <w:u w:val="single"/>
            <w:shd w:val="clear" w:color="auto" w:fill="FFFFFF"/>
            <w:lang w:val="en-US" w:eastAsia="en-US" w:bidi="ar-SA"/>
          </w:rPr>
          <w:t>Chapman v. Chapman, [2013] B.C.J. No. 1430</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L.D. Russell J.</w:t>
      </w:r>
    </w:p>
    <w:p>
      <w:pPr>
        <w:spacing w:before="120" w:line="260" w:lineRule="atLeast"/>
        <w:jc w:val="center"/>
        <w:rPr>
          <w:lang w:val="en-US" w:eastAsia="en-US" w:bidi="ar-SA"/>
        </w:rPr>
      </w:pPr>
      <w:r>
        <w:rPr>
          <w:rFonts w:ascii="arial" w:eastAsia="arial" w:hAnsi="arial" w:cs="arial"/>
          <w:color w:val="000000"/>
          <w:sz w:val="20"/>
          <w:lang w:val="en-US" w:eastAsia="en-US" w:bidi="ar-SA"/>
        </w:rPr>
        <w:t>Heard: March 25-27, April 2 and 9, 2013.</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July 2, 2013.</w:t>
      </w:r>
    </w:p>
    <w:p>
      <w:pPr>
        <w:spacing w:before="120" w:line="260" w:lineRule="atLeast"/>
        <w:jc w:val="center"/>
        <w:rPr>
          <w:lang w:val="en-US" w:eastAsia="en-US" w:bidi="ar-SA"/>
        </w:rPr>
      </w:pPr>
      <w:r>
        <w:rPr>
          <w:rFonts w:ascii="arial" w:eastAsia="arial" w:hAnsi="arial" w:cs="arial"/>
          <w:color w:val="000000"/>
          <w:sz w:val="20"/>
          <w:lang w:val="en-US" w:eastAsia="en-US" w:bidi="ar-SA"/>
        </w:rPr>
        <w:t>Docket: M043663</w:t>
      </w:r>
    </w:p>
    <w:p>
      <w:pPr>
        <w:spacing w:before="120" w:line="260" w:lineRule="atLeast"/>
        <w:jc w:val="center"/>
        <w:rPr>
          <w:lang w:val="en-US" w:eastAsia="en-US" w:bidi="ar-SA"/>
        </w:rPr>
      </w:pPr>
      <w:r>
        <w:rPr>
          <w:rFonts w:ascii="arial" w:eastAsia="arial" w:hAnsi="arial" w:cs="arial"/>
          <w:color w:val="000000"/>
          <w:sz w:val="20"/>
          <w:lang w:val="en-US" w:eastAsia="en-US" w:bidi="ar-SA"/>
        </w:rPr>
        <w:t>Registry: Vancouver</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[2013] B.C.J. No. 1430</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2013 BCSC 1176</w:t>
      </w:r>
    </w:p>
    <w:p>
      <w:pPr>
        <w:spacing w:before="120" w:line="260" w:lineRule="atLeast"/>
        <w:rPr>
          <w:lang w:val="en-US" w:eastAsia="en-US" w:bidi="ar-SA"/>
        </w:rPr>
      </w:pPr>
      <w:r>
        <w:rPr>
          <w:rFonts w:ascii="arial" w:eastAsia="arial" w:hAnsi="arial" w:cs="arial"/>
          <w:color w:val="000000"/>
          <w:sz w:val="20"/>
          <w:lang w:val="en-US" w:eastAsia="en-US" w:bidi="ar-SA"/>
        </w:rPr>
        <w:t>Between Linda Chapman, Plaintiff, and William Chapman and John Doe Manufacturers, Defendants, and Insurance Corporation of British Columbia, Third Party</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(99 paras.)</w:t>
      </w:r>
    </w:p>
    <w:p>
      <w:pPr>
        <w:jc w:val="both"/>
        <w:rPr>
          <w:lang w:val="en-US" w:eastAsia="en-US" w:bidi="ar-SA"/>
        </w:rPr>
      </w:pPr>
      <w:bookmarkStart w:id="181" w:name="Counsel_30"/>
      <w:bookmarkEnd w:id="181"/>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168" style="position:absolute;z-index:251689984"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The Plaintiff, Linda Chapman: appearing in person with, Shawn Holden as her agent.</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The Defendant, William Chapman: appearing in person on his own behalf.</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Third Party: J.W. Marquardt.</w:t>
      </w:r>
      <w:r>
        <w:rPr>
          <w:lang w:val="en-US" w:eastAsia="en-US" w:bidi="ar-SA"/>
        </w:rPr>
        <w:cr/>
      </w:r>
    </w:p>
    <w:p>
      <w:pPr>
        <w:spacing w:after="240"/>
        <w:rPr>
          <w:lang w:val="en-US" w:eastAsia="en-US" w:bidi="ar-SA"/>
        </w:rPr>
      </w:pPr>
      <w:bookmarkStart w:id="182" w:name="Judgment_30"/>
      <w:bookmarkEnd w:id="182"/>
      <w:r>
        <w:pict>
          <v:line id="_x0000_s1169" style="position:absolute;z-index:251741184" from="0,12pt" to="512pt,12pt" strokecolor="#009ddb" strokeweight="1.5pt">
            <v:stroke linestyle="single"/>
          </v:line>
        </w:pict>
      </w:r>
    </w:p>
    <w:p>
      <w:pPr>
        <w:spacing w:before="120" w:line="260" w:lineRule="atLeast"/>
        <w:jc w:val="center"/>
        <w:rPr>
          <w:lang w:val="en-US" w:eastAsia="en-US" w:bidi="ar-SA"/>
        </w:rPr>
      </w:pPr>
      <w:r>
        <w:rPr>
          <w:rFonts w:ascii="arial" w:eastAsia="arial" w:hAnsi="arial" w:cs="arial"/>
          <w:b/>
          <w:color w:val="000000"/>
          <w:sz w:val="20"/>
          <w:lang w:val="en-US" w:eastAsia="en-US" w:bidi="ar-SA"/>
        </w:rPr>
        <w:t>Reasons for Judgment</w:t>
      </w:r>
      <w:r>
        <w:rPr>
          <w:lang w:val="en-US" w:eastAsia="en-US" w:bidi="ar-SA"/>
        </w:rPr>
        <w:cr/>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183" w:name="L.D. RUSSELL J."/>
            <w:bookmarkEnd w:id="183"/>
            <w:r>
              <w:rPr>
                <w:rFonts w:ascii="arial" w:eastAsia="arial" w:hAnsi="arial" w:cs="arial"/>
                <w:b/>
                <w:color w:val="000000"/>
                <w:sz w:val="30"/>
                <w:lang w:val="en-US" w:eastAsia="en-US" w:bidi="ar-SA"/>
              </w:rPr>
              <w:t>L.D. RUSSELL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Ms. Linda Chapman ("Linda") was injured in a single vehicle accident on the Hope-Princeton Highway on September 4, 2002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She was driving southbound on Highway # 1, just north of the Yale Tunnel.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She lost control of her vehicle, a 1991 Grand Prix 6 cylinder 3 litre (the "Vehicle"), on a shallow curve and drove into a cliff at a high speed.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Linda was badly injured in the Accident and she was evacuated by air to Vancouver Hospital.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She has no recollection of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By agreement of the parties, the matters of liability and damages have been severed. This trial deals solely with liability.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plaintiff's theory of causation is that the throttle mechanism, which governs the acceleration and deceleration of the car, stuck open, causing the Vehicle to accelerate and remain in acceleration. This mechanical acceleration resulted in the plaintiff losing control of the Vehicle and striking the cliff face.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defendant says there is no evidence to support this theory. Additionally, the defendant asserts that the throttle body taken from the Vehicle sometime after the Accident revealed marks of tampering.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William Chapman ("William"), the plaintiff's father and the owner of the Vehicle, says that he had an incident with the throttle sticking some months before Linda's Accident. He barely avoided a serious accident when he could not disengage the throttle.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He did not warn Linda of this potential problem and he did not take the Vehicle to be inspected or repaired.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William's wife, Evelyn Chapman ("Evelyn"), also testified to an incident involving the Vehicle in which the throttle stuck as she was entering Highway 1 from the Chilliwack on-ramp. She was able to disengage the throttle without difficulty by "punching" it twice. This incident occurred about a year before the Accident although in discovery, William stated that this incident occurred only about a month and a half before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Evelyn says that she did not tell William about this problem until after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Issues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William's liability is the sole matter at issue.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If, on a balance of probabilities, the evidence supports the plaintiff's assertion that the Accident was caused by the throttle body sticking open and that William knew of this potential hazard and failed to warn Linda,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would be proved and he would be liable for her injuries.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Subsumed in the issue of William's liability is the general question of causation.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Facts</w:t>
      </w:r>
      <w:r>
        <w:rPr>
          <w:lang w:val="en-US" w:eastAsia="en-US" w:bidi="ar-SA"/>
        </w:rPr>
        <w:cr/>
      </w:r>
    </w:p>
    <w:p>
      <w:pPr>
        <w:spacing w:line="260" w:lineRule="atLeast"/>
        <w:ind w:left="720"/>
        <w:rPr>
          <w:lang w:val="en-US" w:eastAsia="en-US" w:bidi="ar-SA"/>
        </w:rPr>
      </w:pPr>
      <w:r>
        <w:rPr>
          <w:rFonts w:ascii="arial" w:eastAsia="arial" w:hAnsi="arial" w:cs="arial"/>
          <w:b/>
          <w:color w:val="000000"/>
          <w:sz w:val="20"/>
          <w:lang w:val="en-US" w:eastAsia="en-US" w:bidi="ar-SA"/>
        </w:rPr>
        <w:t>The Plaintiff's Evidence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Linda was returning from her father's fishing spot on the Fraser River on the day of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She is now unclear about whether she recalls driving the 1991 Pontiac Grand Prix before the Accident or whether she has been told of the circumstances immediately preceding her impact with the cliff face.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She believes she remembers her brother taking her up the trail to the highway from the fishing spot in an all-terrain vehicle.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Once she reached the highway, she crossed it to get into her car to drive to Hope, where she would call customers for the fish caught at her father's fishing site.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Whether she has an actual recollection of driving the car is questionable. But she does recall waking up in Vancouver Hospital after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Linda's evidence about the circumstances of the Accident is unhelpful as a result of the injuries she received from the impact.</w:t>
      </w:r>
      <w:r>
        <w:rPr>
          <w:lang w:val="en-US" w:eastAsia="en-US" w:bidi="ar-SA"/>
        </w:rPr>
        <w:cr/>
      </w:r>
    </w:p>
    <w:p>
      <w:pPr>
        <w:spacing w:line="260" w:lineRule="atLeast"/>
        <w:ind w:left="720"/>
        <w:rPr>
          <w:lang w:val="en-US" w:eastAsia="en-US" w:bidi="ar-SA"/>
        </w:rPr>
      </w:pPr>
      <w:r>
        <w:rPr>
          <w:rFonts w:ascii="arial" w:eastAsia="arial" w:hAnsi="arial" w:cs="arial"/>
          <w:b/>
          <w:color w:val="000000"/>
          <w:sz w:val="20"/>
          <w:lang w:val="en-US" w:eastAsia="en-US" w:bidi="ar-SA"/>
        </w:rPr>
        <w:t>William's Evidence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William has run an auto body repair service for many years. He is not a licensed mechanic but he can do such things as oil changes and simple repairs on brakes. He also paints vehicles.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William bought the Vehicle about two and a half years before the Accident in 2002 in a private transaction. It appeared to be in good repair at the time he purchased 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This was not his only automobile. In 2002, William also owned a 2000 Chevrolet pickup truck that he used regularly.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Linda was using the Vehicle at the time of the Accident because her car had been broken into and a window and door were under repair. William also indicated that he had completed a $13,000 paint job on Linda's car and that he was not keen for her to use it, especially through the winter, so her car had been stored.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He says that he and his wife used the Vehicle from time to time. He reported that his wife used the car at highway speeds several times a week to go from Agassiz to Hope, Chilliwack and Abbotsford. He estimated the number of times he had used the Vehicle before the Accident was twenty to thirty times, despite the fact that he was using the Vehicle to drive to work six days a week.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On the day of the Accident, William was at his fish camp. It was late afternoon, around 4:30 to 5:00 pm, when Linda arrived. He told her he did not need her help, sent her home with $50 and asked to get orders for his fish.</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He was across the river netting fish when he heard his son screaming. He learned Linda had been in a bad collision and he went to Hope to see the remains of the car. En route he saw the site of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He spent many weeks by Linda's side in the hospital.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William described an incident he had with the Vehicle about two months before Linda's Accident. He had passed a truck west of the Lake of the Woods hill, heading downhill towards Boston Bar, when the Vehicle continued to accelerate. He estimated the speed of the Vehicle exceeded 130 km/h when, out of desperation, he turned the ignition off to attempt to slow it down. However, his steering locked once the ignition was off. He hit the brakes and the Vehicle turned cross ways on the American Creek Bridge with a transport truck oncoming. He attempted to restart the Vehicle, hit the throttle a couple of times and managed to get the Vehicle going and straightened out. It ran fine after he restarted it and the Vehicle seemed normal.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His estimate of speed changed from his discovery evidence where he indicated he was travelling at 60 km/h, substantially below the 100 km/h speed limit at the bottom of the hill, and 90 to 110 km/h when the throttle stuck.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William says he turned the key off one curve before the bridge.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His evidence at trial was that as he came down the hill after the Vehicle had accelerated, he was travelling 140 to 160 km/h when he shut the key off. He described a curve following a straight stretch that he had to make at this high speed as he turned off the key and his steering wheel locked.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His evidence was unclear about how he steered through the curve with a locked steering wheel.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At question 152 of his discovery of October 13, 2010, William said he had to get out of the car after he had stopped it, open the hood and hit the throttle to make it release.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He did not mention getting out of the car in his earlier discovery on November 18, 2005 or in his testimony at trial.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He says it did not dawn on him the car would present the same problem for his daughter.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Even though this incident with the car upset and frightened him, he did nothing to have it examined.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He says that he does not have a "lead foot" and his wife did not receive speeding tickets when she was driving the car almost daily.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Following the Accident and after receiving the proceeds of his car insurance for the total loss, he repurchased the wreck of the Vehicle from ICBC for $500 to recover personal items that Linda had lost in it. He took the front seat out but he did not find her personal articles. He kept the Vehicle for three years but he says it disappeared three times. On one occasion, the Vehicle was removed at the behest of ICBC. Another time, it was taken by a scrap yard without permission. When it was returned to him, he stored the Vehicle behind his repair shop. On yet another occasion, upon his return from a trip to Vancouver, the Vehicle had disappeared. This time he was unable to trace 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During the time William kept the Vehicle, Linda's then-lawyer had an engineer inspect the throttle body. This engineer, who gave evidence for the plaintiff, removed the throttle body and kept it in his custody while and after he inspected 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At the time William bought the Vehicle, he changed the oil, did a compression test and checked the brakes. The Vehicle ran well.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Had the Vehicle required mechanical repair, he would have taken it to a friend in Hope who is a licensed mechanic. Even after his wife reported a problem with the accelerator, he did not take the Vehicle to his friend for inspection or repair.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He agreed that in his discovery of October 18, 2010, at question 131, he had indicated that his wife had told him about the throttle sticking before the Accident. Two weeks later, he had taken the Vehicle out to investigate if the throttle was sticking; the incident on the Lake of the Woods hill described above ensued.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date upon which Evelyn told William about the throttle issue is unclear.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William denies he fabricated the story of the throttle sticking before the Accident. He also denies tampering with the throttle body mechanism after the Accident.</w:t>
      </w:r>
      <w:r>
        <w:rPr>
          <w:lang w:val="en-US" w:eastAsia="en-US" w:bidi="ar-SA"/>
        </w:rPr>
        <w:cr/>
      </w:r>
    </w:p>
    <w:p>
      <w:pPr>
        <w:spacing w:line="260" w:lineRule="atLeast"/>
        <w:ind w:left="720"/>
        <w:rPr>
          <w:lang w:val="en-US" w:eastAsia="en-US" w:bidi="ar-SA"/>
        </w:rPr>
      </w:pPr>
      <w:r>
        <w:rPr>
          <w:rFonts w:ascii="arial" w:eastAsia="arial" w:hAnsi="arial" w:cs="arial"/>
          <w:b/>
          <w:color w:val="000000"/>
          <w:sz w:val="20"/>
          <w:lang w:val="en-US" w:eastAsia="en-US" w:bidi="ar-SA"/>
        </w:rPr>
        <w:t>Evelyn's Evidence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Evelyn drove the Vehicle off and on for two years before Linda's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She had no problems with it until one day, six to eight months before Linda's Accident, as she was driving off Young Street in Chilliwack to head east on Highway 1, she stepped on the accelerator to merge with the traffic and the gas pedal stuck. She hit it twice and it unstuck. She described her action by saying she "just flipped it" and it worked again.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Since she solved the problem so easily, she forgot about 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Had the accelerator not unstuck so easily, she said she would have put the car in neutral and applied the brakes.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Evelyn had no other problems with the car and she used it on the morning that Linda had her Accident. She needed canning supplies that day because she was canning salmon and she drove into Hope to buy some lids. Because she was canning, she did not accompany Linda to the fishing camp the afternoon of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Evelyn said she did not mention this incident with the Vehicle immediately after it happened because it was not of concern. She did mention it to William but she was not sure when she did. She was also unsure as to whether she told William about the incident at the time he told her of his experience with the throttle sticking.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She recalls William telling her about his incident with the Vehicle on the Lake of the Woods Hill. Her incident was about six to eight months before the Accident and about three to four months before William's incident.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That the issue was of such little concern to both William and Evelyn is clear from the fact that they made no repairs to the throttle body and continued to drive the Vehicle on a daily basis.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From this fact it is clear that if the throttle body had stuck open, it was on an entirely intermittent basis.</w:t>
      </w:r>
      <w:r>
        <w:rPr>
          <w:lang w:val="en-US" w:eastAsia="en-US" w:bidi="ar-SA"/>
        </w:rPr>
        <w:cr/>
      </w:r>
    </w:p>
    <w:p>
      <w:pPr>
        <w:spacing w:line="260" w:lineRule="atLeast"/>
        <w:ind w:left="720"/>
        <w:rPr>
          <w:lang w:val="en-US" w:eastAsia="en-US" w:bidi="ar-SA"/>
        </w:rPr>
      </w:pPr>
      <w:r>
        <w:rPr>
          <w:rFonts w:ascii="arial" w:eastAsia="arial" w:hAnsi="arial" w:cs="arial"/>
          <w:b/>
          <w:color w:val="000000"/>
          <w:sz w:val="20"/>
          <w:lang w:val="en-US" w:eastAsia="en-US" w:bidi="ar-SA"/>
        </w:rPr>
        <w:t>Evidence of Harvey Pidherny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Mr. Pidherny has been a long-haul trucker for many years. He is currently 57 years old.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He no longer travels Highway #1 from Hope to Yale. He considers the road to be too dangerous since it is only two lanes and in his view it should be four lanes.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He describes the stretch leading up to the Yale tunnels as winding. It has a speed limit of 70 km/h.</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On the afternoon of September 4, 2002, it was still daylight at the time of the Accident. Mr. Pidherny recalls that it was getting dark at the time he made his report to the police at the scene.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traffic was moderate. There was no one in front of him on the road; he was leading what traffic there was. He was driving westbound to Vancouver.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There is what he described as a tight corner following the exit from the Yale Tunnel. He noticed the Vehicle approaching at a high rate of speed. The Vehicle appeared beside him as another truck (heading eastbound) approached. The Vehicle passed him and he pulled to the right to afford as much passing room as possible. He noted the driver appeared to be hanging on to the wheel with both hands and fighting it since she was travelling much too fast. As she passed his truck and pulled back into her lane to avoid the oncoming truck, the Vehicle began to fishtail in front of him. He tried to get out of the way. He did not notice whether her brake lights were illuminated since he was preoccupied with getting out of the way and not hitting the Vehicle as she bounced off the cliff face.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place on the highway where the Vehicle began to pass his truck is marked with a double line indicating no passing.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Mr. Pidherny estimates that as Linda's Vehicle passed him, it was travelling at about 80 to 90 km/h on a curve marked at 70 km/h. He says he would have slowed to 60 km/h for the corner because his truck was loaded.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He could not tell whether the Vehicle continued to accelerate as it passed him but he is clear that it was travelling at too high a rate of speed to make the corner safely.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He could see the driver of the car as she passed him since the height of his cab provided him with a vantage point that allowed him to see the entire front seat of the Vehicle.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When the Vehicle passed him, it made an abrupt right turn into the cliff face. At that point in time, he had already stopped his truck.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Mr. Pidherny impressed me as an objective, fair witness but his evidence did not assist in resolving the central issue in this case.</w:t>
      </w:r>
      <w:r>
        <w:rPr>
          <w:lang w:val="en-US" w:eastAsia="en-US" w:bidi="ar-SA"/>
        </w:rPr>
        <w:cr/>
      </w:r>
    </w:p>
    <w:p>
      <w:pPr>
        <w:spacing w:line="260" w:lineRule="atLeast"/>
        <w:ind w:left="720"/>
        <w:rPr>
          <w:lang w:val="en-US" w:eastAsia="en-US" w:bidi="ar-SA"/>
        </w:rPr>
      </w:pPr>
      <w:r>
        <w:rPr>
          <w:rFonts w:ascii="arial" w:eastAsia="arial" w:hAnsi="arial" w:cs="arial"/>
          <w:b/>
          <w:color w:val="000000"/>
          <w:sz w:val="20"/>
          <w:lang w:val="en-US" w:eastAsia="en-US" w:bidi="ar-SA"/>
        </w:rPr>
        <w:t>Expert Evidence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Two experts testified and provided reports to the court.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David Little, P. Eng. of Baker Materials Engineering Ltd. presented expert evidence to the Court on behalf of the plaintiff.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His qualifications were accepted by the third party and I accepted Mr. Little as an expert in forensic engineering, failure analysis and accident reconstruction.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On January 16, 2003, Mr. Little examined the Vehicle. The throttle body has remained in his custody ever since, with the exception of the time given to the third party's expert for examination.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When Mr. Little looked at the Vehicle, it was some four and a half months after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Mr. Little focused his examination on the exterior damage to the car and in particular, on the acceleration system. He also attempted to determine whether any problem with the throttle body was caused by the force of the collision or was present before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In the acceleration system of the car, the accelerator is connected by cables to the throttle body. The throttle body contains a valve that opens and closes to allow more or less air through it. Air is necessary to the combustion of the gas, which in turn drives the pistons and rotates the engine. As Mr. Little puts it, "[i]ncreased air and gasoline (in the right ratio) will result in the engine rotating faster and ... the vehicle travelling faster."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When he tested the working of the throttle body, he found that the springs would not work to return the throttle plate to the closed position once the accelerator pedal was no longer depressed, although the springs were intact following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He concluded that the pin on which the throttle body rotated was out of place. It had been pushed into the throttle body and was binding the throttle linkage. He concluded that this defect had caused the throttle plate once open to remain open.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He also concluded that the pin could not have been forced out of place by the collision because there was dirt on the pin; had the pin not been out of place at the time of the collision it would have remained inside the metal throttle body, which houses it, and it would not have collected dirt as it did.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He could not explain why the problem of the throttle body sticking was so intermittent that the Vehicle was driven the morning of the day of the Accident without any problem and aside from the incidents alleged by William and Evelyn, months before Linda's Accident, there were no other problems with the throttle body.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third party's expert was Mark Bailey, P. Eng., of MEA Forensic. His qualifications as an expert in forensic materials, engineering and failure analysis were accepted.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Another engineer from MEA Forensic examined the motor of the Vehicle on June 20, 2003, at which time the engine had been removed from the vehicle by Mr. Chapman in advance of the engineer's arrival.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Mr. Bailey examined the throttle body from the Vehicle at Baker Materials Engineering on January 19, 2010.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Mr. Bailey agreed that the source of the throttle body problems was the "inward displacement of the pin". It caused the throttle body linkage to bind, causing in turn the connector arm to which the accelerator cable is attached to fail to rotate, leaving the throttle plate open even after there was no longer any pressure on the accelerator pedal.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pin is placed in the throttle assembly with a force-fit; it is pushed into the hole in the throttle body at the manufacturing stage with force.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However, Mr. Bailey found that pushing out the pin slightly less than 1 mm relieved the sticking problem and allowed the throttle body to operate normally. As he put it, had the pin been pushed in and displaced before the time of the Accident, the Vehicle would not have been roadworthy at all because "it would be accelerating all the time [and] this condition would be readily apparent to any driver".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Mr. Bailey found marks on the head of the pin that were consistent with the pin having been displaced inwards to the throttle body by force. He does not conclude that this force could only have been caused by tampering post-Accident but he says that the force of the collision could have been an alternative cause of the movement of the pin.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 accept Mr. Bailey's explanation and prefer it to that of Mr. Little for the reason that the failure of the throttle body simply could not have been intermittent had the pin been pushed in as far as it was pre-Accident.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Causation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The plaintiff must satisfy the Court, on a balance of probabilities, that but for the defendant's negligent act, she would not have sustained her injury. The "but-for" test is the general test for factual causation. It is a well-established principle of tort law that the negligent conduct must be necessarily connected to the injury.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This test was most recently affirmed and set out in </w:t>
      </w:r>
      <w:r>
        <w:rPr>
          <w:rFonts w:ascii="arial" w:eastAsia="arial" w:hAnsi="arial" w:cs="arial"/>
          <w:i/>
          <w:color w:val="000000"/>
          <w:sz w:val="20"/>
          <w:lang w:val="en-US" w:eastAsia="en-US" w:bidi="ar-SA"/>
        </w:rPr>
        <w:t>Clements v. Clements</w:t>
      </w:r>
      <w:r>
        <w:rPr>
          <w:rFonts w:ascii="arial" w:eastAsia="arial" w:hAnsi="arial" w:cs="arial"/>
          <w:color w:val="000000"/>
          <w:sz w:val="20"/>
          <w:lang w:val="en-US" w:eastAsia="en-US" w:bidi="ar-SA"/>
        </w:rPr>
        <w:t xml:space="preserve">, </w:t>
      </w:r>
      <w:hyperlink r:id="rId607" w:history="1">
        <w:r>
          <w:rPr>
            <w:rFonts w:ascii="arial" w:eastAsia="arial" w:hAnsi="arial" w:cs="arial"/>
            <w:i/>
            <w:color w:val="0077CC"/>
            <w:sz w:val="20"/>
            <w:u w:val="single"/>
            <w:shd w:val="clear" w:color="auto" w:fill="FFFFFF"/>
            <w:lang w:val="en-US" w:eastAsia="en-US" w:bidi="ar-SA"/>
          </w:rPr>
          <w:t>2012 SCC 32</w:t>
        </w:r>
      </w:hyperlink>
      <w:r>
        <w:rPr>
          <w:rFonts w:ascii="arial" w:eastAsia="arial" w:hAnsi="arial" w:cs="arial"/>
          <w:color w:val="000000"/>
          <w:sz w:val="20"/>
          <w:lang w:val="en-US" w:eastAsia="en-US" w:bidi="ar-SA"/>
        </w:rPr>
        <w:t>:</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[8] The test for showing causation is the "but for" test. The plaintiff must show on a balance of probabilities that "but for" the defendant's negligent act, the injury would not have occurred. Inherent in the phrase "but for" is the requirement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w:t>
      </w:r>
      <w:r>
        <w:rPr>
          <w:rFonts w:ascii="arial" w:eastAsia="arial" w:hAnsi="arial" w:cs="arial"/>
          <w:i/>
          <w:color w:val="000000"/>
          <w:sz w:val="20"/>
          <w:lang w:val="en-US" w:eastAsia="en-US" w:bidi="ar-SA"/>
        </w:rPr>
        <w:t>necessary</w:t>
      </w:r>
      <w:r>
        <w:rPr>
          <w:rFonts w:ascii="arial" w:eastAsia="arial" w:hAnsi="arial" w:cs="arial"/>
          <w:color w:val="000000"/>
          <w:sz w:val="20"/>
          <w:lang w:val="en-US" w:eastAsia="en-US" w:bidi="ar-SA"/>
        </w:rPr>
        <w:t xml:space="preserve"> to bring about the injury -- in other words that the injury would not have occurred without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This is a factual inquiry. If the plaintiff does not establish this on a balance of probabilities, having regard to all the evidence, her action against the defendant fails.</w:t>
      </w:r>
    </w:p>
    <w:p>
      <w:pPr>
        <w:spacing w:before="120" w:line="260" w:lineRule="atLeast"/>
        <w:ind w:left="720"/>
        <w:rPr>
          <w:lang w:val="en-US" w:eastAsia="en-US" w:bidi="ar-SA"/>
        </w:rPr>
      </w:pPr>
      <w:r>
        <w:rPr>
          <w:rFonts w:ascii="arial" w:eastAsia="arial" w:hAnsi="arial" w:cs="arial"/>
          <w:color w:val="000000"/>
          <w:sz w:val="20"/>
          <w:lang w:val="en-US" w:eastAsia="en-US" w:bidi="ar-SA"/>
        </w:rPr>
        <w:t xml:space="preserve">[9] The "but for" causation test must be applied in a robust common sense fashion. There is no need for scientific evidence of the precise contribution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made to the injury. See </w:t>
      </w:r>
      <w:r>
        <w:rPr>
          <w:rFonts w:ascii="arial" w:eastAsia="arial" w:hAnsi="arial" w:cs="arial"/>
          <w:i/>
          <w:color w:val="000000"/>
          <w:sz w:val="20"/>
          <w:lang w:val="en-US" w:eastAsia="en-US" w:bidi="ar-SA"/>
        </w:rPr>
        <w:t>Wilsher v. Essex Area Health Authority</w:t>
      </w:r>
      <w:r>
        <w:rPr>
          <w:rFonts w:ascii="arial" w:eastAsia="arial" w:hAnsi="arial" w:cs="arial"/>
          <w:color w:val="000000"/>
          <w:sz w:val="20"/>
          <w:lang w:val="en-US" w:eastAsia="en-US" w:bidi="ar-SA"/>
        </w:rPr>
        <w:t xml:space="preserve">, [1988] A.C. 1074 (H.L.), at p. 1090, </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Lord Bridge; </w:t>
      </w:r>
      <w:r>
        <w:rPr>
          <w:rFonts w:ascii="arial" w:eastAsia="arial" w:hAnsi="arial" w:cs="arial"/>
          <w:i/>
          <w:color w:val="000000"/>
          <w:sz w:val="20"/>
          <w:lang w:val="en-US" w:eastAsia="en-US" w:bidi="ar-SA"/>
        </w:rPr>
        <w:t>Snell v. Farrell</w:t>
      </w:r>
      <w:r>
        <w:rPr>
          <w:rFonts w:ascii="arial" w:eastAsia="arial" w:hAnsi="arial" w:cs="arial"/>
          <w:color w:val="000000"/>
          <w:sz w:val="20"/>
          <w:lang w:val="en-US" w:eastAsia="en-US" w:bidi="ar-SA"/>
        </w:rPr>
        <w:t xml:space="preserve">, </w:t>
      </w:r>
      <w:hyperlink r:id="rId608" w:history="1">
        <w:r>
          <w:rPr>
            <w:rFonts w:ascii="arial" w:eastAsia="arial" w:hAnsi="arial" w:cs="arial"/>
            <w:i/>
            <w:color w:val="0077CC"/>
            <w:sz w:val="20"/>
            <w:u w:val="single"/>
            <w:shd w:val="clear" w:color="auto" w:fill="FFFFFF"/>
            <w:lang w:val="en-US" w:eastAsia="en-US" w:bidi="ar-SA"/>
          </w:rPr>
          <w:t>[1990] 2 S.C.R. 311</w:t>
        </w:r>
      </w:hyperlink>
      <w:r>
        <w:rPr>
          <w:rFonts w:ascii="arial" w:eastAsia="arial" w:hAnsi="arial" w:cs="arial"/>
          <w:color w:val="000000"/>
          <w:sz w:val="20"/>
          <w:lang w:val="en-US" w:eastAsia="en-US" w:bidi="ar-SA"/>
        </w:rPr>
        <w:t>.</w:t>
      </w:r>
    </w:p>
    <w:p>
      <w:pPr>
        <w:spacing w:before="120" w:line="260" w:lineRule="atLeast"/>
        <w:ind w:left="720"/>
        <w:rPr>
          <w:lang w:val="en-US" w:eastAsia="en-US" w:bidi="ar-SA"/>
        </w:rPr>
      </w:pPr>
      <w:r>
        <w:rPr>
          <w:rFonts w:ascii="arial" w:eastAsia="arial" w:hAnsi="arial" w:cs="arial"/>
          <w:color w:val="000000"/>
          <w:sz w:val="20"/>
          <w:lang w:val="en-US" w:eastAsia="en-US" w:bidi="ar-SA"/>
        </w:rPr>
        <w:t xml:space="preserve">[10] A common sense inference of "but for" causation from proof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usually flows without difficulty. Evidence connecting the breach of duty to the injury suffered may permit the judge, depending on the circumstances, to infer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probably caused the loss. See </w:t>
      </w:r>
      <w:r>
        <w:rPr>
          <w:rFonts w:ascii="arial" w:eastAsia="arial" w:hAnsi="arial" w:cs="arial"/>
          <w:i/>
          <w:color w:val="000000"/>
          <w:sz w:val="20"/>
          <w:lang w:val="en-US" w:eastAsia="en-US" w:bidi="ar-SA"/>
        </w:rPr>
        <w:t>Snell</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505"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See also the discussion on this issue by the Australian courts: </w:t>
      </w:r>
      <w:r>
        <w:rPr>
          <w:rFonts w:ascii="arial" w:eastAsia="arial" w:hAnsi="arial" w:cs="arial"/>
          <w:i/>
          <w:color w:val="000000"/>
          <w:sz w:val="20"/>
          <w:lang w:val="en-US" w:eastAsia="en-US" w:bidi="ar-SA"/>
        </w:rPr>
        <w:t>Betts v. Whittingslowe</w:t>
      </w:r>
      <w:r>
        <w:rPr>
          <w:rFonts w:ascii="arial" w:eastAsia="arial" w:hAnsi="arial" w:cs="arial"/>
          <w:color w:val="000000"/>
          <w:sz w:val="20"/>
          <w:lang w:val="en-US" w:eastAsia="en-US" w:bidi="ar-SA"/>
        </w:rPr>
        <w:t xml:space="preserve"> (1945), 71 C.L.R. 637 (H.C.), at p. 649; </w:t>
      </w:r>
      <w:r>
        <w:rPr>
          <w:rFonts w:ascii="arial" w:eastAsia="arial" w:hAnsi="arial" w:cs="arial"/>
          <w:i/>
          <w:color w:val="000000"/>
          <w:sz w:val="20"/>
          <w:lang w:val="en-US" w:eastAsia="en-US" w:bidi="ar-SA"/>
        </w:rPr>
        <w:t>Bennett v. Minister of Community Welfare</w:t>
      </w:r>
      <w:r>
        <w:rPr>
          <w:rFonts w:ascii="arial" w:eastAsia="arial" w:hAnsi="arial" w:cs="arial"/>
          <w:color w:val="000000"/>
          <w:sz w:val="20"/>
          <w:lang w:val="en-US" w:eastAsia="en-US" w:bidi="ar-SA"/>
        </w:rPr>
        <w:t xml:space="preserve"> (1992), 176 C.L.R. 408 (H.C.), at pp. 415-16; </w:t>
      </w:r>
      <w:r>
        <w:rPr>
          <w:rFonts w:ascii="arial" w:eastAsia="arial" w:hAnsi="arial" w:cs="arial"/>
          <w:i/>
          <w:color w:val="000000"/>
          <w:sz w:val="20"/>
          <w:lang w:val="en-US" w:eastAsia="en-US" w:bidi="ar-SA"/>
        </w:rPr>
        <w:t>Flounders v. Millar</w:t>
      </w:r>
      <w:r>
        <w:rPr>
          <w:rFonts w:ascii="arial" w:eastAsia="arial" w:hAnsi="arial" w:cs="arial"/>
          <w:color w:val="000000"/>
          <w:sz w:val="20"/>
          <w:lang w:val="en-US" w:eastAsia="en-US" w:bidi="ar-SA"/>
        </w:rPr>
        <w:t xml:space="preserve">, [2007] NSWCA 238, 49 M.V.R. 53; </w:t>
      </w:r>
      <w:r>
        <w:rPr>
          <w:rFonts w:ascii="arial" w:eastAsia="arial" w:hAnsi="arial" w:cs="arial"/>
          <w:i/>
          <w:color w:val="000000"/>
          <w:sz w:val="20"/>
          <w:lang w:val="en-US" w:eastAsia="en-US" w:bidi="ar-SA"/>
        </w:rPr>
        <w:t>Roads and Traffic Authority v. Royal</w:t>
      </w:r>
      <w:r>
        <w:rPr>
          <w:rFonts w:ascii="arial" w:eastAsia="arial" w:hAnsi="arial" w:cs="arial"/>
          <w:color w:val="000000"/>
          <w:sz w:val="20"/>
          <w:lang w:val="en-US" w:eastAsia="en-US" w:bidi="ar-SA"/>
        </w:rPr>
        <w:t>, [2008] HCA 19, 245 A.L.R. 653, at paras. 137-44.</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[Emphasis in original.]</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 cannot find that Linda has proved causation in this case.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There is quite simply no evidence that the throttle body stuck in the moments preceding Linda's impact with the cliff face, causing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 am asked to infer causation from the pre-existing issues with the Vehicle that were experienced by William and Evelyn. Their evidence related to intermittent problems with the throttle body on the Vehicle. This evidence is an insufficient evidentiary basis for finding that on September 2, 2002, the sticking of the throttle body caused Linda to speed past Mr. Pidherny's truck, lose control and hit the cliff face.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The evidence tends to suggest that the Vehicle for the most part operated normally. William and Evelyn drove the Vehicle for months without any ill effects after they experienced the acceleration problem. William also said on discovery that after the Lake of the Woods hill incident, he got out of the car and "hit" the throttle a couple of times. The Vehicle seemed to accelerate and decelerate properly after that incident.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 also accept the expert evidence of Mr. Bailey that the Vehicle could not have been operated pre-Accident had the pin in the throttle body been in the location it was found in by Mr. Little following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Even if I had accepted Mr. Little's report over Mr. Bailey's conclusions, I still could not have found that his report supported the conclusion that the cause of the Accident was the failure of the throttle body. His report only identified a problem with the throttle body; it could not explain when and why the Vehicle would perform normally. Nor can his report identify with any certainty that the throttle body caused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xml:space="preserve">  The throttle body is not the only possible cause of the Accident and it is not a </w:t>
      </w:r>
      <w:r>
        <w:rPr>
          <w:rFonts w:ascii="arial" w:eastAsia="arial" w:hAnsi="arial" w:cs="arial"/>
          <w:color w:val="000000"/>
          <w:sz w:val="20"/>
          <w:u w:val="single"/>
          <w:lang w:val="en-US" w:eastAsia="en-US" w:bidi="ar-SA"/>
        </w:rPr>
        <w:t>necessary</w:t>
      </w:r>
      <w:r>
        <w:rPr>
          <w:rFonts w:ascii="arial" w:eastAsia="arial" w:hAnsi="arial" w:cs="arial"/>
          <w:color w:val="000000"/>
          <w:sz w:val="20"/>
          <w:lang w:val="en-US" w:eastAsia="en-US" w:bidi="ar-SA"/>
        </w:rPr>
        <w:t xml:space="preserve"> cause. Linda does not recall the events leading up to the Accident. She cannot tell us whether she was simply speeding at the time of the Accident on a dangerous part of the highway.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xml:space="preserve">  I need not find there was tampering with the pin. I find only that the plaintiff has failed to prove on the balance of probabilities that but for her father's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she would not have suffered injury.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Even if factual causation was met, as noted by counsel for the third party, it would be mere speculation on my part to find that mechanical failure foreseeable by William caused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Disposition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The plaintiff's case is dismissed.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The parties may arrange a time with the Registry should they wish to speak to costs.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L.D. RUSSELL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0" style="position:absolute;z-index:25179238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09"/>
          <w:headerReference w:type="default" r:id="rId610"/>
          <w:footerReference w:type="even" r:id="rId611"/>
          <w:footerReference w:type="default" r:id="rId612"/>
          <w:headerReference w:type="first" r:id="rId613"/>
          <w:footerReference w:type="first" r:id="rId61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15" w:history="1">
        <w:r>
          <w:rPr>
            <w:rFonts w:ascii="arial" w:eastAsia="arial" w:hAnsi="arial" w:cs="arial"/>
            <w:b/>
            <w:bCs/>
            <w:i/>
            <w:color w:val="0077CC"/>
            <w:kern w:val="32"/>
            <w:sz w:val="28"/>
            <w:szCs w:val="32"/>
            <w:u w:val="single"/>
            <w:shd w:val="clear" w:color="auto" w:fill="FFFFFF"/>
            <w:lang w:val="en-US" w:eastAsia="en-US" w:bidi="ar-SA"/>
          </w:rPr>
          <w:t>Dale v. Vickers, [2019] B.C.J. No. 931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M.L. Fleming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9-12 and 15-19,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23,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Dockets: M167174, M183055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[2019] B.C.J. No. 931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2019 BCSC 821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Rachelle Ann Flores Dale, Plaintiff, and Shivan Kerim Vickers and Victoria Louise Shannon, Defendants And between Rachelle Ann Flores Dale, Plaintiff, and Maureen Lynn Pazurik and Aaron John Pazurik,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(216 paras.)</w:t>
      </w:r>
    </w:p>
    <w:p>
      <w:pPr>
        <w:jc w:val="both"/>
        <w:rPr>
          <w:rFonts w:ascii="arial" w:eastAsia="arial" w:hAnsi="arial" w:cs="arial"/>
          <w:sz w:val="20"/>
          <w:lang w:val="en-US" w:eastAsia="en-US" w:bidi="ar-SA"/>
        </w:rPr>
      </w:pPr>
      <w:bookmarkStart w:id="184" w:name="Counsel_31"/>
      <w:bookmarkEnd w:id="18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71" style="position:absolute;z-index:2516910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T.F. Dennis, N. Hartney.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J. Jaffer, L. Mackoff.</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85" w:name="Judgment_31"/>
      <w:bookmarkEnd w:id="185"/>
      <w:r>
        <w:pict>
          <v:line id="_x0000_s1172" style="position:absolute;z-index:25174220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PRELIMINARY REMARKS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BEFORE 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SECOND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THIRD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EXPERT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Haseena Majeed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Raphael Chow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Nichols Altieri</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Paul Marks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LEGAL PRINCIPLES REGARDING CAUSATION AND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LOSS OF EARNING CAPACITY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PAST LOSS OF EARNINGS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FUTURE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COST OF FUTURE CARE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Legal Principles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Cost of Care Items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SPECIAL DAMAGES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86" w:name="M.L. FLEMING J."/>
            <w:bookmarkEnd w:id="186"/>
            <w:r>
              <w:rPr>
                <w:rFonts w:ascii="arial" w:eastAsia="arial" w:hAnsi="arial" w:cs="arial"/>
                <w:b/>
                <w:color w:val="000000"/>
                <w:sz w:val="30"/>
                <w:lang w:val="en-US" w:eastAsia="en-US" w:bidi="ar-SA"/>
              </w:rPr>
              <w:t>M.L. FLEMING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Rachelle Ann Flores Dale, seeks a range of damages in relation to injuries caused by three accidents that occurred on May 8, 2013, July 1, 2016, and January 12, 2018, each the subject of a separate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Only the second and third actions proceeded to a trial on the merits. The procedural history regarding the first action was as follows. Almost three years after the first accident, on April 26, 2016, Ms. Dale filed a claim against the other driver, Tom Sarosi. In his response, he pleaded a limitation defence. On February 15, 2017, Mr. Sarosi brought a summary trial application seeking a dismissal of the first action based on the expiry of the limitation period. Ms. Dale then applied to add Mr. Sarosi as a defendant and the first accident as a cause of action to her claim regarding the second accident, filed September 14, 2016. Justice Kelleher heard the applications together. Ultimately Ms. Dale did not oppose an order dismissing the first action, which he granted. Not persuaded it was just and convenient to add Mr. Sarosi and the proposed amendment, Kelleher J. also dismissed her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Arguing the injuries caused by all three accidents are indivisible and have resulted in a permanent chronic pain condition, Ms. Dale takes the position the defendants in the second and third actions are jointly and severally liable for all of her damages assessed globally.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defendants strongly oppose any damages being awarded for losses that originate from the first accident, arguing Ms. Dale's ongoing symptoms had become a chronic condition by the time of the second accident, divisible from exacerbations caused by the second and third accidents. In the event a finding of indivisibility is made, the defendants say they cannot be liable because her claim against Mr. Sarosi was statute-barred. The defendants also urge the court to find Ms. Dale has largely recovered from exacerbations resulting from the second and third accidents, and suggest although she experiences some ongoing pain and discomfort, her current condition is no worse than it was just before the second accident. They propose, consequently, modest non-pecuniary damages, and no award for a future loss of earning capacity or the 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Preliminary Remarks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addition to Ms. Dale's testimony, her mother, co-workers, a friend, her current physiotherapist, Timothy Muller, and her massage therapist, Tariq Dossa, testified on her behalf. Ms. Dale relies upon some of their clinical records and the expert opinion evidence of her family physician, Dr. Haseena Majeed, and physiatrist, Dr. Raphael Chow, as well as the work capacity evaluation and cost of future care recommendations of occupational therapist Nicholas Altieri. The defendants adduced no evidence except for the expert opinion evidence of orthopedic surgeon Dr. Paul Marks. They too relied upon some of the clinical records, particularly those of Dr. Majeed as well as a previous physical therapist.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closing submissions, the defendants did not impugn Ms. Dale's credibility. I say at this stage that I found her to be a credible witness. She was straightforward, direct and reasonable throughout her testimony, as well as stoic, if not very stoic. I have no concern that she exaggerated any of her symptoms or their impact. During cross-examination she readily agreed with factual assertions that did not align with her interest. Understandably, given her involvement in three accidents over five years, Ms. Dale sometimes struggled to recall the details and chronology of her symptoms and other circumstances. She acknowledged what she could not remember or remember clearly and also testified to accurately reporting her symptoms to her treating professionals at the time. During cross-examination many of Dr. Majeed's records were put to her. Ms. Dale accepted them as accurate record of the symptoms she reported.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Before 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Ms. Dale, who was only 19 at the time of the first accident in 2013 and 24 at the time of trial, moved to Canada from the Philippines as a young child. She and her parents settled in Vancouver, along with an aunt and a cousin. Her father worked initially at a gas station and her mother as a care aide; her mother later worked and still does in hotel housekeeping. In 2007, Ms. Dale's younger sister was born. From the outset, Ms. Dale was very involved in her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Ms. Dale was always extremely active. She described loving sports in elementary school. She participated in basketball, track and field, dance and swim club, and "tried" volleyball. In high school she continued with swim club and joined the high school swim team. She also played basketball until grade 10. At some point during high school Ms. Dale became very involved in ultimate Frisbee ("Ultimate"), competing in tournaments. There were also other extracurricular activities. Ms. Dale managed the volleyball team. In grade 12 she was in charge of score keeping for the school. Before that, in grade 11 she began working at McDonalds after school and on weekends. Not surprisingly she found it difficult to balance the demands of school, work, sports, other activities and caring for her sister. She indicated she was an "okay" student.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Ms. Dale's parents separated when she was in grade 12. Before moving to the rental home she now shares with her mother and sister, her father would occasionally bang on their door or phone her late at night drunk. He did not pay any child support until last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After graduating from high school, Ms. Dale decided to work for a year to help her mother financially. She was also responsible for getting her sister to and from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Ms. Dale continued to participate in Ultimate. It became her passion. She thrived on the intensity of the game, which involves lots of running, sprinting, "cutting" or darting one way or another at high speed, as well as diving and jumping for the Frisbee. She also enjoyed the social side, indicating she has met most of her friends through Ultimate.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January 2013, Ms. Dale left McDonalds and started a job at a warehouse for Aritzia, a clothing retailer. In that same month, Ms. Dale was injured at work when a box of clothes fell onto her left shoulder. She took one month off and then returned gradually over three weeks. By the end of the three weeks, she was able to perform all of her duties. About two weeks later, however, she and some other employees were laid off without an explanation.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Ms. Dale later found a position in customer service with Best Buy. She said she had no trouble doing any of the physical tasks such as carrying and lifting items. Still responsible for picking her sister up from school, her employer was accommodating, assigning her morning shifts.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At home, Ms. Dale shared in completing all of the housework, including dishes, buying groceries and cleaning. In addition to playing Ultimate, Ms. Dale worked out at the gym and swam laps at the pool, without any pain or discomfort.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Ms. Dale turned 19 on May 3, 2013. She said her plan was to pursue pediatric nursing. She was also looking forward to having "more freedom" and experiencing new activities such as snowboarding and hiking because her sister was getting older and becoming more independent. Five days later, however, Ms. Dale was involved in 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While driving home in Vancouver along Main Street in the right hand lane, a vehicle in the left lane veered into her without any warning, hitting the driver side door and tire area of her car. Ms. Dale was wearing a seatbelt. She recalled her body moving from side to side with the impact. She and the other driver pulled over and exchanged information. Ms. Dale recalled shaking a lot. Too scared to drive, she called a friend to pick her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Ms. Dale could not remember if she felt pain at the scene. Without identifying her symptoms, she testified to knowing how she felt that night and attending a medical clinic in or about the next day and reporting all of her symptoms. Ms. Dale stopped playing Ultimate and missed about two months of work due to her injuries. During that time, she went to physiotherapy where she received a range of treatments (TENS machine, manual therapy, IMS needling and a heating pad) all of which she found helpful. In addition she was at home a lot looking after her sister.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After returning to work, Ms. Dale said she took many breaks and found standing a little difficult. She would ask co-workers to help with reaching and heavy lifting. She did not play Ultimateagain until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Ms. Dale quit her job with Best Buy at the end of August 2013 to attend school full-time. In September she went to South Hill Education Centre to upgrade some of her grade 12 marks.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need of money, at the end of October she began working at The Body Shop. The job involved carrying boxes which she found she could do with some difficulty, indicating it got easier over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January 2014, Ms. Dale started attending Langara College taking prerequisites for the nursing program. Later she decided to switch to kinesiology, realizing, she said, she would find it hard to deal with sick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At some point Ms. Dale stopped physiotherapy because of the cost, $80 per visit, estimating she and or her mother had spent "maybe a few thousand" on treatment expenses, not knowing how to pursue funding from ICBC.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By May 2015, two years after the 2013 accident, Ms. Dale testified, she was still feeling pain "here and there" in her neck, back and left shoulder, but the severity was a "lot less". She said she did not file a claim because she did not know she could seek reimbursement or compensation.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By that time, Ms. Dale was back to sharing in the housework at home and was playing Ultimate on two teams, but her performance was not as good as before.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July 2015, Ms. Dale was hired by McComb Witten Marcoux, a personal injury law firm, as a client care liaison. She obtained the job through the office manager, Janita Ng Yee, who is a family friend. The position involves communicating with clients, obtaining updates about their injuries and treatment, and helping them with Part 7 benefits. Ms. Dale described mostly sitting for seven hours each work day, using the phone, and writing and typing. She stated that the pain in her back and neck had been coming back or increasing, and was accompanied by headaches. She was able to deal with her symptoms by moving around and stretching.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After three months at the law firm, Ms. Dale qualified for extended health benefits. She returned to physiotherapy and started chiropractic treatments.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By the winter of 2016, Ms. Dale was also going to the gym and doing workouts with a personal trainer.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She kept her job with The Body Shop until April 2016, working week-day evenings and on weekends. After she left, Ms. Dale became responsible for picking her sister up on weekdays and caring for her on weekends.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When asked in direct examination about her condition right before the second accident, Ms. Dale testified she was still experiencing some pain symptoms in her neck and back, mostly at work, which she dealt with by taking Tylenol or Advil occasionally. She had returned to all of her previous activities and felt she was getting back to how she was before the first accident. She intended to play Ultimate again that summer, was going to the gym, doing personal training and had hiked the first two peaks of the Chief, a challenging hike, not long before. She was also able to perform all of her work duties, which apart from sitting, also involved lifting big binders full of documents that were kept on shelves all over the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Second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On July 1, 2016, Ms. Dale was in the front passenger seat, wearing a seatbelt, but slouched down because she was asleep. Her boyfriend was driving. Her sister was also in the car. They were enroute to Watermania in Richmond when he hit the vehicle in front of them. The impact woke Ms. Dale. She said that after the accident she was in shock and shaken, but they carried on to Watermania not wanting to ruin the occasion for her sister. Ms. Dale recalled having a headache, neck and back pain, and taking Tylenol or Advil that day. When she got home and tried to pick up their cat, her lower back went into spasm causing her to drop to her knees. She had to lie down right away. Ms. Dale attended a walk-in clinic the following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She saw Dr. Majeed for the first time after the second accident on July 15, 2016. Her record for the appointment includes: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Subsequently noticing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Headaches (feels this is due to neck upper back) radiates to the sides and back of head, especially if she turns head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Feeling numbness and burning sensation in the left deltoid intermittently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Left hand feels weak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Hip flexors feel tight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Increased anxiety when driving in the passenger seat, can drive herself, but increased anxiety if someone else is driving (has to close her eyes or look down on the ground, can't look forward, feels on the verge of crying)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Has been attending physio and chiro - 2x a week for both initially, now for physio will be once a week, chiro will be 1-2x a week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Some improvement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Lower back improved, though still tight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Fewer headaches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More rotation in upper mid back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Non tender mid line cspine and upper thoracic spine tender bilaterally paraspinal cspine tspine lspine L&gt;R in all area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Cspine extension normal, flexion 40 deg, right and left lat flexion 30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Lumbar flexion 80 deg, ext 20, lat flx rt 20, lat flx lt 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Dr. Majeed prescribed Vimovo for pain. She also referred Ms. Dale for ongoing physiotherapy as well as massage therapy, and recommended a psychologist for treatment of anxiety symptoms. Additional pain medications were prescribed in the weeks and months that followed.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Ms. Dale was cross-examined at some length about the similarity between her symptoms shortly before and after the second accident, based on Dr. Majeed's clinical records starting April 26, 2016, the first appointment related to the first accident since August 2013. The record for that day indicates Ms. Dale reported "ongoing issues" that included: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Neck pain and tightness =&gt; headaches at the base skull, sometimes radiating to the top of head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Bilateral trapezius pain L&gt;R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Pain back of the shoulder blades L&gt;R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Lower back soreness when sitting or standing for so long, cracking if flexing forward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Left knee discomfort, cannot sit cross legged on the floor or on the chair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Sleep disrupted due to neck and trapezius issues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Feels there is weakness with the left side "head to toe" eg. weaker grip left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Anxiety when passenger in car - becomes anxious, needs to grip on to something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More generally stressed out? Depression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Shins started to hurt last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Dr. Majeed's record for the next appointment on May 4, 2016 reads in part: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Follow up on issues related to health from MVA 8 May 2013</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Has needed chiropractic weekly, paying out of pocket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Does help with symptoms but only temporarily, sore by the 6-7 day mark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Has physio from icbc - starting next tues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On reflection, notices that upper trapezius becomes sore</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if standing and working arms for long eg. doing dishes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Exam</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Tender: bilateral cervical paraspinals L&gt;R; bilateral</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thoracic paraspinals L&gt;R; both upper trapezius area L&gt;R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Non tender today: lumbar paraspinals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Tight/stiff upper trapezius areas L&gt;R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record for June 15, 2016 provides Ms. Dale reported her pain intensity had improved overall since starting treatment and she had good functional abilities, despite constant pain varying from a stabbing pain to tightness to soreness. Ms. Dale had been attending physiotherapy, chiropractic treatment, and personal training once per week. Dr. Majeed found tightness and mild tenderness "today" of the left cervical paraspinals, over the left upper trapezius, over the scapula into the axilla and a similar, but less significant, situation on the right side. Dr. Majeed also recorded intermittent numbness down the left arm that is worse when the area is tight or sore and mild altered sensation, difficult to describe, in some of Ms. Dale's left fingers.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cross-examination, Ms. Dale acknowledged she was still experiencing ongoing symptoms by the time of the second accident, including daily neck, back and shoulder blade pain, as well as headaches. She also agreed her sitting tolerance was about 30 minutes, similar to what it is now. Both before and after the second accident, she was able to address that problem at work by standing and stretching for two or three minutes or taking breaks. She could not remember whether her sleep was disrupted by pain right before the second accident or when she told Dr. Majeed about feeling generalized weakness on her left side, but did not dispute the content of the records. Ms. Dale also made it clear that her symptoms fluctuated and were not as severe or "a lot less" before the second accident than they were after the subsequent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Ms. Dale gave limited evidence about experiencing jaw pain after the second accident, indicating talking for a long time and chewing particular foods, such as apples or tough meat, was painful. She found using a retainer at night and IMS needling helpful.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Ms. Dale remembered having nightmares and being anxious in cars after the second accident. In cross-examination she agreed she had experienced car-related anxiety before the second accident. After the second accident, however, when her boyfriend was driving her, she said she would close her eyes and yell at him. She said their relationship became really rocky because she blamed him for the accident and he felt very guilty. She found counselling helped with her anxiety over time, although she also described herself as very moody, angry and feeling depressed.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direct examination Ms. Dale indicated she had to stop playing Ultimate and put her personal training on hold after the second accident. In cross-examination she agreed she actually returned to the gym in late July 2016 and resumed "deadlifts", explaining her personal trainer was trying to strengthen her back. More than once during her evidence Ms. Dale described working out at the gym as a way of dealing with or getting rid of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Ms. Dale missed two days of work following the second accident. In addition she sometimes left early or "called in sick", advising her employer when it was accident related. She said she found it more difficult to sit at her desk and concentrate. Although she tried not to show her pain, instead of reaching up for binders, she would ask for help. Ms. Dale described her headaches as "really bad" and as affecting her concentration. She took medication every day to reduce their severity. Similarly, she indicated her sleep became very restless and disrupted due to neck and back pain, although taking muscle relaxants helped.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Late in 2016, Ms. Dale attended a chronic pain clinic recommended by Dr. Majeed. She said she attended six sessions but found it unhelpful and upsetting. The idea she may be dealing with pain over the long term made her sad.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On the recommendation of her physiotherapist she did not try snowboarding that winter, something she had hoped to start.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the spring of 2017, based on Dr. Majeed's recommendation, an occupational therapist completed an ergonomic assessment of Ms. Dale's workstation which resulted in a number of accommodations. Because her cubicle could not accommodate a sit-stand desk, she was provided with an Ergotron that attached to her desk and allowed her to use her computer while standing. She also received a new chair, an ergonomic keyboard and mouse, and some other equipment. She found the changes helpful, especially the Ergotron.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April 2017, Ms. Dale's relationship with her former boyfriend ended. She blamed the second accident, stating they never really fought before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Ms. Dale testified that by May 2017 she was feeling much better. Her pain was still constant but lessening. She resumed hiking, including a 4.5 hour hike to and from Garibaldi Lake. In cross-examination she agreed that she was also feeling much better emotionally, and accepted that in June 2017 she told Dr. Majeed she felt her anxiety was fully gone.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In that same month Ms. Dale travelled to Japan.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On July 6, 2017 she "rear ended" another car that was stopped ahead of her. Ms. Dale described a spike in her symptoms that did not last more than one day or so. She recalled leaving work early the following day, a Friday, to attend a music festival in a park for eight or nine hours, where she could alternate between sitting and standing.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By then, Ms. Dale was working out regularly again and playing Ultimate. She said she could run, but had stopped diving or jumping because she was afraid of hurting herself. Ms. Dale also said she needed to stretch for quite awhile after each game, using a foam roller and a tennis ball. She kept a tennis ball at work to relieve muscle tension.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From October to December 2017, Ms. Dale had a second job at Best Buy. She worked two weeknights and one weekend day per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following winter Ms. Dale again decided not to try snowboarding and continued to attend physiotherapy, massage therapy and counselling.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Asked about her use of medication by January 2018, Ms. Dale recalled taking naproxen and Tylenol or Advil in the morning when she felt very sore and then as needed. She found them helpful.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Third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third accident occurred on January 12, 2018. Ms. Dale was driving to work in Vancouver along Commercial Drive in the right lane. Much like the first accident, a vehicle in the left lane side swerved into the driver's side of her car without any warning. After exchanging information, Ms. Dale drove herself to the office which was only two blocks away. She recalled speaking to one of the lawyers, shaking a lot, feeling "so sad", pain coming on slowly, being really nauseous, and vomiting. A co-worker drove her home. Ms. Dale took two weeks off. After returning to work, she left early sometimes because of pain or to attend treatment once a week or once every two weeks, and occasionally called in sick.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Mr. Hardern, a friend who dated Ms. Dale in the fall of 2017, gave some evidence about his observations of her around this same time. He remembered her adjusting her neck and back on one particular outing and asking for a ball to roll out her back while visiting his apartment. He testified that after the third accident she was "visibly in more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In or about March 2018, Ms. Dale was promoted to the position of legal assistant, starting in June of that year. Trained on the job from March to June, she described a big learning curve, a much faster pace of work, and much more responsibility. The position included lots of deadlines and much more sitting. Ms. Dale also identified the workload and certain new job duties as physically difficult, such as reviewing and redacting clinical records and making books of documents using a coiling machine. Only five feet tall, she said she has to stand on her tippy toes and lean forward to use the machine. Because she requires a second computer monitor, her desk no longer accommodates the Ergotron. At the same time, she can no longer take breaks as needed. Unable to change her position or move about when she needs to, constantly looking down or left and right at her desk, Ms. Dale indicated she has had to take more pain medication such as Lyrica and naproxen up to twice a day and melatonin when she really needs help sleeping.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Testifying she is "not that efficient" compared to the other legal assistants, Ms. Dale said her headaches and her neck and back pain affect her concentration, "nagging, stabbing pain" makes it hard to work and she tends to "turn off". Ms. Dale referred to her mind as "all over the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Without complaining, she described the other two legal assistants in the office as frustrated and unhappy with her work performance, and the lawyer she works for telling her to "smarten up" not all that long ago. Ms. Dale acknowledged, however, that in addition to being promoted, her salary has been increased a number of times since she started at the law firm. She indicated that at least some of those raises were because everybody received one. Having started at an annual salary of approximately $26,000, she was earning $45,000 by the time of trial, up from $40,000 since her promotion.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Ms. Dale's evidence about problems with her performance as a legal assistant were corroborated by Ms. Wong, the most senior legal assistant, and to a lesser extent by Mrs. Yee and Mr. Minhas, a case manager. As "team lead", Ms. Wong oversees Ms. Dale and another legal assistant. Ms. Wong gave detailed evidence about the demands of the job, including working longer hours particularly when preparing a file for trial. She estimated that roughly 80% of files are prepared for trial although only a small number actually proceed. Ms. Wong explained the legal assistants are expected to be in the office from 9:00 a.m. to 5:00 p.m. but typically she puts in one or two extra hours each day to keep up, and then another extra hour or two when a trial is pending. She confirmed Ms. Dale's evidence about breaks, testifying legal assistants are not permitted to take breaks aside from lunch. Both indicated overtime is rarely approved.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Ms. Wong described herself and the other legal assistant as able to manage the workload, but Ms. Dale "not so much", stating that for the last six months, she has been "very behind on her tasks", "not there half the time" and arriving five to 10 minutes late three or four days per week, which she then makes up. Ms. Wong's irritation with Ms. Dale was palpable. Although less than sympathetic, Ms. Wong acknowledged that Ms. Dale was competent in her former role and she often notices Ms. Dale taking "pain" medication, her "mood" is down sometimes, and she is not as energetic as she used to be. The two sit in side-by-side cubicles. Ms. Wong also confirmed that Ms. Dale too works nine or 10 hours per day. Although none of the employees has a sit-stand desk, Ms. Wong agreed the office could accommodate 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Unlike Ms. Dale, Ms. Wong has completed a one year legal assistant course. She started at the law firm in 2015. Her current salary is $60,000. Both she and Mrs. Yee testified that most of the staff have been trained on the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Mrs. Yee said she hired Ms. Dale because she knew her to be a hard worker, as well as very friendly and polite. Mrs. Yee recalled Ms. Dale working really hard and very effectively during her first year with the law firm, describing her as very good with clients, very organized, "thinking outside the box", taking initiative to improve efficiency and staying late "for free". Mrs. Yee said she was not even aware Ms. Dale had been in a car accident until after the second one. Mrs. Yee could not recall Ms. Dale missing time from work before that, although in an email she sent to Ms. Dale in February 2016, Mrs. Yee described her being late often. Mrs. Yee estimated that Ms. Dale has taken about 10 days off since she returned to work two weeks after the third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Mrs. Yee indicated she was aware Ms. Dale was struggling in her new role, but not recently. Yet when asked how Ms. Dale has presented over the last six months, Mrs. Yee described her as "not the old Rachelle I knew before", "she is very down", and not really focusing when they talk. Mrs. Yee also said she can see Ms. Dale is in quite a bit of pain. Sometimes she asks for help to carry binders, she walks around the office to relieve pain, and wears running shoes, which is not permitted by the dress code.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Regarding the salary trajectory for legal assistants, Mrs. Yee indicated a senior legal assistant can earn up to $65,000 after four or five years. She also said the law firm will pay for schooling.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Mrs. Yee described the transition and Ms. Dale's new role somewhat differently from hers and Ms. Wong's, indicating the firm was changing the structure of their team by integrating some of the roles and that her training as a legal assistant was not yet over. If Ms. Dale is not able to manage the job, however, Mrs. Yee testified, she will go back to working as a client care liaison or be given another position with less responsibility. Either would mean a salary of no more than $50,000. Mrs. Yee emphasized that she will find a way to keep Ms. Dale because of her interpersonal skills and ability to relate to clients.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Employed by the law firm since 2012, Mr. Minhas has known Ms. Dale since she started. She has always been on his "team". Similar to Mrs. Yee, Mr. Minhas described Ms. Dale as doing well, having a very bubbly, outgoing personality and not complaining of pain until more recently. He testified that for the last six to eight months she has looked flustered, more visibly in pain, and appears to be struggling in her new role as a legal assistant. She sometimes misses days. He has seen her holding her back and bottles of medication. He described her mood as definitely down and has noticed she is not as social with the other women in the office, keeping to herself instead.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Regarding future plans, Ms. Dale said she still planned to return to school for kinesiology, a four year bachelor program, at some point in the future, although she had not taken any concrete steps to pursue this. In cross-examination she acknowledged her discovery evidence which was she wasn't "exactly" sure why she stopped going to Langara along with, "I just didn't like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Ms. Dale continues to attend physiotherapy twice and massage therapy once per week. She stopped counselling in June 2018, but said Dr. Majeed recently recommended it again. Her physiotherapy involves manual manipulations and IMS needling. She usually attends early in the morning before work. She finds both forms of treatment helpful in reducing her pain symptoms. She also works out with a personal trainer once or twice per week, and exercises on her own at the gym other days after work. Ms. Dale described the workouts as "really helpful", indicating that if she misses them she feels weak and her back symptoms worsen.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In May or June 2018, Ms. Dale went on a trip to Thailand. She did a lot of walking and took trains which she found hard on her back especially.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At home she continues to share the housework with her mother. Her only limitation is lifting the 20-pound bag of cat litter.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Both her physiotherapist, Mr. Muller, and her massage therapist, Mr. Dossa, gave evidence. Mr. Muller started treating Ms. Dale in March 2017 for chronic neck and shoulder pain. The treatments include manual therapy and "dry needling" or IMS needling that involves inserting a needle into her paraspinal tissues, jaw muscles and around her gluteal muscles to release tense muscles. He has measured Ms. Dale's range of motion as less restricted following a treatment but finds it is restricted again at the start of the next appointment.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Mr. Dossa treated Ms. Dale from October 27, 2016 until March 2017 and from February 2018 onwards. Unfortunately his clinical records are difficult to decipher. He testified, however, to finding a lot of hypertonicity (tightness) in various areas of Ms. Dale's muscles during appointments. He described the muscles throughout her back, neck and sometimes in the gluteals feeling firmer than normal or hypertonic. He has also measured her range of motion from time to time. At their first appointment he found a reduction in her neck range of motion. After the third accident on February 14, 2018, he found some limitation in her neck flexion and the rotation slightly reduced.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Consistent with the evidence, Ms. Dale frequently appeared physically uncomfortable during her testimony. She often changed her sitting position and alternated between sitting and standing. She testified to taking medication over the lunch break, because of pain symptoms. Further, although polite and reasonable throughout her evidence, she was quite subdued.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Expert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Haseena Majeed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Dr. Majeed was qualified to provide expert opinion evidence regarding the diagnosis, prognosis and treatment of injuries resulting from motor vehicle accidents. A family doctor since 2004, she has a great deal of experience with pain management, partly because her practice has included significant involvement in palliative care, both as a clinician and as an instructor.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Dr. Majeed's report dated May 9, 2018 includes many of the details set out in her clinical records regarding her accident-related assessment and treatment of Ms. Dale. Her report and records indicate that at Dr. Majeed's first appointment with Ms. Dale after the accident, on May 14, 2013, Ms. Dale reported left-sided headaches lasting around three hours, left neck pain, left thoracic and upper back pain, lumbar pain and left upper leg pain radiating down to her knee. Dr. Majeed assessed "possible" post-concussion syndrome, neck/cervical spine pain and thoracic and lumbar spine pain. She referred Ms. Dale to the GF Strong Acute Concussion Service, which she did not attend, as well as physiotherapy and massage therapy for the soft tissue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Dr. Majeed assessed Ms. Dale again in late May and August 2013 in relation to the first accident but then not again, as I have said, until April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Her report reviews the symptoms, functional limitations and examination findings set out in the clinical records from shortly before and after the second accident that I have already outlined. Significantly, she did not prescribe any medication including any pain medication to treat Ms. Dale's symptoms between April and June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Dr. Majeed's assessment of Ms. Dale's condition on July 15, 2016, their first appointment after the second accident, was: headache, significant neck and back strain/sprain and significant anxiety.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In a CL19 dated August 26, 2016, a document physicians complete and submit to ICBC, Dr. Majeed described Ms. Dale as 85-90% recovered from the first accident by the time of the second accident. In cross-examination, Dr. Majeed acknowledged, somewhat reluctantly, that three years after the first accident Ms. Dale's ongoing symptoms had a "chronic nature to them", and she was experiencing some degree of pain that was chronic. Dr. Majeed also testified that after the second accident, Ms. Dale's symptoms were likely worse in intensity and distribution, noting it was only after the second accident that she consistently required a variety of pain medications. In addition to prescribing Vimovo for pain on July 15, 2016, Dr. Majeed prescribed cyclobenzaprine in September 2016, Celebrex, a slightly different anti-inflammatory in October 2016, and Lyrica for neuropathic pain in November 2016. Dr. Majeed said she prescribes Lyrica when she suspects chronic pain spectrum. In cross-examination, she disagreed that absent the second accident, Ms. Dale's pain likely would have persisted, testifying that persistent pain can resolve over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Dr. Majeed continued to assess Ms. Dale's symptoms after the second accident at multiple appointments, the last before the third accident occurring on December 22, 2017. Her report and clinical records indicate that on that day Ms. Dale reported more frequent headaches affecting her concentration, more pain in cold weather and bilateral aches in her jaw, worse on the left. She also reported ongoing pain in her neck and shoulders, and lower back pain with standing or walking for more than 30 minutes, radiating down her left leg. Dr. Majeed found Ms. Dale tender bilaterally in the cervical paraspinal, upper trapezius and the scapular areas, all worse on the left, tender over the left thoracic paraspinals, and tender bilaterally over the lumbar paraspinals, again worse on the left. Dr. Majeed's assessment was: ongoing headaches, possible temporomandibular joint (TMJ) dysfunction, bilateral cervical, thoracic, and lumbar soft-tissue injures, generally worse on the left.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Dr. Majeed recommended more physiotherapy and continued counselling, based on Ms. Dale's report of recurrent anxiety related to driving at night in the rain.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Dr. Majeed's findings and treatment of Ms. Dale after the third accident are not discussed in her report. Her clinical records indicate however that on January 16, 2018, Ms. Dale reported worsened neck pain, continued headaches on and off, and taking Advil for pain. Dr. Majeed found tenderness over the "trapezius muscles b/l neck" more so on the left. She also noted pain with palpation of the paraspinal muscles in the lower back (L3-5) again worse on the left, and pain with all range of motion in the hips, but mostly flexion and extension.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clinical record for the next visit, January 24, 2018, shows Dr. Majeed found tenderness in the mid-thoracic to lumbar spine and bilaterally in the cervical paraspinals and upper trapezius, both worse on the left. Aspects of Ms. Dale's "c-spine" range of motion were "less than normal" and "l-spine" flexion was significantly limited. Dr. Majeed prescribed Vimovo again that day, as well as propranolol to settle anxiety and baclofen for muscle spasm.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On February 6, 2018, Dr. Majeed stopped the Vimovo prescription, continued baclofen and prescribed Tramacet, closer to an opioid, for pain and sleep management, because Ms. Dale reported not sleeping well. She also recommended a magnesium supplement to help with soft-tissue myofascial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At Ms. Dale's next appointment on May 1, 2018, Dr. Majeed made no changes to the medications. On May 18, 2018 however, she prescribed duloxetine, an anti-depressant she said can be helpful with chronic pain, as well as baclofen and referred Ms. Dale to a psychologist.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Ms. Dale's last visit with Dr. Majeed prior to trial was on June 19, 2018. She recommended magnesium again.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Dr. Majeed's report identifies a number of diagnoses related to both the first and second accidents:</w:t>
      </w:r>
      <w:r>
        <w:rPr>
          <w:rFonts w:ascii="arial" w:eastAsia="arial" w:hAnsi="arial" w:cs="arial"/>
          <w:sz w:val="20"/>
          <w:lang w:val="en-US" w:eastAsia="en-US" w:bidi="ar-SA"/>
        </w:rPr>
        <w:cr/>
      </w:r>
    </w:p>
    <w:p>
      <w:pPr>
        <w:numPr>
          <w:numId w:val="1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Chronic headache</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Period of post concussion syndrome</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Temporomandibular joint dysfunction</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Soft tissue injuries of the neck, thoracic and lumbar back with the left side affected to a greater degree than the right</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Intermittent paraesthesias of the left arm</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Intermittent pain left leg/knee</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Significant anxiety disorder, possible post traumatic stress disorder</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Chronic/persistent pain related to injuries from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When asked in cross-examination about causation regarding each diagnosis, Dr. Majeed attributed the TMJ dysfunction to the second accident and the soft-tissue injuries to the first and second accidents. She also indicated the intermittent pain in the left leg/knee was minor. She agreed, based on her clinical records, Ms. Dale felt her anxiety was resolved by June 2017. Dr. Majeed clarified that post-traumatic stress disorder ("PTSD") was simply a possibility, not a diagnosis.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In her report, Dr. Majeed described Ms. Dale's "functional" prognosis as "too difficult" to assess because she was still in the early to intermediate phase of recovery from the third accident. She also wrote, however: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in reviewing her trajectory, one concern that I have is that each injury that she has had, both WCB related and her MVAs has potentially generated both central and peripheral sensitization, such that she has increased risk for the development of chronic pain.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this I am reflecting on the fact that her workplace injury in early 2013, resulted in predominantly left sided soft tissue pain. ... Though perhaps not captured in my notes, my impression is that each injury caused a progressive worsening of both her pain and her anxiety and emotional difficulties, which on reflection may be a manifestation of both peripheral and central pain sensitization arising from each of these accidental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In direct-examination, Dr. Majeed explained central sensitization as a change to normal pain processing that occurs in the brain and spinal cord, involving neural expansion or more brain cells being dedicated to pain perception. Her explanation for peripheral sensitization was much the same but involving the peripheral sensory neurons. The result is an amplified pain response and perception. For example, a light touch may feel painful.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Similarly, Dr. Majeed testified that each subsequent accident compounded the symptoms from the first, causing progressively more and worse symptoms, with the area affected becoming bigger and bigger. In her opinion, the second accident caused a significant exacerbation of Ms. Dale's symptoms. Dr. Majeed said, however, she viewed the third accident as the most worrisome, partly because of the increase in Ms. Dale's distress or emotional symptoms, also describing her physical symptoms as more severe.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Regarding future care, Dr. Majeed specified that Ms. Dale needs ongoing physiotherapy, massage therapy, chiropractic treatment, active rehabilitation, and psychology treatment, assessment and treatment by a dental specialist, with expertise in orofacial pain syndromes. Dr. Majeed also stated she may benefit from medication such as duloxetine.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Raphael Chow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Dr. Chow, a physiatrist, also provided expert opinion evidence at the request of Ms. Dale. His report dated May 28, 2018 sets out her current symptoms in some detail as well as what seemed to aggravate and help them. The symptoms she reported included generalized, frequent headaches; daily neck, shoulder girdle, and left forearm pain; pain in the TMJ; and low back pain, all of which range in severity. She also reported anxiety, depression, stress, irritability, and sleep disturbance. In relaying her history, Ms. Dale told Dr. Chow she was 95% better before the second accident, meaning she had residual neck and shoulder girdle pain with prolonged exertion and strenuous tasks or desk work, which he testified to accepting based on his review of the clinical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Dr. Chow's examination findings included the following. Ms. Dale could open her mouth normally, but there was some clicking, deviation of the jaw and some tenderness in the right TMJ measured consistently at 2.1 kg/cm2 with an instrument called an algometer. He testified that a reading of anything less than 4 kg/cm2 indicated a significant tender point. Ms. Dale had normal range of motion in her cervical spine but complained of neck tightness in all ranges. She also had tenderness in the occiput (3.5 kg/cm2), paraspinal muscles of the neck (3.2 kg/cm2 at C5-6), and the left shoulder girdle and trapezius area. Dr. Chow noted a trigger point with a taut band in the mid trapezius with referred pain to her left hand. The tenderness over the trigger point measured 2.9 kg/cm2. She also had pinprick and cold hypersensitivity in the neck and left shoulder girdle. While her thoracic spine range of motion was pain free, she complained of pain in the low back on extension and lateral flexion and had tenderness in the paraspinal muscles of the lumbar spine, measured at 3.8 kg/cm2. Ms. Dale also had left shoulder girdle pain with shoulder elevation. Dr. Chow assessed her muscle tone and strength as normal.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In his report, Dr. Chow expressed the view that Ms. Dale's symptoms have plateaued and she has permanent impairment of the cervical and lumbar spine. He opined Ms. Dale had "almost recovered from" the first accident when the second occurred causing "a flare-up of pre-existing neck pain", and the development of back pain, left hip and knee pain, headaches as well as TMJ pain, based on his review of the clinical records and his "assessment from a physical perspective". He characterized the third accident as re-aggravating her "underlying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Dr. Chow was cross-examined at some length about the accuracy of his opinion that Ms. Dale had nearly recovered by the time of the second accident. He indicated he was not aware that Ms. Dale was attending physiotherapy shortly before the second accident, although his report suggests otherwise. Confronted with clinical records regarding the nature and frequency of Ms. Dale's pain symptoms and other symptoms from April to June 2016, and her sitting tolerance of 30 minutes, Dr. Chow was somewhat unresponsive, but validly pointed to a lack of specificity about the intensity of the pain and queried whether she was experiencing a flare up during that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Among the records put to Dr. Chow was a physical therapy record dated May 6, 2016 which describes Ms. Dale's subjective complaint as: "... pain in neck, trapezius area medial areas of scapula, lower back, pain goes to head sometimes. All structures are tight feels more stiff when get up in morning. Also feels very much tired after work." Under the heading "Behaviour of Symptoms" the record noted "dull ache", "constant", "all time", and sharp "sometimes".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Ultimately, Dr. Chow agreed the picture that emerged was not consistent with Ms. Dale being 95% recovered.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In his report, Dr. Chow diagnosed Ms. Dale with "accident-related conditions" that included chronic jaw pain; chronic headache; chronic neck, shoulder girdle and left upper extremity pain that involve soft tissue injuries to the cervical spine, including the muscles, ligaments, tendons, joint capsules and facet cartilage; chronic low back pain from a soft tissue injury to the lumbar spine; late whiplash syndrome; and left hip and knee pain caused by a soft tissue injury that is no longer symptomatic. Dr. Chow explained the diagnosis of late whiplash syndrome as based on Ms. Dale's constellation of symptoms and their intensity, including chronic headache, neck and back pain with psychological and cognitive issues and sleep disturbance. Related to this he wrote: "[s]he has findings suggestive of the central sensitization process", noting also her cold and pain hypersensitivity in the neck and shoulder girdle with TMJ syndrome. His explanation of central sensitization included molecular and genetic predisposition components.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During cross-examination, Dr. Chow readily agreed that not all chronic pain involves sensitization of the central nervous system, indicating it depends on the degree of pain and the "whole" presentation over time. He also agreed that Ms. Dale's pain symptoms were chronic by the time of the second accident, meaning they had continued for more than three to six months. He testified however that because he had not examined her at that time, he could not determine whether she was experiencing CNS sensitization by then, also resisting the suggestion it was the most likely differential diagnosis.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Regarding her functional status, Dr. Chow wrote and testified that Ms. Dale should avoid activities that "reproduce or aggravate her neck and back pain", opining they will "perpetuate the peripheral and central sensitization of the pain pathway associated with chronic pain". In his view, sitting, standing, walking, carrying, lifting, pulling, pushing, reaching, crouching and stair climbing beyond the "mid frequent rate" and physical demands beyond "light-medium level" would likely aggravate the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Dr. Chow characterized Ms. Dale's prognosis as poor, writing that she has reached maximum medical recovery. He also predicted her condition will deteriorate over time, although not when or by how much:</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will] likely... experience further worsening of her symptoms and deterioration of her functional ability with the passage of time and the aging process. From a physical perspective, in my opinion, over time, it is unlikely that she will be able to perform at her current level of function.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Aware of her involvement in Ultimate and regular gym workouts, Dr. Chow's recommendations for future care include the need for Ms. Dale to pace her activities, and to use adaptive strategies and accommodations at work. He recommends occupational therapy intervention; a sleep study and sleep consultation; a trial of tricyclic antidepressants; referral to a headache specialist, ongoing physiotherapy and massage given the recent accident and the likelihood of future flare ups; exercise within her tolerance; long term analgesics; cognitive behavioural therapy for pain management; a range of myofascial pain treatments; and further investigation of her cervical spine.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Mr. Nichols Altieri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The work capacity evaluation of occupational therapist Nicholas Altieri dated July 13, 2018 includes a much more detailed assessment of Ms. Dale's functional capacity. A summary of Mr. Altieri's test findings include:</w:t>
      </w:r>
      <w:r>
        <w:rPr>
          <w:rFonts w:ascii="arial" w:eastAsia="arial" w:hAnsi="arial" w:cs="arial"/>
          <w:sz w:val="20"/>
          <w:lang w:val="en-US" w:eastAsia="en-US" w:bidi="ar-SA"/>
        </w:rPr>
        <w:cr/>
      </w:r>
    </w:p>
    <w:p>
      <w:pPr>
        <w:numPr>
          <w:numId w:val="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results of effort testing in combination with clinical observations show Ms. Dale participated with high levels of effort. Test results are therefore considered an accurate measure of her present physical capacity.</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Her self reports of function were consistent with clinical measures of functional abilities and limitations, with the exception of sometimes underestimating her lifting and carrying abilities. Her reports regarding the effect of pain, however, were consistent with what he observed during testing.</w:t>
      </w:r>
    </w:p>
    <w:p>
      <w:pPr>
        <w:numPr>
          <w:numId w:val="1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Ms. Dale is able to perform jobs that require some reaching, handling, fingering and/or feeling, keyboarding, writing, and upper limb coordination skills.</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is functional for forward reaching activity below shoulder level, so long as she is able to work with her neck in a near neutral position (mild neck flexion). She is capable of overhead reaching using her right hand. She is not suited to more than occasional reaching above shoulder level involving the left arm. She is functional for short intervals of writing and keyboarding (15-20 minutes) before she requires a break or a change in activity. She is not suited to prolonged periods of writing or continuous keyboard use, relating to demands for neck flexion or rotations (i.e. required when using a document holder or referring to multiple monitors).</w:t>
      </w:r>
    </w:p>
    <w:p>
      <w:pPr>
        <w:numPr>
          <w:numId w:val="1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Ms. Dale is functional for mild stooping activity. She is not suited to more than intermittent short intervals (15-20 seconds) of sustained moderate to extreme degree stooping activity. She is functional for activity requiring kneeling and crouching, basic balance, stair climbing and crawling activity.</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Dale is capable of sedentary, light and entry medium strength demands and select heavy strength demands (i.e. occasional bilateral lifting of 60 pounds between floor and waist). According to National Occupation Classification (NOC) criteria, she is capable of limited, light, entry level medium carrying, and select entry heavy strength demands (lifting from floor to waist level). She is limited to carrying up to 20-30 pounds to shoulder level.</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Dale is functional for basic standing and walking. She demonstrated an ability to stand for at least one hour. She is not suited to prolonged periods of sitting. A reasonable sitting tolerance is between 20-30 minutes before she requires a short break (3-5 minutes) to stand or walk about to manage her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Mr. Altieri's opinion regarding Ms. Dale's work capacity addressed her previous position as a client care liaison, her current position as a legal assistant, as well as her capacity to complete educational training in kinesiology and to work as a kinesiologist.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He concluded Ms. Dale could meet the "full individual basic physical demands" of a client care liaison based on the results of her testing, so long as her employer provided accommodations that included frequent breaks in standing or alternating between sitting and standing as needed, meaning access to a sit/stand work station. Without those accommodations, he concluded she would not be suited to the job or similar administrative type jobs. Regarding her current position as a legal assistant, in his opinion, Ms. Dale is capable of the individual physical demands and working full time up to eight hours per day, but she is not suited to "frequent, more than 10 hour shifts", and the additional repetitive and sustained work intensive postures required when reviewing files and medical reports, without access to a sit/stand station. He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my opinion that given her increased hours, increased demands and lack of access to ergonomic aids (i.e. sit/stand work station), Ms. Dale's current work participation is at risk. Given her reported increase in symptom response to her current work activity (including the intensity of her headaches), despite having supportive treatments, symptoms management strategies (therastick, and prescription medications), it is my opinion she is not suited to her current work involvement.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During his testimony, Mr. Altieri identified his past experience in evaluating other legal assistants, the NOC, and Ms. Dale's description, as informing his understanding of her current work duties as a legal assistant which included working eight to 10 hours per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In the event she were to return to school to study kinesiology, Mr. Altieri's opinion is she would have difficulty tolerating the "work intensive" sitting and other postures, namely prolonged neck flexion associated with taking notes and reading. His view is that without accommodations such as computer based textbooks and exams, more time to complete exams, as well as ergonomic equipment including a chair, sit/stand desk, document holder and slant board to better help her manage her symptoms, she will likely be unable to tolerate the physical demands associated with attending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Regarding Ms. Dale's ability to work as a kinesiologist, Mr. Altieri expresses the view she in not able to meet the full physical demands of some areas of work, including those related to repetitive or sustained reaching above the shoulder level involving her left arm and the 20 to 30 pound limit on her capacity to lift to the shoulder level. He explained if working with clients in a gym setting, she would not be able to load certain exercise equipment or retrieve heavier dumb-bells for them, suggesting she would be better suited to working with older clients or clients in a rehabilitation setting where the weights being used are significantly lighter.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With respect to Ms. Dale's participation in recreational activities, Mr. Altieri said she will continue to have to limit her participation in some activities, modifying for example the extent and intensity of her participation in Ultimateand gym activities. In cross-examination he testified to being aware she was attending the gym three to five times per week. The fact she is performing dead lifts and lifting 20 pound dumb-bells did not affect his opinion. He accepted that Ms. Dale's "ability to be durable" as a legal assistant was dependent on the ergonomic set up at her work place, as well as limiting her exposure to working longer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Mr. Altieri's recommendations regarding the cost of future care are discussed below.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Paul Marks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The defendants rely upon the expert evidence of orthopedic surgeon Dr. Paul Marks. His report dated July 26, 2018 indicates Ms. Dale described essentially the same current symptoms: left greater than right sided neck, mid-back and thoracic pain that is constant but varying in intensity, worse in the morning and involving occasional discomfort at night; daily headaches; some jaw pain; diffuse pain in her left arm and a little bit of numbness in her upper left extremity. She also described her neck pain as aggravated by movement; her neck and back pain as alleviated with medication, heat, rest, stretching, therapy, massage therapy and chiropractic treatment; lifting and bending as bothersome; and described 30 to 45 minute standing, 10 minute sitting, and 30 minute walking tolerances. Ms. Dale estimated her neck is now 50-60% of normal. She rated her neck pain at five to six out of 10 and her back pain at six to seven out of 10 while in the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Dr. Marks' examination findings are inconsistent with those of Dr. Chow, and those of Dr. Majeed following the third accident, as well as the observations of Ms. Dale's physiotherapist and massage therapist. Dr. Marks writes she was non-tender to palpation in the cervical spine, and there was no evidence of any muscle spasm, hypertonicity or increased tone or taut bands. She also had full range of motion in the cervical spine with end of range tightness but no pain; non-tender to palpation through the thoracolumbar spine from T1 to T12 and from L1 to L5; and again no evidence of muscle spasm, hypertonicity or increased tone. His report describes her as able to sit on the examination table for 37 minutes in "no apparent distress", although she did get up once for three minutes.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In discussing his findings and opinion he writes: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Dale's orthopaedic and musculoskeletal examination is within normal limits. I have not been able to identify any specific, accident-related, orthopaedic impairment, injury or disability.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my opinion that Ms. Dale sustained simple soft tissue strains as a result of these accidents. These would normally be expected to recover in timeframes of six to perhaps twelve weeks given normal biologic healing parameters. </w:t>
      </w:r>
      <w:r>
        <w:rPr>
          <w:rFonts w:ascii="arial" w:eastAsia="arial" w:hAnsi="arial" w:cs="arial"/>
          <w:color w:val="000000"/>
          <w:sz w:val="20"/>
          <w:u w:val="single"/>
          <w:lang w:val="en-US" w:eastAsia="en-US" w:bidi="ar-SA"/>
        </w:rPr>
        <w:t>I have not been provided with any evidence of any significant pathology or residual musculoskeletal impairment. Ms. Dale's subjective complaints are not consistent with lack of objective findings</w:t>
      </w:r>
      <w:r>
        <w:rPr>
          <w:rFonts w:ascii="arial" w:eastAsia="arial" w:hAnsi="arial" w:cs="arial"/>
          <w:color w:val="000000"/>
          <w:sz w:val="20"/>
          <w:lang w:val="en-US" w:eastAsia="en-US" w:bidi="ar-SA"/>
        </w:rPr>
        <w:t>. I do not suspect any underlying pathology that requires further medical investigation or consultation with other specialists. There are no medical restrictions for her circumstances for all activities including activities of daily living, self-care, household chores and vocational responsibilities...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Dr. Marks diagnoses Ms. Dale with cervical, thoracic and lumbar strain. He identifies her prognosis as excellent for full recovery "in timeframes as detailed above" without any "residual issue or sequelae anticipated", based on the six to 12 week time frame for what he refers to as the normal biologic healing of soft tissue injuries. Not surprisingly, he also expresses the view that Ms. Dale's ability to work has not been affected and no additional treatment or therapy is indicated, writing: "[i]t is my opinion that any further formal therapy might serve only to reinforce a perception of disability and have no utility in altering outcome."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Although Dr. Marks provides opinions about the plaintiff's injuries in relation to all three accidents, the defendants chose not to provide him with any of Dr. Majeed's clinical records after July 15, 2016. He also received very few treatment records, and none for treatments Ms. Dale received after the second accident. The same is true regarding pharmacological and MSP records. In other words, he received no "evidence" regarding the progression or treatment of Ms. Dale's reported symptoms after the second and third accidents, the objective findings of Dr. Majeed and other treatment providers, or the medication that were prescribed to address those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His conclusion that Ms. Dale's subjective complaints are not consistent with the lack of objective findings is limited, therefore, to his own findings. Given Dr. Majeed's findings of tenderness and pain and restricted range of motion on several occasions, those of Dr. Chow regarding tenderness, restricted range of motion, hypertonicity and a taut band of muscle based on repeated measurements, and the observations of Ms. Dale's physiotherapist and massage therapist, I do not regard Dr. Marks' examination findings as probative. His opinions simply fail to account for Ms. Dale's ongoing and significant pain symptoms. In these circumstances and having found her credible, I give his opinions very little weight.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Ms. Dale asks me to find that, as a result of the indivisible injuries she sustained in all three accidents, she now suffers from a chronic pain condition with central and peripheral sensitization that includes chronic headaches, chronic neck, shoulder girdle and low back pain, psychological and cognitive issues, and sleeplessness. She also asks me to find that she suffers from chronic jaw pain due to the second accident and a concussion due to the first and third accidents. She submits that I should accept Dr. Chow's opinion that her pain condition will deteriorate over time. In the event I find the injuries she suffered in the first accident divisible, she suggests findings that she was "recovering to a very high degree", had minimal, if any, functional impairments by the time of the second accident, and the second and third accidents were the most severe in terms of causing her pain condition and ongoing functional impairments.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In contrast, the defendants dispute what they describe as Dr. Chow's mere suggestion that Ms. Dale has a pain condition involving central sensitization and his opinion she will deteriorate. They argue that by the time of the first accident, Ms. Dale's ongoing symptoms had become a chronic condition, divisible from the second accident and third accidents which temporarily exacerbated her neck and back pain, except for the onset of mild and largely resolved jaw discomfort caused by the second accident alone. More specifically, they suggest, by the spring of 2017, Ms. Dale had improved substantially from the second accident. She was feeling much less pain, finding work easier, and back to participating in competitive Ultimate. The defendants characterize her recovery from the third accident similarly. Relying on her intensive gym workouts four to five days per week, including two with a personal trainer, and arguing that any struggles she had or has in her new role as a legal assistant are unrelated to the exacerbations of her chronic pain, they state she again "bounced back" relatively quickly.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Before turning to consider the parties' arguments about divisibility and whether damages from the first accident are recoverable in light of the dismissal of the expired first claim, I will discuss and make findings about the nature, extent, and effect of Ms. Dale's injuries and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Having largely rejected Dr. Marks' opinion evidence, I am left to assess the opinion evidence of Drs. Majeed and Chow. The defendants attack the credibility of both, suggesting Dr. Majeed's opinions reflect an element of advocacy given her role as the family doctor, and Dr. Chow was not a straightforward witness. Ultimately, they challenge the notion that Ms. Dale's ongoing pain symptoms involve a chronic pain condition at all or one that is any worse than her condition at the time of the second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For the most part, although not entirely, I disagree. Regarding Dr. Chow's credibility, he was, as I have indicated, unresponsive during cross-examination when challenged about his opinion that Ms. Dale had nearly recovered before the second accident. Eventually, he did acknowledge this was not consistent with the clinical records. I am not persuaded that his resistance on this point undermines the integrity of his findings or his other opinions. Significantly, both his and Dr. Majeed's reports, as well as Dr. Majeed's clinical records, reflect a careful and detailed approach to examining Ms. Dale, as well as history-taking. Dr. Chow's findings, consistent with those of Dr. Majeed made earlier, are particularly probative given the objective measurements and repeated testing involved, which I therefore accept.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That does not mean, however, that I accept all of his opinions. Given the timing of the third accident, I put limited weight on his opinion that Ms. Dale's symptoms had plateaued by the time he saw her about five months later and his opinion that her condition will deteriorate over time, which he did not explain.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Although Dr. Majeed was similarly reluctant to agree Ms. Dale's condition was chronic before the second accident, I am satisfied her evidence was sincerely given. Rather than avoiding the truth, Dr. Majeed struck me as trying to be precise and attempting to convey, as accurately as possible, the complexity, uncertainty, and nuance involved in diagnosing and predicting outcomes related to soft tissue injuries that result in ongoing pain and other symptoms. Again, while I accept her clinical findings and much of her opinion evidence, I do not accept all of it. Most significantly, I am not persuaded by her diagnosis of concussion, noting that after the first accident she assessed only possible concussion syndrome.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Based on my assessment of the evidence I make the following findings.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The first accident caused injuries to the soft tissues in Ms. Dale's neck, back, and left shoulder blade areas. Those injuries resulted in significant, ongoing pain and discomfort worse on the left, headaches, and altered sensation into her left arm. She also experienced some anxiety related to driving. Due to her injuries, Ms. Dale was unable to work for two months. After returning to work at Best Buy, she took frequent breaks and sought help with tasks that involved reaching and heavy lifting due to her injuries. Her ongoing symptoms did not interfere with her ability to study in the fall of 2013 or 2014, but they did prevent her from returning to high intensity activities such as Ultimate until in or about 2015. Ms. Dale's neck and back symptoms, as well as her headaches, increased after starting at the law firm in July 2015, due to the prolonged sitting and other tasks, such as writing and typing. Ms. Dale was well enough, however, to work full-time at the law firm and part-time at The Body Shop.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Although Ms. Dale felt as though she was getting back to the way she was before the first accident when the second accident occurred, and she certainly had in terms of functioning, in late April and May 2016 she was experiencing daily, but variable, neck and shoulder blade pain. She also had intermittent pain in her lower back with prolonged standing or sitting, headaches sometimes, as well as some anxiety when being driven in a car. After she resumed physical therapies in April or May 2016, the overall pain intensity reduced by mid-June 2016. In other words, although her pain symptoms were chronic, they responded, and responded quickly, to additional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Despite her ongoing symptoms, Ms. Dale was and had been participating fully, for some time, in Ultimate. In June 2016, she completed a difficult hike. She was also working out at the gym regularly. Ms. Dale was performing very well at work. From the outset of her job at the law firm, her only limitation was prolonged sitting which she dealt with by moving around and stretching for a few minutes. Only occasionally did she find it necessary to take an Advil or Tylenol for pain or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The second accident reinjured the soft tissues in Ms. Dale's neck, shoulder blade and back, significantly aggravating her pain symptoms and headaches and increasing the sensory symptoms in her left arm and hand. The second accident also caused jaw pain and worsened Ms. Dale's anxiety symptoms related to driving. I accept that she found it more difficult to sit at her desk and concentrate because of "really bad" headaches and much worse pain which required daily pain medication.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By the late spring of 2017, Ms. Dale was feeling much better. Although she still had constant pain, her symptoms had lessened considerably. She returned to playing Ultimate, but did not participate fully out of fear of hurting herself. She also had to stretch after each game, at work, and at home more often using a foam roller and tennis balls. Again, Ms. Dale was well enough to take on a second job from October to December 2017.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Based on Dr. Majeed's records, however, I also find that shortly before the third accident, in late December 2017, Ms. Dale was experiencing increased headaches; more pain in cold weather; ongoing pain in her neck and shoulders; pain in her low back with prolonged standing and walking; and an aching jaw, worse on the left. Her anxiety, which had been much improved, reoccurred in relation to driving at night in the rain.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Like the second accident, the third accident again injured the soft tissues in Ms. Dale's neck and back, causing a more severe aggravation of her physical symptoms, and significant emotional distress. Initially, Dr. Majeed prescribed Vimovo for pain and other medications for muscle spasm and anxiety. She replaced Vimovo with Tramacet, closer to an opioid, for pain and sleep management. She also recommended supplements to help with soft tissue pain. In May 2018, Dr. Majeed prescribed an anti-depressant for Ms. Dale that can be helpful with chronic pain. By the time of the trial, Ms. Dale was still taking Lyrica and naproxen as often as twice a day due to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I accept that since the third accident, although there has been some improvement, Ms. Dale's pain symptoms have remained more severe than they were before the second and third accidents. Her psychological symptoms have also been worse; her mood has certainly deteriorated. Working in significant pain and discomfort, she struggles to concentrate far more than before, making her much less efficient. No longer outgoing and upbeat with co-workers, instead she keeps to herself. She needs help lifting and carrying heavy binders. I have no doubt the loss of her Ergotron and the ability to take breaks as needed along with a new and much more demanding job has also made it difficult for her to manage her physical and psychological or emotional symptoms. Just as they did after the first and second accidents, exercise and physical treatment continue to provide temporary relief.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Given the number of times the same soft tissues have been injured; Ms. Dale's constellation of ongoing symptoms despite physical therapy and a high level of physical activity; the objective findings; her amplified and altered pain response; her distress; and the opinion evidence of Drs. Chow and Majeed, I am satisfied that Ms. Dale now suffers from a chronic pain condition. This condition involves chronic headaches; chronic neck and back pain; some psychological and cognitive issues, namely anxiety and poor concentration; as well as disrupted sleep. Although I also accept that she is unlikely to ever fully recover, given the timing of the third accident and the trial, and the trajectory of improvement over time following the first and second accidents, there is, in my view, a realistic and substantial possibility Ms. Dale's condition will further improve. By this I mean there is a chance the intensity and frequency of her symptoms will reduce and over time become less intrusive and or more easily managed.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Legal Principles Regarding Causation and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The parties' dispute over the divisibility of Ms. Dale's injuries and her entitlement to damages from the first accident engages a number of well-established principles of tort law regarding causation and damages. In addition, there is the critical question of what effect the expired limitation period and the order dismissing the first action and Ms. Dale's "cross-application" have on the application of some of those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xml:space="preserve">  The distinction between indivisible and divisible injuries flows from principles regarding factual causation. Those principles and the distinction itself were discussed and clarified, most significantly, in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505"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(paras. 13-17). In summary, the plaintiff must prove on a balance of probabilities that the defendant's negligent act or omission was a, not the sole, cause of the injury and loss. The basic test for cause in fact is the "but for" test, which requires the plaintiff to show the injury and loss would not have occurred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Indivisible and divisible injuries are those with multiple causes that can and cannot be separated (paras. 13-15). Where a plaintiff's damage is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two or more other persons, each defendant is separately liable for a divisible injury he or she has caused, and joint and severally liable for an indivisible injury he or she and others have caused: </w:t>
      </w:r>
      <w:r>
        <w:rPr>
          <w:rFonts w:ascii="arial" w:eastAsia="arial" w:hAnsi="arial" w:cs="arial"/>
          <w:i/>
          <w:color w:val="000000"/>
          <w:sz w:val="20"/>
          <w:lang w:val="en-US" w:eastAsia="en-US" w:bidi="ar-SA"/>
        </w:rPr>
        <w:t>Schnurr v. Insurance Corporation of British Columbia</w:t>
      </w:r>
      <w:r>
        <w:rPr>
          <w:rFonts w:ascii="arial" w:eastAsia="arial" w:hAnsi="arial" w:cs="arial"/>
          <w:color w:val="000000"/>
          <w:sz w:val="20"/>
          <w:lang w:val="en-US" w:eastAsia="en-US" w:bidi="ar-SA"/>
        </w:rPr>
        <w:t xml:space="preserve">, </w:t>
      </w:r>
      <w:hyperlink r:id="rId616" w:history="1">
        <w:r>
          <w:rPr>
            <w:rFonts w:ascii="arial" w:eastAsia="arial" w:hAnsi="arial" w:cs="arial"/>
            <w:i/>
            <w:color w:val="0077CC"/>
            <w:sz w:val="20"/>
            <w:u w:val="single"/>
            <w:shd w:val="clear" w:color="auto" w:fill="FFFFFF"/>
            <w:lang w:val="en-US" w:eastAsia="en-US" w:bidi="ar-SA"/>
          </w:rPr>
          <w:t>2015 BCSC 1630</w:t>
        </w:r>
      </w:hyperlink>
      <w:r>
        <w:rPr>
          <w:rFonts w:ascii="arial" w:eastAsia="arial" w:hAnsi="arial" w:cs="arial"/>
          <w:color w:val="000000"/>
          <w:sz w:val="20"/>
          <w:lang w:val="en-US" w:eastAsia="en-US" w:bidi="ar-SA"/>
        </w:rPr>
        <w:t xml:space="preserve"> at para. 156. Apportionment between tortious and non-tortious causes is not permitted, allowing as it would a defendant to escape "full liability" even though he or she caused (or contributed) to the plaintiff's "entire injuries"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23). A tortfeasor will also be liable for the plaintiff's injuries even if they are more severe than they might otherwise have been due to a pre-existing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xml:space="preserve">  This last point leads to the most fundamental principle of damages, also reiterated in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which is the plaintiff must be returned through compensation to her original position at para. 32: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essential purpose and most basic principle of tort law is that the plaintiff must be placed in the position he or she would have been in absent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original position"). However, the plaintiff is not to be placed in a position </w:t>
      </w:r>
      <w:r>
        <w:rPr>
          <w:rFonts w:ascii="arial" w:eastAsia="arial" w:hAnsi="arial" w:cs="arial"/>
          <w:color w:val="000000"/>
          <w:sz w:val="20"/>
          <w:u w:val="single"/>
          <w:lang w:val="en-US" w:eastAsia="en-US" w:bidi="ar-SA"/>
        </w:rPr>
        <w:t>better</w:t>
      </w:r>
      <w:r>
        <w:rPr>
          <w:rFonts w:ascii="arial" w:eastAsia="arial" w:hAnsi="arial" w:cs="arial"/>
          <w:color w:val="000000"/>
          <w:sz w:val="20"/>
          <w:lang w:val="en-US" w:eastAsia="en-US" w:bidi="ar-SA"/>
        </w:rPr>
        <w:t xml:space="preserve"> than his or her original one. It is therefore necessary not only to determine the plaintiff's position after the tort but also to assess what the "original position" would have been. It is the difference between these positions, the "original position" and the "injured position", which is the plaintiff's loss...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the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Both causation and damages principles play a role in the so-called "thin skull" and "crumbling skull" rules. The thin skull rule provides a tortfeasor will be liable for the plaintiff's injuries even if they are more severe than expected due to a pre-existing condition. The crumbling skull rule recognizes the defendant is not required to compensate the plaintiff for the detrimental effects of a pre-existing condition that would have been experienced anyway. Similarly, if there is a measureable risk the pre-existing condition would have detrimentally affected the plaintiff in the future in any event, this will be taken into account in reducing the overall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Blackwater v. Plint</w:t>
      </w:r>
      <w:r>
        <w:rPr>
          <w:rFonts w:ascii="arial" w:eastAsia="arial" w:hAnsi="arial" w:cs="arial"/>
          <w:color w:val="000000"/>
          <w:sz w:val="20"/>
          <w:lang w:val="en-US" w:eastAsia="en-US" w:bidi="ar-SA"/>
        </w:rPr>
        <w:t xml:space="preserve">, </w:t>
      </w:r>
      <w:hyperlink r:id="rId506" w:history="1">
        <w:r>
          <w:rPr>
            <w:rFonts w:ascii="arial" w:eastAsia="arial" w:hAnsi="arial" w:cs="arial"/>
            <w:i/>
            <w:color w:val="0077CC"/>
            <w:sz w:val="20"/>
            <w:u w:val="single"/>
            <w:shd w:val="clear" w:color="auto" w:fill="FFFFFF"/>
            <w:lang w:val="en-US" w:eastAsia="en-US" w:bidi="ar-SA"/>
          </w:rPr>
          <w:t>2005 SCC 58</w:t>
        </w:r>
      </w:hyperlink>
      <w:r>
        <w:rPr>
          <w:rFonts w:ascii="arial" w:eastAsia="arial" w:hAnsi="arial" w:cs="arial"/>
          <w:color w:val="000000"/>
          <w:sz w:val="20"/>
          <w:lang w:val="en-US" w:eastAsia="en-US" w:bidi="ar-SA"/>
        </w:rPr>
        <w:t xml:space="preserve"> distinguished causation and damage assessment principles at para. 78: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important to distinguish between causation as the source of the loss and the rules of damage assessment in tort. The rules of causation consider generally whether "but for" the defendant's acts, the plaintiff's damages would have been incurred on a balance of probabilities. Even though there may be several tortious and non-tortious causes of injury, so long as the defendant's act is a cause of the plaintiff's damage, the defendant is fully liable for that damage. The rules of damages then consider what the original position of the plaintiff would have been...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Moore v. Kyba</w:t>
      </w:r>
      <w:r>
        <w:rPr>
          <w:rFonts w:ascii="arial" w:eastAsia="arial" w:hAnsi="arial" w:cs="arial"/>
          <w:color w:val="000000"/>
          <w:sz w:val="20"/>
          <w:lang w:val="en-US" w:eastAsia="en-US" w:bidi="ar-SA"/>
        </w:rPr>
        <w:t xml:space="preserve">, </w:t>
      </w:r>
      <w:hyperlink r:id="rId617" w:history="1">
        <w:r>
          <w:rPr>
            <w:rFonts w:ascii="arial" w:eastAsia="arial" w:hAnsi="arial" w:cs="arial"/>
            <w:i/>
            <w:color w:val="0077CC"/>
            <w:sz w:val="20"/>
            <w:u w:val="single"/>
            <w:shd w:val="clear" w:color="auto" w:fill="FFFFFF"/>
            <w:lang w:val="en-US" w:eastAsia="en-US" w:bidi="ar-SA"/>
          </w:rPr>
          <w:t>2012 BCCA 361</w:t>
        </w:r>
      </w:hyperlink>
      <w:r>
        <w:rPr>
          <w:rFonts w:ascii="arial" w:eastAsia="arial" w:hAnsi="arial" w:cs="arial"/>
          <w:color w:val="000000"/>
          <w:sz w:val="20"/>
          <w:lang w:val="en-US" w:eastAsia="en-US" w:bidi="ar-SA"/>
        </w:rPr>
        <w:t>, Justice Levine observed the concept of divisible and indivisible injury as relevant to both the analysis of causation and the assessment of damages (paras. 36 and 37).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xml:space="preserve">  All of the parties rely upon </w:t>
      </w:r>
      <w:r>
        <w:rPr>
          <w:rFonts w:ascii="arial" w:eastAsia="arial" w:hAnsi="arial" w:cs="arial"/>
          <w:i/>
          <w:color w:val="000000"/>
          <w:sz w:val="20"/>
          <w:lang w:val="en-US" w:eastAsia="en-US" w:bidi="ar-SA"/>
        </w:rPr>
        <w:t>Bradley v. Groves</w:t>
      </w:r>
      <w:r>
        <w:rPr>
          <w:rFonts w:ascii="arial" w:eastAsia="arial" w:hAnsi="arial" w:cs="arial"/>
          <w:color w:val="000000"/>
          <w:sz w:val="20"/>
          <w:lang w:val="en-US" w:eastAsia="en-US" w:bidi="ar-SA"/>
        </w:rPr>
        <w:t xml:space="preserve">, </w:t>
      </w:r>
      <w:hyperlink r:id="rId618" w:history="1">
        <w:r>
          <w:rPr>
            <w:rFonts w:ascii="arial" w:eastAsia="arial" w:hAnsi="arial" w:cs="arial"/>
            <w:i/>
            <w:color w:val="0077CC"/>
            <w:sz w:val="20"/>
            <w:u w:val="single"/>
            <w:shd w:val="clear" w:color="auto" w:fill="FFFFFF"/>
            <w:lang w:val="en-US" w:eastAsia="en-US" w:bidi="ar-SA"/>
          </w:rPr>
          <w:t>2010 BCCA 361</w:t>
        </w:r>
      </w:hyperlink>
      <w:r>
        <w:rPr>
          <w:rFonts w:ascii="arial" w:eastAsia="arial" w:hAnsi="arial" w:cs="arial"/>
          <w:color w:val="000000"/>
          <w:sz w:val="20"/>
          <w:lang w:val="en-US" w:eastAsia="en-US" w:bidi="ar-SA"/>
        </w:rPr>
        <w:t xml:space="preserve"> for its discussion of the distinction between divisible and indivisible injures: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[20] ... Divisible injuries are those capable of being separated out and having their damages assessed independently. Indivisible injuries are those that cannot be separated or have liability attributed to the constituent causes...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Bradley</w:t>
      </w:r>
      <w:r>
        <w:rPr>
          <w:rFonts w:ascii="arial" w:eastAsia="arial" w:hAnsi="arial" w:cs="arial"/>
          <w:color w:val="000000"/>
          <w:sz w:val="20"/>
          <w:lang w:val="en-US" w:eastAsia="en-US" w:bidi="ar-SA"/>
        </w:rPr>
        <w:t xml:space="preserve"> considered the question of aggravation: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[37] We are also unable to accept the appellant's submission that "aggravation" and "indivisibility" are qualitatively different, and require different legal approaches. If a trial judge finds on the facts of a particular case that subsequent tortious action has merged with prior tortious action to create an injury that is not attributable to one particular tortfeasor, then a finding of indivisibility is inevitable. That one tort made worse what another tort created does not automatically implicate a thin or crumbling skull approach (as in </w:t>
      </w:r>
      <w:r>
        <w:rPr>
          <w:rFonts w:ascii="arial" w:eastAsia="arial" w:hAnsi="arial" w:cs="arial"/>
          <w:i/>
          <w:color w:val="000000"/>
          <w:sz w:val="20"/>
          <w:lang w:val="en-US" w:eastAsia="en-US" w:bidi="ar-SA"/>
        </w:rPr>
        <w:t>Blackwater</w:t>
      </w:r>
      <w:r>
        <w:rPr>
          <w:rFonts w:ascii="arial" w:eastAsia="arial" w:hAnsi="arial" w:cs="arial"/>
          <w:color w:val="000000"/>
          <w:sz w:val="20"/>
          <w:lang w:val="en-US" w:eastAsia="en-US" w:bidi="ar-SA"/>
        </w:rPr>
        <w:t xml:space="preserve">), if the injuries cannot be distinguished from one another on the facts. Those doctrines deal with finding the plaintiff's original position, not with apportioning liability. The first accident remains a cause of the entire indivisible injury suffered by the plaintiff under the "but for" approach to causation endorsed by the Supreme Court of Canada in </w:t>
      </w:r>
      <w:r>
        <w:rPr>
          <w:rFonts w:ascii="arial" w:eastAsia="arial" w:hAnsi="arial" w:cs="arial"/>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504" w:history="1">
        <w:r>
          <w:rPr>
            <w:rFonts w:ascii="arial" w:eastAsia="arial" w:hAnsi="arial" w:cs="arial"/>
            <w:i/>
            <w:color w:val="0077CC"/>
            <w:sz w:val="20"/>
            <w:u w:val="single"/>
            <w:shd w:val="clear" w:color="auto" w:fill="FFFFFF"/>
            <w:lang w:val="en-US" w:eastAsia="en-US" w:bidi="ar-SA"/>
          </w:rPr>
          <w:t>2007 SCC 7</w:t>
        </w:r>
      </w:hyperlink>
      <w:r>
        <w:rPr>
          <w:rFonts w:ascii="arial" w:eastAsia="arial" w:hAnsi="arial" w:cs="arial"/>
          <w:color w:val="000000"/>
          <w:sz w:val="20"/>
          <w:lang w:val="en-US" w:eastAsia="en-US" w:bidi="ar-SA"/>
        </w:rPr>
        <w:t xml:space="preserve">... As noted by McLachlin C.J.C. in that case, showing that there are multiple causes for an injury will not excuse any particular tortfeasor found to have caused an injury on a "but-for" test, as "there is more than one potential cause in virtually all litigated cases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(at para. 19). It may be that in some cases, earlier injury and later injury to the same region of the body are divisible. While it will lie for the trial judge to decide in the circumstances of each case, it is difficult to see how the worsening of a single injury could be divided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Estable v. New</w:t>
      </w:r>
      <w:r>
        <w:rPr>
          <w:rFonts w:ascii="arial" w:eastAsia="arial" w:hAnsi="arial" w:cs="arial"/>
          <w:color w:val="000000"/>
          <w:sz w:val="20"/>
          <w:lang w:val="en-US" w:eastAsia="en-US" w:bidi="ar-SA"/>
        </w:rPr>
        <w:t xml:space="preserve">, </w:t>
      </w:r>
      <w:hyperlink r:id="rId619" w:history="1">
        <w:r>
          <w:rPr>
            <w:rFonts w:ascii="arial" w:eastAsia="arial" w:hAnsi="arial" w:cs="arial"/>
            <w:i/>
            <w:color w:val="0077CC"/>
            <w:sz w:val="20"/>
            <w:u w:val="single"/>
            <w:shd w:val="clear" w:color="auto" w:fill="FFFFFF"/>
            <w:lang w:val="en-US" w:eastAsia="en-US" w:bidi="ar-SA"/>
          </w:rPr>
          <w:t>2011 BCSC 1556</w:t>
        </w:r>
      </w:hyperlink>
      <w:r>
        <w:rPr>
          <w:rFonts w:ascii="arial" w:eastAsia="arial" w:hAnsi="arial" w:cs="arial"/>
          <w:color w:val="000000"/>
          <w:sz w:val="20"/>
          <w:lang w:val="en-US" w:eastAsia="en-US" w:bidi="ar-SA"/>
        </w:rPr>
        <w:t xml:space="preserve">, Justice Gropper summarised indivisible injuries as those that cannot be separated, "such as aggravation or exacerbation of an earlier injury, an injury to the same area of the body, or global symptoms that are impossible to separate", citing </w:t>
      </w:r>
      <w:r>
        <w:rPr>
          <w:rFonts w:ascii="arial" w:eastAsia="arial" w:hAnsi="arial" w:cs="arial"/>
          <w:i/>
          <w:color w:val="000000"/>
          <w:sz w:val="20"/>
          <w:lang w:val="en-US" w:eastAsia="en-US" w:bidi="ar-SA"/>
        </w:rPr>
        <w:t>Bradley</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(para. 55).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xml:space="preserve">  In arguing Ms. Dale's injuries from the first accident are divisible, the defendants relied upon </w:t>
      </w:r>
      <w:r>
        <w:rPr>
          <w:rFonts w:ascii="arial" w:eastAsia="arial" w:hAnsi="arial" w:cs="arial"/>
          <w:i/>
          <w:color w:val="000000"/>
          <w:sz w:val="20"/>
          <w:lang w:val="en-US" w:eastAsia="en-US" w:bidi="ar-SA"/>
        </w:rPr>
        <w:t>Schnurr</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Deol v. Sheikh</w:t>
      </w:r>
      <w:r>
        <w:rPr>
          <w:rFonts w:ascii="arial" w:eastAsia="arial" w:hAnsi="arial" w:cs="arial"/>
          <w:color w:val="000000"/>
          <w:sz w:val="20"/>
          <w:lang w:val="en-US" w:eastAsia="en-US" w:bidi="ar-SA"/>
        </w:rPr>
        <w:t xml:space="preserve">, </w:t>
      </w:r>
      <w:hyperlink r:id="rId620" w:history="1">
        <w:r>
          <w:rPr>
            <w:rFonts w:ascii="arial" w:eastAsia="arial" w:hAnsi="arial" w:cs="arial"/>
            <w:i/>
            <w:color w:val="0077CC"/>
            <w:sz w:val="20"/>
            <w:u w:val="single"/>
            <w:shd w:val="clear" w:color="auto" w:fill="FFFFFF"/>
            <w:lang w:val="en-US" w:eastAsia="en-US" w:bidi="ar-SA"/>
          </w:rPr>
          <w:t>2016 BCSC 2404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Schnurr</w:t>
      </w:r>
      <w:r>
        <w:rPr>
          <w:rFonts w:ascii="arial" w:eastAsia="arial" w:hAnsi="arial" w:cs="arial"/>
          <w:color w:val="000000"/>
          <w:sz w:val="20"/>
          <w:lang w:val="en-US" w:eastAsia="en-US" w:bidi="ar-SA"/>
        </w:rPr>
        <w:t xml:space="preserve">, Justice Skolrood distinguished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Bradley</w:t>
      </w:r>
      <w:r>
        <w:rPr>
          <w:rFonts w:ascii="arial" w:eastAsia="arial" w:hAnsi="arial" w:cs="arial"/>
          <w:color w:val="000000"/>
          <w:sz w:val="20"/>
          <w:lang w:val="en-US" w:eastAsia="en-US" w:bidi="ar-SA"/>
        </w:rPr>
        <w:t xml:space="preserve"> and found the plaintiff's chronic condition, resulting from three previous accidents, to be divisible from exacerbations caused by three subsequent accidents in 2007, 2010 and 2012. In doing so, he noted the plaintiff had provided minimal evidence regarding the first three accidents or the terms of a settlement reached shortly before the 2007 accident, preventing determinations of liability. At the same time, there was substantial medical evidence from prior to the settlement, making it possible to assess the plaintiff's original position at the time of the 2007 accident, even though some of her complaints from the three subject accidents related to injuries sustained in the previous accidents. Based on the medical evidence, Skolrood J. made a finding the plaintiff's condition had become chronic, meaning several of her "afflictions" had "been in effect for years" and was likely to be ongoing, long-term. He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[169] ...Significantly, the evidence does not indicate that Ms. Schnurr's condition was unstable or significantly improving, or that there was a realistic chance that she would begin a new program or treatment or experience some other change of circumstances that would affect her injuries or chance of recovery.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[170] In short, by October 2007 Ms. Schnurr's condition had plateaued. The afflictions she complained of prior to that point were no longer a series of ongoing injuries, but rather chronic conditions. To use the terminology of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the chain of events caused by the first three accidents had 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Schnurr</w:t>
      </w:r>
      <w:r>
        <w:rPr>
          <w:rFonts w:ascii="arial" w:eastAsia="arial" w:hAnsi="arial" w:cs="arial"/>
          <w:color w:val="000000"/>
          <w:sz w:val="20"/>
          <w:lang w:val="en-US" w:eastAsia="en-US" w:bidi="ar-SA"/>
        </w:rPr>
        <w:t xml:space="preserve"> was applied in </w:t>
      </w:r>
      <w:r>
        <w:rPr>
          <w:rFonts w:ascii="arial" w:eastAsia="arial" w:hAnsi="arial" w:cs="arial"/>
          <w:i/>
          <w:color w:val="000000"/>
          <w:sz w:val="20"/>
          <w:lang w:val="en-US" w:eastAsia="en-US" w:bidi="ar-SA"/>
        </w:rPr>
        <w:t>Deol</w:t>
      </w:r>
      <w:r>
        <w:rPr>
          <w:rFonts w:ascii="arial" w:eastAsia="arial" w:hAnsi="arial" w:cs="arial"/>
          <w:color w:val="000000"/>
          <w:sz w:val="20"/>
          <w:lang w:val="en-US" w:eastAsia="en-US" w:bidi="ar-SA"/>
        </w:rPr>
        <w:t>. Justice Griffin also found the plaintiff's pre-existing condition, caused by a previous accident in 2006, to be divisible from exacerbations caused by the subject accident in 2012, based on "abundant" evidence establishing the plaintiff developed a chronic pain condition after the first accident that was relatively stable with the possibility of flare ups six years later. At paras. 155 and following she explained: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[155] ...We therefore know the original position she would have been in, had the 2012 Accident not occurred.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[156] It is important to note that the 2012 Accident did not tip the scales from one condition to another. It was not the cumulative effect of the 2012 Accident and the 2006 Accident that caused Ms. Deol to develop a chronic pain condition. Rather, she had a serious condition before the 2012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[157] The language in </w:t>
      </w:r>
      <w:r>
        <w:rPr>
          <w:rFonts w:ascii="arial" w:eastAsia="arial" w:hAnsi="arial" w:cs="arial"/>
          <w:i/>
          <w:color w:val="000000"/>
          <w:sz w:val="20"/>
          <w:lang w:val="en-US" w:eastAsia="en-US" w:bidi="ar-SA"/>
        </w:rPr>
        <w:t>Ashcroft</w:t>
      </w:r>
      <w:r>
        <w:rPr>
          <w:rFonts w:ascii="arial" w:eastAsia="arial" w:hAnsi="arial" w:cs="arial"/>
          <w:color w:val="000000"/>
          <w:sz w:val="20"/>
          <w:lang w:val="en-US" w:eastAsia="en-US" w:bidi="ar-SA"/>
        </w:rPr>
        <w:t xml:space="preserve"> refers to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both the settling defendant and the respondent tortfeasor as being "necessary causes" of the injury. Again, the 2012 Accident did not cause the chronic pain condition. That condition pre-existed and was going to continue regardless of the 2012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xml:space="preserve">  In support of their alternative position, that Ms. Dale is not entitled to damages from the first accident regardless of the nature of her injuries, the defendants rely upon </w:t>
      </w:r>
      <w:r>
        <w:rPr>
          <w:rFonts w:ascii="arial" w:eastAsia="arial" w:hAnsi="arial" w:cs="arial"/>
          <w:i/>
          <w:color w:val="000000"/>
          <w:sz w:val="20"/>
          <w:lang w:val="en-US" w:eastAsia="en-US" w:bidi="ar-SA"/>
        </w:rPr>
        <w:t>Pinch v. Hofstee</w:t>
      </w:r>
      <w:r>
        <w:rPr>
          <w:rFonts w:ascii="arial" w:eastAsia="arial" w:hAnsi="arial" w:cs="arial"/>
          <w:color w:val="000000"/>
          <w:sz w:val="20"/>
          <w:lang w:val="en-US" w:eastAsia="en-US" w:bidi="ar-SA"/>
        </w:rPr>
        <w:t xml:space="preserve">, </w:t>
      </w:r>
      <w:hyperlink r:id="rId621" w:history="1">
        <w:r>
          <w:rPr>
            <w:rFonts w:ascii="arial" w:eastAsia="arial" w:hAnsi="arial" w:cs="arial"/>
            <w:i/>
            <w:color w:val="0077CC"/>
            <w:sz w:val="20"/>
            <w:u w:val="single"/>
            <w:shd w:val="clear" w:color="auto" w:fill="FFFFFF"/>
            <w:lang w:val="en-US" w:eastAsia="en-US" w:bidi="ar-SA"/>
          </w:rPr>
          <w:t>2015 BCSC 1888</w:t>
        </w:r>
      </w:hyperlink>
      <w:r>
        <w:rPr>
          <w:rFonts w:ascii="arial" w:eastAsia="arial" w:hAnsi="arial" w:cs="arial"/>
          <w:color w:val="000000"/>
          <w:sz w:val="20"/>
          <w:lang w:val="en-US" w:eastAsia="en-US" w:bidi="ar-SA"/>
        </w:rPr>
        <w:t xml:space="preserve">. In that case no damages were awarded for injuries resulting from a second accident although the plaintiff's injuries from the first and second accidents were found to be indivisible. Justice Burnyeat determined any claim from the second accident was barred by s. 10 of the </w:t>
      </w:r>
      <w:r>
        <w:rPr>
          <w:rFonts w:ascii="arial" w:eastAsia="arial" w:hAnsi="arial" w:cs="arial"/>
          <w:i/>
          <w:color w:val="000000"/>
          <w:sz w:val="20"/>
          <w:lang w:val="en-US" w:eastAsia="en-US" w:bidi="ar-SA"/>
        </w:rPr>
        <w:t>Workers Compensation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492</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WCA</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[60] I conclude that the Legislature has made it clear that the principles set out in </w:t>
      </w:r>
      <w:r>
        <w:rPr>
          <w:rFonts w:ascii="arial" w:eastAsia="arial" w:hAnsi="arial" w:cs="arial"/>
          <w:i/>
          <w:color w:val="000000"/>
          <w:sz w:val="20"/>
          <w:lang w:val="en-US" w:eastAsia="en-US" w:bidi="ar-SA"/>
        </w:rPr>
        <w:t>Bradley, supra</w:t>
      </w:r>
      <w:r>
        <w:rPr>
          <w:rFonts w:ascii="arial" w:eastAsia="arial" w:hAnsi="arial" w:cs="arial"/>
          <w:color w:val="000000"/>
          <w:sz w:val="20"/>
          <w:lang w:val="en-US" w:eastAsia="en-US" w:bidi="ar-SA"/>
        </w:rPr>
        <w:t xml:space="preserve">, do not apply where there is a statutory bar to recovery of what may be found to be indivisible damages. Section 10(1)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is but one example of the inability to recover indivisible damages arising out of a separate breach of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xml:space="preserve">  Continuing at para. 60, in </w:t>
      </w:r>
      <w:r>
        <w:rPr>
          <w:rFonts w:ascii="arial" w:eastAsia="arial" w:hAnsi="arial" w:cs="arial"/>
          <w:i/>
          <w:color w:val="000000"/>
          <w:sz w:val="20"/>
          <w:lang w:val="en-US" w:eastAsia="en-US" w:bidi="ar-SA"/>
        </w:rPr>
        <w:t>obiter</w:t>
      </w:r>
      <w:r>
        <w:rPr>
          <w:rFonts w:ascii="arial" w:eastAsia="arial" w:hAnsi="arial" w:cs="arial"/>
          <w:color w:val="000000"/>
          <w:sz w:val="20"/>
          <w:lang w:val="en-US" w:eastAsia="en-US" w:bidi="ar-SA"/>
        </w:rPr>
        <w:t>, Burnyeat J. also discussed the effect of an expired limitation period in relation to a previous tortious act: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further example might be illustrated by a situation whereby proceedings relating to a first tortious act were not commenced within the limitation period and a second tortious act occurred. In those circumstances, I cannot conclude that damages would be available where an action was not commenced relating to the first act, a subsequent act caused injuries which were found to be indivisible from the first act, and a claim was advanced against the second tortfeasor for damages for the injuries caused both by the first and the second tortious acts. Just as a claim for damages for the second tortious act could not "give life to" recovery of damages for a first act where a limitation period has expired so also s. 10(1)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has taken away "any right and rights of action" available to Mr. Pinch and any recoverable "damages, contributions or indemnity" that might have been available to Mr. Pinch as result of MVA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I note that in dismissing Ms. Dale's claim in the first action based on the expired limitation period, Justice Kelleher agreed with this reasoning.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Griffioen v. Arnold</w:t>
      </w:r>
      <w:r>
        <w:rPr>
          <w:rFonts w:ascii="arial" w:eastAsia="arial" w:hAnsi="arial" w:cs="arial"/>
          <w:color w:val="000000"/>
          <w:sz w:val="20"/>
          <w:lang w:val="en-US" w:eastAsia="en-US" w:bidi="ar-SA"/>
        </w:rPr>
        <w:t xml:space="preserve">, </w:t>
      </w:r>
      <w:hyperlink r:id="rId622" w:history="1">
        <w:r>
          <w:rPr>
            <w:rFonts w:ascii="arial" w:eastAsia="arial" w:hAnsi="arial" w:cs="arial"/>
            <w:i/>
            <w:color w:val="0077CC"/>
            <w:sz w:val="20"/>
            <w:u w:val="single"/>
            <w:shd w:val="clear" w:color="auto" w:fill="FFFFFF"/>
            <w:lang w:val="en-US" w:eastAsia="en-US" w:bidi="ar-SA"/>
          </w:rPr>
          <w:t>2017 BCSC 490</w:t>
        </w:r>
      </w:hyperlink>
      <w:r>
        <w:rPr>
          <w:rFonts w:ascii="arial" w:eastAsia="arial" w:hAnsi="arial" w:cs="arial"/>
          <w:color w:val="000000"/>
          <w:sz w:val="20"/>
          <w:lang w:val="en-US" w:eastAsia="en-US" w:bidi="ar-SA"/>
        </w:rPr>
        <w:t xml:space="preserve"> (appeal allowed in part on different grounds </w:t>
      </w:r>
      <w:hyperlink r:id="rId623" w:history="1">
        <w:r>
          <w:rPr>
            <w:rFonts w:ascii="arial" w:eastAsia="arial" w:hAnsi="arial" w:cs="arial"/>
            <w:i/>
            <w:color w:val="0077CC"/>
            <w:sz w:val="20"/>
            <w:u w:val="single"/>
            <w:shd w:val="clear" w:color="auto" w:fill="FFFFFF"/>
            <w:lang w:val="en-US" w:eastAsia="en-US" w:bidi="ar-SA"/>
          </w:rPr>
          <w:t>2019 BCCA 83</w:t>
        </w:r>
      </w:hyperlink>
      <w:r>
        <w:rPr>
          <w:rFonts w:ascii="arial" w:eastAsia="arial" w:hAnsi="arial" w:cs="arial"/>
          <w:color w:val="000000"/>
          <w:sz w:val="20"/>
          <w:lang w:val="en-US" w:eastAsia="en-US" w:bidi="ar-SA"/>
        </w:rPr>
        <w:t xml:space="preserve">), however, </w:t>
      </w:r>
      <w:r>
        <w:rPr>
          <w:rFonts w:ascii="arial" w:eastAsia="arial" w:hAnsi="arial" w:cs="arial"/>
          <w:i/>
          <w:color w:val="000000"/>
          <w:sz w:val="20"/>
          <w:lang w:val="en-US" w:eastAsia="en-US" w:bidi="ar-SA"/>
        </w:rPr>
        <w:t>Pinch</w:t>
      </w:r>
      <w:r>
        <w:rPr>
          <w:rFonts w:ascii="arial" w:eastAsia="arial" w:hAnsi="arial" w:cs="arial"/>
          <w:color w:val="000000"/>
          <w:sz w:val="20"/>
          <w:lang w:val="en-US" w:eastAsia="en-US" w:bidi="ar-SA"/>
        </w:rPr>
        <w:t xml:space="preserve"> was distinguished. Significantly, the plaintiff brought an action for the first but not the second accident, allowing the limitation period to expire instead. Justice Bracken found the injuries from both accidents indivisible and refused to reduce the damages on account of the second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[122] I do not agree that the situation here is the same as where an action is statute-barred as in both </w:t>
      </w:r>
      <w:r>
        <w:rPr>
          <w:rFonts w:ascii="arial" w:eastAsia="arial" w:hAnsi="arial" w:cs="arial"/>
          <w:i/>
          <w:color w:val="000000"/>
          <w:sz w:val="20"/>
          <w:lang w:val="en-US" w:eastAsia="en-US" w:bidi="ar-SA"/>
        </w:rPr>
        <w:t>Pinch</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Sandhu</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[123] In both </w:t>
      </w:r>
      <w:r>
        <w:rPr>
          <w:rFonts w:ascii="arial" w:eastAsia="arial" w:hAnsi="arial" w:cs="arial"/>
          <w:i/>
          <w:color w:val="000000"/>
          <w:sz w:val="20"/>
          <w:lang w:val="en-US" w:eastAsia="en-US" w:bidi="ar-SA"/>
        </w:rPr>
        <w:t>Pinch</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Sandhu</w:t>
      </w:r>
      <w:r>
        <w:rPr>
          <w:rFonts w:ascii="arial" w:eastAsia="arial" w:hAnsi="arial" w:cs="arial"/>
          <w:color w:val="000000"/>
          <w:sz w:val="20"/>
          <w:lang w:val="en-US" w:eastAsia="en-US" w:bidi="ar-SA"/>
        </w:rPr>
        <w:t>, the plaintiffs were not simply beyond the time limit for commencing an action, but would be barred by statute from commencing an action even if they had done so within the statutory time limits.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The plaintiff's husband was one of the defendants in the action and the tortfeasor in the second accident. Justice Bracken remarked it was open to the defendants to commence a third party action when they became aware they may be liable for damages from the second accident, noting the time limits for a third party action "may not be the same" as for an action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xml:space="preserve">  Other cases have mentioned but not applied </w:t>
      </w:r>
      <w:r>
        <w:rPr>
          <w:rFonts w:ascii="arial" w:eastAsia="arial" w:hAnsi="arial" w:cs="arial"/>
          <w:i/>
          <w:color w:val="000000"/>
          <w:sz w:val="20"/>
          <w:lang w:val="en-US" w:eastAsia="en-US" w:bidi="ar-SA"/>
        </w:rPr>
        <w:t>Pinch</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Kallstrom v. Yip</w:t>
      </w:r>
      <w:r>
        <w:rPr>
          <w:rFonts w:ascii="arial" w:eastAsia="arial" w:hAnsi="arial" w:cs="arial"/>
          <w:color w:val="000000"/>
          <w:sz w:val="20"/>
          <w:lang w:val="en-US" w:eastAsia="en-US" w:bidi="ar-SA"/>
        </w:rPr>
        <w:t xml:space="preserve">, </w:t>
      </w:r>
      <w:hyperlink r:id="rId624" w:history="1">
        <w:r>
          <w:rPr>
            <w:rFonts w:ascii="arial" w:eastAsia="arial" w:hAnsi="arial" w:cs="arial"/>
            <w:i/>
            <w:color w:val="0077CC"/>
            <w:sz w:val="20"/>
            <w:u w:val="single"/>
            <w:shd w:val="clear" w:color="auto" w:fill="FFFFFF"/>
            <w:lang w:val="en-US" w:eastAsia="en-US" w:bidi="ar-SA"/>
          </w:rPr>
          <w:t>2016 BCSC 829</w:t>
        </w:r>
      </w:hyperlink>
      <w:r>
        <w:rPr>
          <w:rFonts w:ascii="arial" w:eastAsia="arial" w:hAnsi="arial" w:cs="arial"/>
          <w:color w:val="000000"/>
          <w:sz w:val="20"/>
          <w:lang w:val="en-US" w:eastAsia="en-US" w:bidi="ar-SA"/>
        </w:rPr>
        <w:t xml:space="preserve">, for example, the plaintiff suffered injuries in multiple accidents between 2001 and 2004 that were found to be indivisible. The defendants argued an amount should be deducted from the damage award based on subsequent workplace incidents. Justice Kent determined the "WCB defence" did not apply and expressed some ambivalence regarding </w:t>
      </w:r>
      <w:r>
        <w:rPr>
          <w:rFonts w:ascii="arial" w:eastAsia="arial" w:hAnsi="arial" w:cs="arial"/>
          <w:i/>
          <w:color w:val="000000"/>
          <w:sz w:val="20"/>
          <w:lang w:val="en-US" w:eastAsia="en-US" w:bidi="ar-SA"/>
        </w:rPr>
        <w:t>Pinch</w:t>
      </w:r>
      <w:r>
        <w:rPr>
          <w:rFonts w:ascii="arial" w:eastAsia="arial" w:hAnsi="arial" w:cs="arial"/>
          <w:color w:val="000000"/>
          <w:sz w:val="20"/>
          <w:lang w:val="en-US" w:eastAsia="en-US" w:bidi="ar-SA"/>
        </w:rPr>
        <w:t xml:space="preserve"> at para. 373: "[i]t was the subject matter of an appeal and cross-appeal, but the case was settled and thus no definitive ruling on this interesting (and highly debatable) point of law has yet to be made by the Court of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Pinch</w:t>
      </w:r>
      <w:r>
        <w:rPr>
          <w:rFonts w:ascii="arial" w:eastAsia="arial" w:hAnsi="arial" w:cs="arial"/>
          <w:color w:val="000000"/>
          <w:sz w:val="20"/>
          <w:lang w:val="en-US" w:eastAsia="en-US" w:bidi="ar-SA"/>
        </w:rPr>
        <w:t xml:space="preserve"> was also referred to in </w:t>
      </w:r>
      <w:r>
        <w:rPr>
          <w:rFonts w:ascii="arial" w:eastAsia="arial" w:hAnsi="arial" w:cs="arial"/>
          <w:i/>
          <w:color w:val="000000"/>
          <w:sz w:val="20"/>
          <w:lang w:val="en-US" w:eastAsia="en-US" w:bidi="ar-SA"/>
        </w:rPr>
        <w:t>Saadati v. Moorhead</w:t>
      </w:r>
      <w:r>
        <w:rPr>
          <w:rFonts w:ascii="arial" w:eastAsia="arial" w:hAnsi="arial" w:cs="arial"/>
          <w:color w:val="000000"/>
          <w:sz w:val="20"/>
          <w:lang w:val="en-US" w:eastAsia="en-US" w:bidi="ar-SA"/>
        </w:rPr>
        <w:t xml:space="preserve">, </w:t>
      </w:r>
      <w:hyperlink r:id="rId625" w:history="1">
        <w:r>
          <w:rPr>
            <w:rFonts w:ascii="arial" w:eastAsia="arial" w:hAnsi="arial" w:cs="arial"/>
            <w:i/>
            <w:color w:val="0077CC"/>
            <w:sz w:val="20"/>
            <w:u w:val="single"/>
            <w:shd w:val="clear" w:color="auto" w:fill="FFFFFF"/>
            <w:lang w:val="en-US" w:eastAsia="en-US" w:bidi="ar-SA"/>
          </w:rPr>
          <w:t>2017 SCC 28</w:t>
        </w:r>
      </w:hyperlink>
      <w:r>
        <w:rPr>
          <w:rFonts w:ascii="arial" w:eastAsia="arial" w:hAnsi="arial" w:cs="arial"/>
          <w:color w:val="000000"/>
          <w:sz w:val="20"/>
          <w:lang w:val="en-US" w:eastAsia="en-US" w:bidi="ar-SA"/>
        </w:rPr>
        <w:t xml:space="preserve">. There the plaintiff had been involved in five accidents and experienced chronic pain since the first. On appeal, the defendants challenged the trial judge's finding of indivisibility regarding psychological injuries caused by second accident and any injury caused by the third. During oral argument the defendants raised s. 10 of the </w:t>
      </w:r>
      <w:r>
        <w:rPr>
          <w:rFonts w:ascii="arial" w:eastAsia="arial" w:hAnsi="arial" w:cs="arial"/>
          <w:i/>
          <w:color w:val="000000"/>
          <w:sz w:val="20"/>
          <w:lang w:val="en-US" w:eastAsia="en-US" w:bidi="ar-SA"/>
        </w:rPr>
        <w:t>WCA</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Pinch</w:t>
      </w:r>
      <w:r>
        <w:rPr>
          <w:rFonts w:ascii="arial" w:eastAsia="arial" w:hAnsi="arial" w:cs="arial"/>
          <w:color w:val="000000"/>
          <w:sz w:val="20"/>
          <w:lang w:val="en-US" w:eastAsia="en-US" w:bidi="ar-SA"/>
        </w:rPr>
        <w:t xml:space="preserve"> for the first time. Justice Brown declined to determine the effect of the legislation on the "divisibility of injuries", expressly neither endorsing nor rejecting the reasoning in </w:t>
      </w:r>
      <w:r>
        <w:rPr>
          <w:rFonts w:ascii="arial" w:eastAsia="arial" w:hAnsi="arial" w:cs="arial"/>
          <w:i/>
          <w:color w:val="000000"/>
          <w:sz w:val="20"/>
          <w:lang w:val="en-US" w:eastAsia="en-US" w:bidi="ar-SA"/>
        </w:rPr>
        <w:t>Pinch</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xml:space="preserve">  Ms. Dale argues </w:t>
      </w:r>
      <w:r>
        <w:rPr>
          <w:rFonts w:ascii="arial" w:eastAsia="arial" w:hAnsi="arial" w:cs="arial"/>
          <w:i/>
          <w:color w:val="000000"/>
          <w:sz w:val="20"/>
          <w:lang w:val="en-US" w:eastAsia="en-US" w:bidi="ar-SA"/>
        </w:rPr>
        <w:t>Pinch</w:t>
      </w:r>
      <w:r>
        <w:rPr>
          <w:rFonts w:ascii="arial" w:eastAsia="arial" w:hAnsi="arial" w:cs="arial"/>
          <w:color w:val="000000"/>
          <w:sz w:val="20"/>
          <w:lang w:val="en-US" w:eastAsia="en-US" w:bidi="ar-SA"/>
        </w:rPr>
        <w:t xml:space="preserve"> is distinguishable for the same reasons Bracken J. provided in </w:t>
      </w:r>
      <w:r>
        <w:rPr>
          <w:rFonts w:ascii="arial" w:eastAsia="arial" w:hAnsi="arial" w:cs="arial"/>
          <w:i/>
          <w:color w:val="000000"/>
          <w:sz w:val="20"/>
          <w:lang w:val="en-US" w:eastAsia="en-US" w:bidi="ar-SA"/>
        </w:rPr>
        <w:t>Griffieon</w:t>
      </w:r>
      <w:r>
        <w:rPr>
          <w:rFonts w:ascii="arial" w:eastAsia="arial" w:hAnsi="arial" w:cs="arial"/>
          <w:color w:val="000000"/>
          <w:sz w:val="20"/>
          <w:lang w:val="en-US" w:eastAsia="en-US" w:bidi="ar-SA"/>
        </w:rPr>
        <w:t xml:space="preserve">. However, neither she nor </w:t>
      </w:r>
      <w:r>
        <w:rPr>
          <w:rFonts w:ascii="arial" w:eastAsia="arial" w:hAnsi="arial" w:cs="arial"/>
          <w:i/>
          <w:color w:val="000000"/>
          <w:sz w:val="20"/>
          <w:lang w:val="en-US" w:eastAsia="en-US" w:bidi="ar-SA"/>
        </w:rPr>
        <w:t>Griffieon</w:t>
      </w:r>
      <w:r>
        <w:rPr>
          <w:rFonts w:ascii="arial" w:eastAsia="arial" w:hAnsi="arial" w:cs="arial"/>
          <w:color w:val="000000"/>
          <w:sz w:val="20"/>
          <w:lang w:val="en-US" w:eastAsia="en-US" w:bidi="ar-SA"/>
        </w:rPr>
        <w:t xml:space="preserve"> addressed the Supreme Court of Canada's decision in </w:t>
      </w:r>
      <w:r>
        <w:rPr>
          <w:rFonts w:ascii="arial" w:eastAsia="arial" w:hAnsi="arial" w:cs="arial"/>
          <w:i/>
          <w:color w:val="000000"/>
          <w:sz w:val="20"/>
          <w:lang w:val="en-US" w:eastAsia="en-US" w:bidi="ar-SA"/>
        </w:rPr>
        <w:t>Blackwater</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xml:space="preserve">  The trial in </w:t>
      </w:r>
      <w:r>
        <w:rPr>
          <w:rFonts w:ascii="arial" w:eastAsia="arial" w:hAnsi="arial" w:cs="arial"/>
          <w:i/>
          <w:color w:val="000000"/>
          <w:sz w:val="20"/>
          <w:lang w:val="en-US" w:eastAsia="en-US" w:bidi="ar-SA"/>
        </w:rPr>
        <w:t>Blackwater</w:t>
      </w:r>
      <w:r>
        <w:rPr>
          <w:rFonts w:ascii="arial" w:eastAsia="arial" w:hAnsi="arial" w:cs="arial"/>
          <w:color w:val="000000"/>
          <w:sz w:val="20"/>
          <w:lang w:val="en-US" w:eastAsia="en-US" w:bidi="ar-SA"/>
        </w:rPr>
        <w:t xml:space="preserve"> involved multiple plaintiffs seeking damages for sexual abuse, physical punishment and other harms suffered at an "Indian" residential school decades earlier. The trial judge found the claims that did not involve sexual misconduct were barred by the expiry of the statutory limitation period. In assessing damages for Mr. Barney, who also suffered significant trauma at home before being compelled to attend the school, as well as statute-barred harms once he was there, the trial judge limited the award to the loss caused by the "actionable tort", namely the sexual misconduct.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Mr. Barney's injuries were serious and psychological. He attempted suicide many, many times, starting shortly after he was sexually abused for the first time, he was violent before and after he left the school, and he developed a long term problem with alcohol and drugs as a teen. Although the trial judge found the prior non-sexual abuse made it likely Mr. Barney would have suffered serious psychological difficulties even if the sexual abuse had not occurred, he did not find the injuries to be divisible. Nor did McLachlin C.J. characterize them in this way in upholding the decision of the trial judge. Regarding the effect of the prior and statute-barred abuse on the assessment of damages, she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[74] The calculation of damages for sexual assault to Mr. Barney is complicated by two other sources of trauma: (1) trauma suffered in his home before he came to AIRS; and (2) trauma for non-sexual abuse and deprivation at AIRS that was statute barred. In reality, all these sources of trauma fused with subsequent experiences to create the problems that have beset Mr. Barney all his life. Untangling the different sources of damage and loss may be nigh impossible. Yet the law requires that it be done, since at law a plaintiff is entitled only to be compensated for loss </w:t>
      </w:r>
      <w:r>
        <w:rPr>
          <w:rFonts w:ascii="arial" w:eastAsia="arial" w:hAnsi="arial" w:cs="arial"/>
          <w:i/>
          <w:color w:val="000000"/>
          <w:sz w:val="20"/>
          <w:lang w:val="en-US" w:eastAsia="en-US" w:bidi="ar-SA"/>
        </w:rPr>
        <w:t>caused by the actionable wrong</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Recognizing Mr. Barney's original position was compromised, McLachlin C.J. went on to discuss the application of the crumbling skull rule, noting the defendant was not required to compensate the plaintiff for the debilitating effects of the other wrongful acts that would have occurred anyway.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Turning to the statute-barred wrongs, she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[82] Similarly, there was no legal basis upon which [the trial judge] could allow damages suffered as a result of statute-barred wrongs committed at AIRS, like the beatings to increase the award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xml:space="preserve">  In dismissing an argument based on </w:t>
      </w:r>
      <w:r>
        <w:rPr>
          <w:rFonts w:ascii="arial" w:eastAsia="arial" w:hAnsi="arial" w:cs="arial"/>
          <w:i/>
          <w:color w:val="000000"/>
          <w:sz w:val="20"/>
          <w:lang w:val="en-US" w:eastAsia="en-US" w:bidi="ar-SA"/>
        </w:rPr>
        <w:t>ex turpi causa non oritur actio</w:t>
      </w:r>
      <w:r>
        <w:rPr>
          <w:rFonts w:ascii="arial" w:eastAsia="arial" w:hAnsi="arial" w:cs="arial"/>
          <w:color w:val="000000"/>
          <w:sz w:val="20"/>
          <w:lang w:val="en-US" w:eastAsia="en-US" w:bidi="ar-SA"/>
        </w:rPr>
        <w:t>, she added at para. 85: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[85] ...Applying it to permit damages to be awarded for wrongful acts that are subject to limitation periods that have expired would subvert the legislation and compensate for torts that have been alleged but not proven. It would be to override legislative intent and fix liability in the absence of legal proof.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Here of course Ms. Dale provided proof in the form of uncontradicted testimony regarding the circumstances of the first accident. The defendants have not suggested her evidence is insufficient to ground findings of negligent conduct or factual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xml:space="preserve">  Nonetheless the problem remains that Ms. Dale's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Mr. Sarosi was "statute-barred" </w:t>
      </w:r>
      <w:r>
        <w:rPr>
          <w:rFonts w:ascii="arial" w:eastAsia="arial" w:hAnsi="arial" w:cs="arial"/>
          <w:i/>
          <w:color w:val="000000"/>
          <w:sz w:val="20"/>
          <w:lang w:val="en-US" w:eastAsia="en-US" w:bidi="ar-SA"/>
        </w:rPr>
        <w:t>and</w:t>
      </w:r>
      <w:r>
        <w:rPr>
          <w:rFonts w:ascii="arial" w:eastAsia="arial" w:hAnsi="arial" w:cs="arial"/>
          <w:color w:val="000000"/>
          <w:sz w:val="20"/>
          <w:lang w:val="en-US" w:eastAsia="en-US" w:bidi="ar-SA"/>
        </w:rPr>
        <w:t xml:space="preserve"> dismissed for that reason, along with the cross-application to add him and the first accident as a cause of action in the second action. Not surprisingly Ms. Dale's pleadings in the third as well as the second action say nothing about the first accident or her resulting injuries and damages. In making this observation I have not ignored Ms. Dale's argument that the defendants could have but chose not to issue third party proceedings. However, in my view the expiry of her claim, a complete defence to liability for Mr. Sarosi, and the order dismissing it must be given effect. Ultimately, I can see no basis for distinguishing </w:t>
      </w:r>
      <w:r>
        <w:rPr>
          <w:rFonts w:ascii="arial" w:eastAsia="arial" w:hAnsi="arial" w:cs="arial"/>
          <w:i/>
          <w:color w:val="000000"/>
          <w:sz w:val="20"/>
          <w:lang w:val="en-US" w:eastAsia="en-US" w:bidi="ar-SA"/>
        </w:rPr>
        <w:t>Blackwater</w:t>
      </w:r>
      <w:r>
        <w:rPr>
          <w:rFonts w:ascii="arial" w:eastAsia="arial" w:hAnsi="arial" w:cs="arial"/>
          <w:color w:val="000000"/>
          <w:sz w:val="20"/>
          <w:lang w:val="en-US" w:eastAsia="en-US" w:bidi="ar-SA"/>
        </w:rPr>
        <w:t>. Applying it, Mr. Sarosi's statute barred wrong is not actionable. I therefore conclude Ms. Dale is not entitled to compensation for damages caused by 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Returning to the question of Ms. Dale's injuries, to the extent a finding remains necessary, I am not persuaded Ms. Dale's condition at the time of the second accident is properly characterized as divisible from the injuries, temporary exacerbations of that condition according to the defendants, caused by the second and third accidents. Although Ms. Dale was still experiencing ongoing and therefore chronic neck, shoulder and back symptoms when the second accident occurred, overall her condition was much improved and her symptoms were variable, if not dynamic and responding to treatment. In other words, Ms. Dale's condition had not plateaued. I therefore find Ms. Dale's injuries from all three accidents indivisible.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I have already found the second and third accidents reinjured the soft tissues in her neck, shoulder and back and in doing so aggravated and worsened her pain and other symptoms including headaches and anxiety. Even on this analysis however the defendants are not liable for any losses that occurred before the second accident. Obviously, the defendants caused no injury or loss to Ms. Dale until the second and third accidents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xml:space="preserve">  Again, applying </w:t>
      </w:r>
      <w:r>
        <w:rPr>
          <w:rFonts w:ascii="arial" w:eastAsia="arial" w:hAnsi="arial" w:cs="arial"/>
          <w:i/>
          <w:color w:val="000000"/>
          <w:sz w:val="20"/>
          <w:lang w:val="en-US" w:eastAsia="en-US" w:bidi="ar-SA"/>
        </w:rPr>
        <w:t>Blackwater</w:t>
      </w:r>
      <w:r>
        <w:rPr>
          <w:rFonts w:ascii="arial" w:eastAsia="arial" w:hAnsi="arial" w:cs="arial"/>
          <w:color w:val="000000"/>
          <w:sz w:val="20"/>
          <w:lang w:val="en-US" w:eastAsia="en-US" w:bidi="ar-SA"/>
        </w:rPr>
        <w:t>, Ms. Dale's original position is as asserted by the defendants: her condition when the second accident occurred. The crumbling skull rule applies. Ms. Dale was compromised in so far as the same soft tissue injuries had already been injured leaving her with ongoing physical symptoms and some anxiety. She was also left more vulnerable to re-injury.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In assessing damages for Ms. Dale, I must consider the difference between her current condition and her original position which requires me to also consider what would have happened to Ms. Dale's symptoms absent the second and third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Before doing so it is necessary to make causation findings regarding the most significant feature of Ms. Dale's current condition, her chronic pain condition. Given the nature of the injuries and symptoms caused by each of the accidents and Ms. Dale's ongoing symptoms from the first accident by the time of the second accident, and her vulnerability to the effect of re-injury, I accept the first accident was a necessary but insufficient cause of her chronic pain condition. In other words, I am satisfied it results from the cumulative effect of all three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Regarding the difference between her current and original positions, in addition to finding Ms. Dale would not have developed her chronic pain condition absent the second and third accidents, I find her current symptoms are significantly more severe and intrusive than those she was experiencing when the second accident occurred. I have already found that she is also unlikely to recover from the chronic pain condition, although there is a real and substantial possibility she will improve over time. That leaves the question of what would have happened to Ms. Dale's symptoms had the second and third accidents not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There is very little opinion evidence on this point. In cross-examination, Dr. Chow would not agree Ms. Dale's chronic symptoms constituted a chronic pain condition before the second accident, although he agreed her symptoms were chronic because of their duration. Similarly Dr. Majeed disagreed that absent the second accident, Ms. Dale's pain likely would have persisted.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The evidence allows me to be no more precise than to find Ms. Dale symptoms would have continued for some period of time. The quick reduction in her overall pain in response to treatment shortly before the second accident and the extent to which all of her symptoms had gradually improved from the time of the first accident to the second satisfies me it is more likely than not the symptoms would have eventually resolved. I find she would have remained vulnerable to worse effects from re-injury, as well as some of the demands of her current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xml:space="preserve">  Non-pecuniary damages are awarded to compensate a plaintiff for pain, suffering, loss of enjoyment of life and loss of amenities caused by a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amount of the award is not determined based on the nature or seriousness of the plaintiff's injuries alone. The court must consider additional factors including: the plaintiff's age; the severity and duration of the pain; disability; emotional suffering; impairment of family, marital and social relationships; impairment of physical and mental abilities; loss of lifestyle; and his or her stoicism, which should not be penalized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512"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at para. 46). An appreciation of the plaintiff's loss is the key: see </w:t>
      </w:r>
      <w:r>
        <w:rPr>
          <w:rFonts w:ascii="arial" w:eastAsia="arial" w:hAnsi="arial" w:cs="arial"/>
          <w:i/>
          <w:color w:val="000000"/>
          <w:sz w:val="20"/>
          <w:lang w:val="en-US" w:eastAsia="en-US" w:bidi="ar-SA"/>
        </w:rPr>
        <w:t>Lindal v. Lindal</w:t>
      </w:r>
      <w:r>
        <w:rPr>
          <w:rFonts w:ascii="arial" w:eastAsia="arial" w:hAnsi="arial" w:cs="arial"/>
          <w:color w:val="000000"/>
          <w:sz w:val="20"/>
          <w:lang w:val="en-US" w:eastAsia="en-US" w:bidi="ar-SA"/>
        </w:rPr>
        <w:t xml:space="preserve">, </w:t>
      </w:r>
      <w:hyperlink r:id="rId626" w:history="1">
        <w:r>
          <w:rPr>
            <w:rFonts w:ascii="arial" w:eastAsia="arial" w:hAnsi="arial" w:cs="arial"/>
            <w:i/>
            <w:color w:val="0077CC"/>
            <w:sz w:val="20"/>
            <w:u w:val="single"/>
            <w:shd w:val="clear" w:color="auto" w:fill="FFFFFF"/>
            <w:lang w:val="en-US" w:eastAsia="en-US" w:bidi="ar-SA"/>
          </w:rPr>
          <w:t>[1981] 2 S.C.R. 629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Ms. Dale is not entitled to non-pecuniary damages related to the first accident. That means I cannot consider the pain and suffering she experienced after the first accident, prior to the second accident, and any further pain and suffering she would have experienced had the second and third accidents not occurred. At the same time, however, to the extent her ongoing symptoms at the time of the second accident left her vulnerable to more severe symptoms from the further soft tissue injuries caused by the second and third accidents, she must be compensated.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Ms. Dale seeks an award of non-pecuniary damages in the range of $90,000 to $140,000. The defendants argues $30,000 to $40,000 is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xml:space="preserve">  Similar cases are of some assistance in assessing an award for non-pecuniary damages. It is recognized however that each plaintiff is unique and no other case will ever involve exactly the same circumstances: </w:t>
      </w:r>
      <w:r>
        <w:rPr>
          <w:rFonts w:ascii="arial" w:eastAsia="arial" w:hAnsi="arial" w:cs="arial"/>
          <w:i/>
          <w:color w:val="000000"/>
          <w:sz w:val="20"/>
          <w:lang w:val="en-US" w:eastAsia="en-US" w:bidi="ar-SA"/>
        </w:rPr>
        <w:t>Hans v. Volvo Trucks North America Inc.</w:t>
      </w:r>
      <w:r>
        <w:rPr>
          <w:rFonts w:ascii="arial" w:eastAsia="arial" w:hAnsi="arial" w:cs="arial"/>
          <w:color w:val="000000"/>
          <w:sz w:val="20"/>
          <w:lang w:val="en-US" w:eastAsia="en-US" w:bidi="ar-SA"/>
        </w:rPr>
        <w:t xml:space="preserve">, </w:t>
      </w:r>
      <w:hyperlink r:id="rId627" w:history="1">
        <w:r>
          <w:rPr>
            <w:rFonts w:ascii="arial" w:eastAsia="arial" w:hAnsi="arial" w:cs="arial"/>
            <w:i/>
            <w:color w:val="0077CC"/>
            <w:sz w:val="20"/>
            <w:u w:val="single"/>
            <w:shd w:val="clear" w:color="auto" w:fill="FFFFFF"/>
            <w:lang w:val="en-US" w:eastAsia="en-US" w:bidi="ar-SA"/>
          </w:rPr>
          <w:t>2016 BCSC 1155</w:t>
        </w:r>
      </w:hyperlink>
      <w:r>
        <w:rPr>
          <w:rFonts w:ascii="arial" w:eastAsia="arial" w:hAnsi="arial" w:cs="arial"/>
          <w:color w:val="000000"/>
          <w:sz w:val="20"/>
          <w:lang w:val="en-US" w:eastAsia="en-US" w:bidi="ar-SA"/>
        </w:rPr>
        <w:t>, at para. 525.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xml:space="preserve">  Ms. Dale relies upon </w:t>
      </w:r>
      <w:r>
        <w:rPr>
          <w:rFonts w:ascii="arial" w:eastAsia="arial" w:hAnsi="arial" w:cs="arial"/>
          <w:i/>
          <w:color w:val="000000"/>
          <w:sz w:val="20"/>
          <w:lang w:val="en-US" w:eastAsia="en-US" w:bidi="ar-SA"/>
        </w:rPr>
        <w:t>Clayton v. Barefoot</w:t>
      </w:r>
      <w:r>
        <w:rPr>
          <w:rFonts w:ascii="arial" w:eastAsia="arial" w:hAnsi="arial" w:cs="arial"/>
          <w:color w:val="000000"/>
          <w:sz w:val="20"/>
          <w:lang w:val="en-US" w:eastAsia="en-US" w:bidi="ar-SA"/>
        </w:rPr>
        <w:t xml:space="preserve">, </w:t>
      </w:r>
      <w:hyperlink r:id="rId628" w:history="1">
        <w:r>
          <w:rPr>
            <w:rFonts w:ascii="arial" w:eastAsia="arial" w:hAnsi="arial" w:cs="arial"/>
            <w:i/>
            <w:color w:val="0077CC"/>
            <w:sz w:val="20"/>
            <w:u w:val="single"/>
            <w:shd w:val="clear" w:color="auto" w:fill="FFFFFF"/>
            <w:lang w:val="en-US" w:eastAsia="en-US" w:bidi="ar-SA"/>
          </w:rPr>
          <w:t>2018 BCSC 239</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Severud v. Smit</w:t>
      </w:r>
      <w:r>
        <w:rPr>
          <w:rFonts w:ascii="arial" w:eastAsia="arial" w:hAnsi="arial" w:cs="arial"/>
          <w:color w:val="000000"/>
          <w:sz w:val="20"/>
          <w:lang w:val="en-US" w:eastAsia="en-US" w:bidi="ar-SA"/>
        </w:rPr>
        <w:t xml:space="preserve">, </w:t>
      </w:r>
      <w:hyperlink r:id="rId629" w:history="1">
        <w:r>
          <w:rPr>
            <w:rFonts w:ascii="arial" w:eastAsia="arial" w:hAnsi="arial" w:cs="arial"/>
            <w:i/>
            <w:color w:val="0077CC"/>
            <w:sz w:val="20"/>
            <w:u w:val="single"/>
            <w:shd w:val="clear" w:color="auto" w:fill="FFFFFF"/>
            <w:lang w:val="en-US" w:eastAsia="en-US" w:bidi="ar-SA"/>
          </w:rPr>
          <w:t>2016 BCSC 1021</w:t>
        </w:r>
      </w:hyperlink>
      <w:r>
        <w:rPr>
          <w:rFonts w:ascii="arial" w:eastAsia="arial" w:hAnsi="arial" w:cs="arial"/>
          <w:color w:val="000000"/>
          <w:sz w:val="20"/>
          <w:lang w:val="en-US" w:eastAsia="en-US" w:bidi="ar-SA"/>
        </w:rPr>
        <w:t xml:space="preserve">, both of which awarded $130,000 in non-pecuniary damages. Like Ms. Dale, Ms. Clayton was young, 26, at the time of the accident, and suffered soft tissue injuries that resulted in chronic low back pain. The level of pain and its effect on all facets of her life, however, were more severe. Similarly in </w:t>
      </w:r>
      <w:r>
        <w:rPr>
          <w:rFonts w:ascii="arial" w:eastAsia="arial" w:hAnsi="arial" w:cs="arial"/>
          <w:i/>
          <w:color w:val="000000"/>
          <w:sz w:val="20"/>
          <w:lang w:val="en-US" w:eastAsia="en-US" w:bidi="ar-SA"/>
        </w:rPr>
        <w:t>Severud</w:t>
      </w:r>
      <w:r>
        <w:rPr>
          <w:rFonts w:ascii="arial" w:eastAsia="arial" w:hAnsi="arial" w:cs="arial"/>
          <w:color w:val="000000"/>
          <w:sz w:val="20"/>
          <w:lang w:val="en-US" w:eastAsia="en-US" w:bidi="ar-SA"/>
        </w:rPr>
        <w:t>, the plaintiff's ongoing neck and shoulder pain was not only permanent, but significantly restricted her enjoyment of all aspects of her life, well beyond the consequences Ms. Dale has and will encounter.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xml:space="preserve">  The defendants rely upon several authorities involving plaintiffs who experienced mild to moderate exacerbations of pre-existing soft tissue injuries lasting several years but having a comparatively modest impact. </w:t>
      </w:r>
      <w:r>
        <w:rPr>
          <w:rFonts w:ascii="arial" w:eastAsia="arial" w:hAnsi="arial" w:cs="arial"/>
          <w:i/>
          <w:color w:val="000000"/>
          <w:sz w:val="20"/>
          <w:lang w:val="en-US" w:eastAsia="en-US" w:bidi="ar-SA"/>
        </w:rPr>
        <w:t>McKay v. Raiwal</w:t>
      </w:r>
      <w:r>
        <w:rPr>
          <w:rFonts w:ascii="arial" w:eastAsia="arial" w:hAnsi="arial" w:cs="arial"/>
          <w:color w:val="000000"/>
          <w:sz w:val="20"/>
          <w:lang w:val="en-US" w:eastAsia="en-US" w:bidi="ar-SA"/>
        </w:rPr>
        <w:t xml:space="preserve">, </w:t>
      </w:r>
      <w:hyperlink r:id="rId630" w:history="1">
        <w:r>
          <w:rPr>
            <w:rFonts w:ascii="arial" w:eastAsia="arial" w:hAnsi="arial" w:cs="arial"/>
            <w:i/>
            <w:color w:val="0077CC"/>
            <w:sz w:val="20"/>
            <w:u w:val="single"/>
            <w:shd w:val="clear" w:color="auto" w:fill="FFFFFF"/>
            <w:lang w:val="en-US" w:eastAsia="en-US" w:bidi="ar-SA"/>
          </w:rPr>
          <w:t>2015 BCSC 220</w:t>
        </w:r>
      </w:hyperlink>
      <w:r>
        <w:rPr>
          <w:rFonts w:ascii="arial" w:eastAsia="arial" w:hAnsi="arial" w:cs="arial"/>
          <w:color w:val="000000"/>
          <w:sz w:val="20"/>
          <w:lang w:val="en-US" w:eastAsia="en-US" w:bidi="ar-SA"/>
        </w:rPr>
        <w:t>, where non-pecuniary damages of $30,000 were awarded, provides the most, but still limited, guidance. The 23-year-old plaintiff suffered an exacerbation of pre-existing chronic soft tissue injuries for about four years, but her ongoing chronic pain was only somewhat worse than it was before the accident, unlike Ms. Dale's.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xml:space="preserve">  Turning to the </w:t>
      </w:r>
      <w:r>
        <w:rPr>
          <w:rFonts w:ascii="arial" w:eastAsia="arial" w:hAnsi="arial" w:cs="arial"/>
          <w:i/>
          <w:color w:val="000000"/>
          <w:sz w:val="20"/>
          <w:lang w:val="en-US" w:eastAsia="en-US" w:bidi="ar-SA"/>
        </w:rPr>
        <w:t>Stapley</w:t>
      </w:r>
      <w:r>
        <w:rPr>
          <w:rFonts w:ascii="arial" w:eastAsia="arial" w:hAnsi="arial" w:cs="arial"/>
          <w:color w:val="000000"/>
          <w:sz w:val="20"/>
          <w:lang w:val="en-US" w:eastAsia="en-US" w:bidi="ar-SA"/>
        </w:rPr>
        <w:t xml:space="preserve"> factors, the most significant for Ms. Dale are her young age and the severity and duration of her pain. Since July 2016 she has lived with increased, significant pain that improved but did not resolve by 2017, increased shortly before the third accident and then was then worsened considerably after the third accident. She now has a chronic pain condition that may improve, but she is unlikely to recover and has most of her life ahead of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Ms. Dale's non-pecuniary loss includes the loss that arises from working in pain and with headaches severe enough to interfere with her concentration and ability to perform. Although after each accident she has returned to being very active, whether due to fear or actual pain, she is no longer able to participate the way she did in Ultimate, a sport that has been her passion, and as Dr. Chow observed, part of her identity.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She has also suffered psychologically experiencing increased anxiety and since the third accident significant emotional distress related to her pain condition since the third accident. Previously outgoing, bubbly and enthusiastic, Ms. Dale is no longer that person, at least in the workplace. Also bearing in mind the limited guidance provided by the cases I have been provided with, I assess Ms. Dale's non-pecuniary damages at $80,000. From that amount I deduct $10,000 to account for the negative contingency that she would have experienced some pain and suffering from some ongoing symptoms absent the second and third accidents. I therefore award Ms. Dale $70,000.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Loss of Earning Capacity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xml:space="preserve">  Claims for past loss of earnings and future loss of earning capacity are subject to the same legal principles. The plaintiff must demonstrate that the injuries and symptoms caused by the accidents have impaired her capacity to earn income, resulting in a pecuniary loss. While actual past events must be proven on a balance of probabilities, hypothetical events including those in the past will be considered where there is a real and substantial possibility they would occur. Where proven, a hypothetical event must be given weight according to its relative likelihood and compensation must be awarded based on an estimation of the chance the event would have occurred or will occur: </w:t>
      </w:r>
      <w:r>
        <w:rPr>
          <w:rFonts w:ascii="arial" w:eastAsia="arial" w:hAnsi="arial" w:cs="arial"/>
          <w:i/>
          <w:color w:val="000000"/>
          <w:sz w:val="20"/>
          <w:lang w:val="en-US" w:eastAsia="en-US" w:bidi="ar-SA"/>
        </w:rPr>
        <w:t>Steward v. Berezan</w:t>
      </w:r>
      <w:r>
        <w:rPr>
          <w:rFonts w:ascii="arial" w:eastAsia="arial" w:hAnsi="arial" w:cs="arial"/>
          <w:color w:val="000000"/>
          <w:sz w:val="20"/>
          <w:lang w:val="en-US" w:eastAsia="en-US" w:bidi="ar-SA"/>
        </w:rPr>
        <w:t xml:space="preserve">, </w:t>
      </w:r>
      <w:hyperlink r:id="rId631" w:history="1">
        <w:r>
          <w:rPr>
            <w:rFonts w:ascii="arial" w:eastAsia="arial" w:hAnsi="arial" w:cs="arial"/>
            <w:i/>
            <w:color w:val="0077CC"/>
            <w:sz w:val="20"/>
            <w:u w:val="single"/>
            <w:shd w:val="clear" w:color="auto" w:fill="FFFFFF"/>
            <w:lang w:val="en-US" w:eastAsia="en-US" w:bidi="ar-SA"/>
          </w:rPr>
          <w:t>2007 BCCA 150</w:t>
        </w:r>
      </w:hyperlink>
      <w:r>
        <w:rPr>
          <w:rFonts w:ascii="arial" w:eastAsia="arial" w:hAnsi="arial" w:cs="arial"/>
          <w:color w:val="000000"/>
          <w:sz w:val="20"/>
          <w:lang w:val="en-US" w:eastAsia="en-US" w:bidi="ar-SA"/>
        </w:rPr>
        <w:t xml:space="preserve"> at para. 17. The onus is not a heavy one, but it must be met in order to justify a pecuniary award: </w:t>
      </w:r>
      <w:r>
        <w:rPr>
          <w:rFonts w:ascii="arial" w:eastAsia="arial" w:hAnsi="arial" w:cs="arial"/>
          <w:i/>
          <w:color w:val="000000"/>
          <w:sz w:val="20"/>
          <w:lang w:val="en-US" w:eastAsia="en-US" w:bidi="ar-SA"/>
        </w:rPr>
        <w:t>Kim v. Morier</w:t>
      </w:r>
      <w:r>
        <w:rPr>
          <w:rFonts w:ascii="arial" w:eastAsia="arial" w:hAnsi="arial" w:cs="arial"/>
          <w:color w:val="000000"/>
          <w:sz w:val="20"/>
          <w:lang w:val="en-US" w:eastAsia="en-US" w:bidi="ar-SA"/>
        </w:rPr>
        <w:t xml:space="preserve">, </w:t>
      </w:r>
      <w:hyperlink r:id="rId632" w:history="1">
        <w:r>
          <w:rPr>
            <w:rFonts w:ascii="arial" w:eastAsia="arial" w:hAnsi="arial" w:cs="arial"/>
            <w:i/>
            <w:color w:val="0077CC"/>
            <w:sz w:val="20"/>
            <w:u w:val="single"/>
            <w:shd w:val="clear" w:color="auto" w:fill="FFFFFF"/>
            <w:lang w:val="en-US" w:eastAsia="en-US" w:bidi="ar-SA"/>
          </w:rPr>
          <w:t>2014 BCCA 63</w:t>
        </w:r>
      </w:hyperlink>
      <w:r>
        <w:rPr>
          <w:rFonts w:ascii="arial" w:eastAsia="arial" w:hAnsi="arial" w:cs="arial"/>
          <w:color w:val="000000"/>
          <w:sz w:val="20"/>
          <w:lang w:val="en-US" w:eastAsia="en-US" w:bidi="ar-SA"/>
        </w:rPr>
        <w:t xml:space="preserve"> at para. 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xml:space="preserve">  Although a claim for past loss of income is often characterized as a separate head of damages, it is a component of the loss of earning capacity, being a claim for the loss of the value of the work the injured person was unable to perform because of the injury: </w:t>
      </w:r>
      <w:r>
        <w:rPr>
          <w:rFonts w:ascii="arial" w:eastAsia="arial" w:hAnsi="arial" w:cs="arial"/>
          <w:i/>
          <w:color w:val="000000"/>
          <w:sz w:val="20"/>
          <w:lang w:val="en-US" w:eastAsia="en-US" w:bidi="ar-SA"/>
        </w:rPr>
        <w:t>Falati v. Smith</w:t>
      </w:r>
      <w:r>
        <w:rPr>
          <w:rFonts w:ascii="arial" w:eastAsia="arial" w:hAnsi="arial" w:cs="arial"/>
          <w:color w:val="000000"/>
          <w:sz w:val="20"/>
          <w:lang w:val="en-US" w:eastAsia="en-US" w:bidi="ar-SA"/>
        </w:rPr>
        <w:t xml:space="preserve">, </w:t>
      </w:r>
      <w:hyperlink r:id="rId633" w:history="1">
        <w:r>
          <w:rPr>
            <w:rFonts w:ascii="arial" w:eastAsia="arial" w:hAnsi="arial" w:cs="arial"/>
            <w:i/>
            <w:color w:val="0077CC"/>
            <w:sz w:val="20"/>
            <w:u w:val="single"/>
            <w:shd w:val="clear" w:color="auto" w:fill="FFFFFF"/>
            <w:lang w:val="en-US" w:eastAsia="en-US" w:bidi="ar-SA"/>
          </w:rPr>
          <w:t>2010 BCSC 465</w:t>
        </w:r>
      </w:hyperlink>
      <w:r>
        <w:rPr>
          <w:rFonts w:ascii="arial" w:eastAsia="arial" w:hAnsi="arial" w:cs="arial"/>
          <w:color w:val="000000"/>
          <w:sz w:val="20"/>
          <w:lang w:val="en-US" w:eastAsia="en-US" w:bidi="ar-SA"/>
        </w:rPr>
        <w:t xml:space="preserve"> at para. 39, aff'd </w:t>
      </w:r>
      <w:hyperlink r:id="rId634" w:history="1">
        <w:r>
          <w:rPr>
            <w:rFonts w:ascii="arial" w:eastAsia="arial" w:hAnsi="arial" w:cs="arial"/>
            <w:i/>
            <w:color w:val="0077CC"/>
            <w:sz w:val="20"/>
            <w:u w:val="single"/>
            <w:shd w:val="clear" w:color="auto" w:fill="FFFFFF"/>
            <w:lang w:val="en-US" w:eastAsia="en-US" w:bidi="ar-SA"/>
          </w:rPr>
          <w:t>2011 BCCA 45</w:t>
        </w:r>
      </w:hyperlink>
      <w:r>
        <w:rPr>
          <w:rFonts w:ascii="arial" w:eastAsia="arial" w:hAnsi="arial" w:cs="arial"/>
          <w:color w:val="000000"/>
          <w:sz w:val="20"/>
          <w:lang w:val="en-US" w:eastAsia="en-US" w:bidi="ar-SA"/>
        </w:rPr>
        <w:t xml:space="preserve">. The plaintiff is entitled to compensation based on what she would have, not could have, earned but for the injuries caused by the accidents: see </w:t>
      </w:r>
      <w:r>
        <w:rPr>
          <w:rFonts w:ascii="arial" w:eastAsia="arial" w:hAnsi="arial" w:cs="arial"/>
          <w:i/>
          <w:color w:val="000000"/>
          <w:sz w:val="20"/>
          <w:lang w:val="en-US" w:eastAsia="en-US" w:bidi="ar-SA"/>
        </w:rPr>
        <w:t>Munoz</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xml:space="preserve">  In general, the value of the plaintiff's capacity to earn is equivalent to the value of the earnings she would have received, in the past or the future, had the tort not been committed: </w:t>
      </w:r>
      <w:r>
        <w:rPr>
          <w:rFonts w:ascii="arial" w:eastAsia="arial" w:hAnsi="arial" w:cs="arial"/>
          <w:i/>
          <w:color w:val="000000"/>
          <w:sz w:val="20"/>
          <w:lang w:val="en-US" w:eastAsia="en-US" w:bidi="ar-SA"/>
        </w:rPr>
        <w:t>Kallstrom</w:t>
      </w:r>
      <w:r>
        <w:rPr>
          <w:rFonts w:ascii="arial" w:eastAsia="arial" w:hAnsi="arial" w:cs="arial"/>
          <w:color w:val="000000"/>
          <w:sz w:val="20"/>
          <w:lang w:val="en-US" w:eastAsia="en-US" w:bidi="ar-SA"/>
        </w:rPr>
        <w:t xml:space="preserve"> at para. 389.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xml:space="preserve">  The loss or impairment of earning capacity is valued using either an earnings or a "capital asset" approach: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536"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at para. 32. The earnings approach is viewed as more appropriate where the plaintiff has a history of earnings and the loss is more easily measured. The capital asset approach is typically used when the plaintiff has no clear earnings history, although it is not restricted to this circumstance. This approach involves considering a number of factors including whether the plaintiff has been rendered less capable overall of earning income from all types of employment, is less marketable or attractive as a potential employee, has lost the ability to take advantage of all job opportunities that might otherwise have been available to her, and is less valuable to herself as a person capable of earning income in a competitive labour market: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533"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(S.C.) at para. 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xml:space="preserve">  Under either approach, the court must endeavour to quantify the financial harm accruing to the plaintiff from the loss or impairment of her earning capacity, taking into account the relevant and realistic contingencies: </w:t>
      </w:r>
      <w:r>
        <w:rPr>
          <w:rFonts w:ascii="arial" w:eastAsia="arial" w:hAnsi="arial" w:cs="arial"/>
          <w:i/>
          <w:color w:val="000000"/>
          <w:sz w:val="20"/>
          <w:lang w:val="en-US" w:eastAsia="en-US" w:bidi="ar-SA"/>
        </w:rPr>
        <w:t>Pett v. Pett</w:t>
      </w:r>
      <w:r>
        <w:rPr>
          <w:rFonts w:ascii="arial" w:eastAsia="arial" w:hAnsi="arial" w:cs="arial"/>
          <w:color w:val="000000"/>
          <w:sz w:val="20"/>
          <w:lang w:val="en-US" w:eastAsia="en-US" w:bidi="ar-SA"/>
        </w:rPr>
        <w:t xml:space="preserve">, </w:t>
      </w:r>
      <w:hyperlink r:id="rId635" w:history="1">
        <w:r>
          <w:rPr>
            <w:rFonts w:ascii="arial" w:eastAsia="arial" w:hAnsi="arial" w:cs="arial"/>
            <w:i/>
            <w:color w:val="0077CC"/>
            <w:sz w:val="20"/>
            <w:u w:val="single"/>
            <w:shd w:val="clear" w:color="auto" w:fill="FFFFFF"/>
            <w:lang w:val="en-US" w:eastAsia="en-US" w:bidi="ar-SA"/>
          </w:rPr>
          <w:t>2009 BCCA 232</w:t>
        </w:r>
      </w:hyperlink>
      <w:r>
        <w:rPr>
          <w:rFonts w:ascii="arial" w:eastAsia="arial" w:hAnsi="arial" w:cs="arial"/>
          <w:color w:val="000000"/>
          <w:sz w:val="20"/>
          <w:lang w:val="en-US" w:eastAsia="en-US" w:bidi="ar-SA"/>
        </w:rPr>
        <w:t xml:space="preserve"> at para. 19; </w:t>
      </w:r>
      <w:r>
        <w:rPr>
          <w:rFonts w:ascii="arial" w:eastAsia="arial" w:hAnsi="arial" w:cs="arial"/>
          <w:i/>
          <w:color w:val="000000"/>
          <w:sz w:val="20"/>
          <w:lang w:val="en-US" w:eastAsia="en-US" w:bidi="ar-SA"/>
        </w:rPr>
        <w:t>X. v. Y.</w:t>
      </w:r>
      <w:r>
        <w:rPr>
          <w:rFonts w:ascii="arial" w:eastAsia="arial" w:hAnsi="arial" w:cs="arial"/>
          <w:color w:val="000000"/>
          <w:sz w:val="20"/>
          <w:lang w:val="en-US" w:eastAsia="en-US" w:bidi="ar-SA"/>
        </w:rPr>
        <w:t xml:space="preserve">, </w:t>
      </w:r>
      <w:hyperlink r:id="rId541" w:history="1">
        <w:r>
          <w:rPr>
            <w:rFonts w:ascii="arial" w:eastAsia="arial" w:hAnsi="arial" w:cs="arial"/>
            <w:i/>
            <w:color w:val="0077CC"/>
            <w:sz w:val="20"/>
            <w:u w:val="single"/>
            <w:shd w:val="clear" w:color="auto" w:fill="FFFFFF"/>
            <w:lang w:val="en-US" w:eastAsia="en-US" w:bidi="ar-SA"/>
          </w:rPr>
          <w:t>2011 BCSC 944</w:t>
        </w:r>
      </w:hyperlink>
      <w:r>
        <w:rPr>
          <w:rFonts w:ascii="arial" w:eastAsia="arial" w:hAnsi="arial" w:cs="arial"/>
          <w:color w:val="000000"/>
          <w:sz w:val="20"/>
          <w:lang w:val="en-US" w:eastAsia="en-US" w:bidi="ar-SA"/>
        </w:rPr>
        <w:t xml:space="preserve"> at para. 183. The assessment is an exercise of judgment, not a mathematical calculation, firmly grounded in the particular facts of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Past Loss of Earnings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This part of Ms. Dale's claim is modest and simple. She seeks an award of $2,898 for past loss of earnings resulting from the second and third accidents. Her calculation is based on 22 days of missed work at a rate of $40,000 per year. The missed days include two days following the second accident and two weeks following the third, plus ten additional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The defendants complain Ms. Dale called "no evidence" and adduced no records to quantify her past wage loss. They are prepared to accept however the second and third accidents caused her to miss a total of two weeks of work. They also accept a salary of $40,000 as a basis for the calculation. There has been no suggestion of any reduction in the award for negative contingencies.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Mrs. Yee testified that Ms. Dale has missed about 10 days of work since she returned after the third accident, which I accept, but she did not specify why. Ms. Dale testified to missing time here and there sometimes due to the accidents. Taken together I accept that Ms. Dale has missed some additional days as a result of her injuries. Absent more precise evidence I assess that time at five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In total then I award Ms. Dale the net amount for 17 days of lost earnings based on a salary of $40,000. I leave counsel to calculate what that amount 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Future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xml:space="preserve">  Ms. Dale relies upon a capital asset approach. She argues there is a substantial risk she will lose her current job and face the financial consequences of a reduced earning capacity based on all of the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factors. She suggests her chronic pain condition would prevent her from completing a bachelor's degree in kinesiology while working, a necessity given her family's financial circumstances, and that she has also lost her capacity to work at multiple jobs.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xml:space="preserve">  Regarding Mrs. Yee's evidence that she is intent on keeping Ms. Dale if she does not succeed as a legal assistant, Ms. Dale asks me to consider how legislative changes to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xml:space="preserve"> could negatively impact on employment prospects with personal injury law firms. Her main argument, however, is that absent the second and third accidents, she would have continued to work as a legal assistant for the foreseeable future and now that trajectory is unlikely. Assuming steady salary increases of $5,000 per year up to $65,000 until age 65, she calculates her residual life earnings at $1,939,690, using the weighted average of $63,682 and the "CIVJI" multiplier of 30.4590. Based on a 25% reduction to her capacity to earn, she proposes an award of $484,922.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Although I accept that Ms. Dale's chronic pain condition has impaired her future earning capacity, in my view this amount significantly overvalues her future pecuniary loss. Absent any evidence, I am not prepared to consider what effect legislative change may have on the labour market as it relates to personal injury law firms. Nor is there any basis upon which to infer that the maximum salaries paid to legal assistants at law firms generally is any less than what she could earn if she remained in her current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The evidence as a whole establishes that Ms. Dale was very successful in her prior role as a client care liaison before and after the second accident. Accepting Mr. Altieri's opinion, I find that despite her chronic pain condition, Ms. Dale has the functional capacity to work regular full-time hours as a legal assistant, if accommodated ergonomically, but not to continue working as she is now, that is nine or 10 hours per day and sometimes more when preparing for trial without accommodations.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Unfortunately, despite working where she does and being injured in a third accident, her promotion to the position of legal assistant involved not only a dramatic increase in her workload resulted in a loss of the accommodations she relied upon to manage her symptoms. These are most importantly the Ergotron and the ability to take move around and stretch as needed. Although Ms. Dale does not have the capacity to meet the demands of her current position, I am not prepared to infer that she could not find employment as a legal assistant elsewhere where the hours and expectations would align with her capacity. I do accept however, that in order to secure a comparable position, Ms. Dale may have to complete formal training comparable the one year program Ms. Wong described, which would involve time out of the work force and the cost of the program itself. Further, given her chronic pain condition, Ms. Dale is likely to experience periodic symptom flare ups from time to time that will require her to miss some time from work, resulting in some losses of employment earnings.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I also accept that Ms. Dale is no longer capable of working as a kinesiologist but place little value on this loss of opportunity because the evidence indicates she was unlikely to pursue the degree program in any event. Similarly, while I accept Ms. Dale is no longer able to work at both a regular full-time job and a part-time job, something she did on and off until shortly before the third accident, in my view, I do not accept she would have continued taking second jobs once established as a legal assistant. It is my impression Ms. Dale's part-time positions were largely driven by financial need. Her starting salary at the law firm was a modest $26,000. It jumped from $40,000 to $45,000 after the third accident and her promotion.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Bearing in mind the income loss and the cost associated with completing formal training, the delay involved in reaching a salary of $65,000 elsewhere, a modest amount for the loss of opportunity to complete a kinesiology degree and to earn some part-time income, I assess Ms. Dale's loss at $120,000.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I must also take into account the chance that Ms. Dale's ongoing symptoms from the first accident absent the second and third accidents would have resulted in some future pecuniary loss. I have found on a balance of probabilities that those symptoms would have resolved gradually over time but Ms. Dale experienced a flare in symptoms after starting at the law firm in July 2015 and had a continued need to move around and stretch by the time of the second accident. In all of the circumstances, and in particular given the demands of her current position, I assess the chance of a re-emergence in her symptoms resulting in a future pecuniary loss and the amount of that loss at 15%. Therefore I deduct $18,000 and award her $102,000.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 of Future Care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xml:space="preserve">  A plaintiff is entitled to compensation for the cost of future care based on what is reasonably necessary to restore her to her pre-accident condition insofar as that is possible and to preserve and promote her mental and physical health: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539"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(S.C.), aff'd </w:t>
      </w:r>
      <w:hyperlink r:id="rId636" w:history="1">
        <w:r>
          <w:rPr>
            <w:rFonts w:ascii="arial" w:eastAsia="arial" w:hAnsi="arial" w:cs="arial"/>
            <w:i/>
            <w:color w:val="0077CC"/>
            <w:sz w:val="20"/>
            <w:u w:val="single"/>
            <w:shd w:val="clear" w:color="auto" w:fill="FFFFFF"/>
            <w:lang w:val="en-US" w:eastAsia="en-US" w:bidi="ar-SA"/>
          </w:rPr>
          <w:t>(1987), 49 B.C.L.R. (2d) 99</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Spehar v. Beazley</w:t>
      </w:r>
      <w:r>
        <w:rPr>
          <w:rFonts w:ascii="arial" w:eastAsia="arial" w:hAnsi="arial" w:cs="arial"/>
          <w:color w:val="000000"/>
          <w:sz w:val="20"/>
          <w:lang w:val="en-US" w:eastAsia="en-US" w:bidi="ar-SA"/>
        </w:rPr>
        <w:t xml:space="preserve">, </w:t>
      </w:r>
      <w:hyperlink r:id="rId637" w:history="1">
        <w:r>
          <w:rPr>
            <w:rFonts w:ascii="arial" w:eastAsia="arial" w:hAnsi="arial" w:cs="arial"/>
            <w:i/>
            <w:color w:val="0077CC"/>
            <w:sz w:val="20"/>
            <w:u w:val="single"/>
            <w:shd w:val="clear" w:color="auto" w:fill="FFFFFF"/>
            <w:lang w:val="en-US" w:eastAsia="en-US" w:bidi="ar-SA"/>
          </w:rPr>
          <w:t>2002 BCSC 1104</w:t>
        </w:r>
      </w:hyperlink>
      <w:r>
        <w:rPr>
          <w:rFonts w:ascii="arial" w:eastAsia="arial" w:hAnsi="arial" w:cs="arial"/>
          <w:color w:val="000000"/>
          <w:sz w:val="20"/>
          <w:lang w:val="en-US" w:eastAsia="en-US" w:bidi="ar-SA"/>
        </w:rPr>
        <w:t xml:space="preserve"> at para. 55, aff'd </w:t>
      </w:r>
      <w:hyperlink r:id="rId638" w:history="1">
        <w:r>
          <w:rPr>
            <w:rFonts w:ascii="arial" w:eastAsia="arial" w:hAnsi="arial" w:cs="arial"/>
            <w:i/>
            <w:color w:val="0077CC"/>
            <w:sz w:val="20"/>
            <w:u w:val="single"/>
            <w:shd w:val="clear" w:color="auto" w:fill="FFFFFF"/>
            <w:lang w:val="en-US" w:eastAsia="en-US" w:bidi="ar-SA"/>
          </w:rPr>
          <w:t>2004 BCCA 290</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Gignac v. Insurance Corporation of British Columbia</w:t>
      </w:r>
      <w:r>
        <w:rPr>
          <w:rFonts w:ascii="arial" w:eastAsia="arial" w:hAnsi="arial" w:cs="arial"/>
          <w:color w:val="000000"/>
          <w:sz w:val="20"/>
          <w:lang w:val="en-US" w:eastAsia="en-US" w:bidi="ar-SA"/>
        </w:rPr>
        <w:t xml:space="preserve">, </w:t>
      </w:r>
      <w:hyperlink r:id="rId639" w:history="1">
        <w:r>
          <w:rPr>
            <w:rFonts w:ascii="arial" w:eastAsia="arial" w:hAnsi="arial" w:cs="arial"/>
            <w:i/>
            <w:color w:val="0077CC"/>
            <w:sz w:val="20"/>
            <w:u w:val="single"/>
            <w:shd w:val="clear" w:color="auto" w:fill="FFFFFF"/>
            <w:lang w:val="en-US" w:eastAsia="en-US" w:bidi="ar-SA"/>
          </w:rPr>
          <w:t>2012 BCCA 351</w:t>
        </w:r>
      </w:hyperlink>
      <w:r>
        <w:rPr>
          <w:rFonts w:ascii="arial" w:eastAsia="arial" w:hAnsi="arial" w:cs="arial"/>
          <w:color w:val="000000"/>
          <w:sz w:val="20"/>
          <w:lang w:val="en-US" w:eastAsia="en-US" w:bidi="ar-SA"/>
        </w:rPr>
        <w:t xml:space="preserve"> at paras. 29-30.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xml:space="preserve">  The test for assessing an appropriate award is an objective one based on the medical evidence. An item of future care must be medically justified, not medically necessary, and reasonable, to be recoverable: </w:t>
      </w:r>
      <w:r>
        <w:rPr>
          <w:rFonts w:ascii="arial" w:eastAsia="arial" w:hAnsi="arial" w:cs="arial"/>
          <w:i/>
          <w:color w:val="000000"/>
          <w:sz w:val="20"/>
          <w:lang w:val="en-US" w:eastAsia="en-US" w:bidi="ar-SA"/>
        </w:rPr>
        <w:t>Milina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Ms. Dale seeks $96,542 in future care costs, relying on Mr. Altieri's high cost estimates for his own and Dr. Majeed's care recommendations, plus an additional amount for Dr. Chow's recommendations which were not estimated. Mr. Altieri's cost of care report provides a cost range and specifies the replacement time for many of the care items. Those items include a number of treatment items such as consultation with an oral specialist, kinesiology, home ergonomic assessment, physiotherapy, massage therapy, psychological treatment, and equipment and supply items (prescription medication, ergonomic equipment and orthotics). Economist Curtis Peever's report includes cost of care multipliers and present values for the low ($41,969) and high ($70,655) cost estimates for the care items found in Mr. Altieri's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The defendants argue Ms. Dale has not established a claim for any cost of future care because she takes no medication, Dr. Marks has opined that further treatments will have no utility, the cost of any necessary treatment would have been incurred in any event, and the workstation accommodations she claims are to accommodate conditions that cannot be said to have their origin in the subject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I do not accept Dr. Marks' opinion regarding future treatment and some of the defendants' assertions do not accord with my findings of facts.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Cost of Care Items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Consultation with an Oral Specialist: Dr. Majeed recommended Ms. Dale consult a dental specialist about her TMJ pain, which Dr. Chow diagnosed as chronic jaw pain. There is no dispute her jaw symptoms were caused by the second accident. Mr. Altieri estimates the cost of any initial consultation and one follow up appointment at $610.00 to $725.00. Noting that any treatment recommendations would involve an additional cost, and should any oral appliance be required ($950.00), follow-ups would be once per month for six to 12 months, he estimates the cost of subsequent follow up and treatment at $4,250.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Based on the medical evidence, I accept the cost of the consultation and some follow up is medically justified and reasonable. Absent more specific opinion evidence about the likelihood Ms. Dale will require any specific treatment, I view a significant deduction from the estimate for the cost of subsequent follow up as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I award $3,000 for this item.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Kinesiology: Noting Dr. Majeed's recommendation for active rehabilitation and based on his own observations of Ms. Dale's limitations regarding prolonged sitting and sustained neck flexion, Mr. Altieri agrees she would benefit from 12 sessions with a kinesiologist to facilitate a focused exercise program at a cost of $900.00.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I accept this item is medically justified and the cost estimate reasonable, also bearing in mind Ms. Dale's chronic pain condition, as well as Dr. Chow's caution about the need to avoid activities that reproduce and aggravate her pain. Although Ms. Dale was participating in personal training sessions long before the second accident and has consistently relied on gym workouts to manage her pain through strength training, aerobics and stretching, a focused exercise program to help her avoid the risk of worsening her pain symptoms aligns with the objective of restoring and preserving her physical health.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Home Ergonomic Assessment: Mr. Altieri recommends a home ergonomic assessment related to Ms. Dale returning to school to complete a degree in kinesiology. In my view this item is not reasonable because Ms. Dale has no concrete plan to pursue this goal.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Physical Therapy: Based on Dr. Majeed's recommendation for ongoing physiotherapy, massage therapy and chiropractic treatment, Ms. Dale's rate of attendance and reported benefit and the timing of the third accident (five months prior), Mr. Altieri recommends she begin to reduce the frequency to 12 to 14 physiotherapy sessions per year starting in 2019 for symptom management, while she continues to work in an office role or attends school, estimating $960 to $1,400 per year (physiotherapy - $80 per session; massage - $100 per session). Mr. Peever's low and high estimates for the present value of ongoing treatment are $25,412 and $37,060. Ms. Dale suggests the amount for this item should be increased because Dr. Majeed also recommended chiropractic treatment and Dr. Chow recommended periodic brief courses of multiple forms of physical therapy for pain control during symptoms flare ups such as physiotherapy, massage therapy, acupuncture, and chiropractic and manual therapy "down the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In my view, the high range of Mr. Altieri's estimate, but no more, is medically justified and reasonable, allowing as it does for up to 14 appointments per year ongoing. While I accept that physical therapy provides Ms. Dale with much needed symptom relief and she is likely to experience flare ups intermittently over the long term, I also accept that there is a realistic possibility she would have required some, although far less, treatment absent the second and third accidents, and any risk of deterioration is offset by the chance her symptoms will improve. I therefore award $37,060 for this item.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Psychological Treatment: Dr. Majeed recommends ongoing psychological treatment. During her testimony, as I have indicated, she expressed concern about the increase in Ms. Dale's level of distress following the third accident which had subsided with psychological treatment following the second. Dr. Chow recommends a psychological assessment and cognitive behavioural therapy or a mindfulness program for pain control because of her chronic pain and psychological issues. Mr. Altieri recommends four to six sessions at cost of $200 per session based on a review of Ms. Dale's treating psychologist's clinical records, which are not in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In my view four to six sessions is a very conservative estimate for this care item. I accept the anxiety Ms. Dale experienced following the first accident was worsened by the second and third accidents. Ms. Dale's mood also deteriorated quite significantly after the third accident. Not satisfied that Ms. Dale would have incurred future counselling costs as result of the first accident, I deduct nothing from the high estimate of $1,200.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Prescription Medication: Advised by Ms. Dale she was taking baclofen and naproxen for pain management, Mr. Altieri estimated their annual cost at $120.56 to $126.80. Dr. Chow's report recommends long term analgesics but nothing more specific. Dr. Majeed indicated that Ms. Dale may benefit from Cymbalta but there is no evidence regarding its cost or for how long. Whether or not Ms. Dale is currently prescribed medication, she has taken a number of different kinds since the second accident to manage pain symptoms. It seems inevitable she will need to rely upon them in the future, perhaps intermittently. Absent other evidence I am only able to award the amount proposed by Mr. Altieri: $126.80.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Ergonomic Equipment: Mr. Altieri provides cost estimates for a range of ergonomic equipment pending an ergonomic assessment of her home that includes a wireless keyboard and mouse, slant board, document holder, ergonomic chair (to be replaced every 10 to 15 years), sit/stand desk (to be replaced every 10 to 15 years) and a laptop bag with wheels (to be replaced every three to five years), along with a delivery fee and installation charge of $150. The last item contemplates Ms. Dale transporting the laptop and other materials to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Except for the last item, I am satisfied the others are medically justified and reasonable given the limits on Ms. Dale's sitting tolerances and other work-related limitations. I am more than satisfied she requires a sit stand desk and the other equipment to function in her current position as a legal assistant and for any other desk job she may take on in the future. From the mid-point between the low and high estimates, $7,118, I deduct 20% to account for the chance Ms. Dale would have required some of these same accommodations absent the second and third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Custom Orthotics: Mr. Altieri estimates their cost but defers to the medical experts to identify whether Ms. Dale's need for them is caused by her accident related injuries. There is no such evidence. Unable to find orthotics are medically justified, I make no award for this item.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xml:space="preserve">  Claims for special damages are subject to a standard of reasonableness in the context of the injuries suffered: </w:t>
      </w:r>
      <w:r>
        <w:rPr>
          <w:rFonts w:ascii="arial" w:eastAsia="arial" w:hAnsi="arial" w:cs="arial"/>
          <w:i/>
          <w:color w:val="000000"/>
          <w:sz w:val="20"/>
          <w:lang w:val="en-US" w:eastAsia="en-US" w:bidi="ar-SA"/>
        </w:rPr>
        <w:t>Redl v. Sellin</w:t>
      </w:r>
      <w:r>
        <w:rPr>
          <w:rFonts w:ascii="arial" w:eastAsia="arial" w:hAnsi="arial" w:cs="arial"/>
          <w:color w:val="000000"/>
          <w:sz w:val="20"/>
          <w:lang w:val="en-US" w:eastAsia="en-US" w:bidi="ar-SA"/>
        </w:rPr>
        <w:t xml:space="preserve">, </w:t>
      </w:r>
      <w:hyperlink r:id="rId640" w:history="1">
        <w:r>
          <w:rPr>
            <w:rFonts w:ascii="arial" w:eastAsia="arial" w:hAnsi="arial" w:cs="arial"/>
            <w:i/>
            <w:color w:val="0077CC"/>
            <w:sz w:val="20"/>
            <w:u w:val="single"/>
            <w:shd w:val="clear" w:color="auto" w:fill="FFFFFF"/>
            <w:lang w:val="en-US" w:eastAsia="en-US" w:bidi="ar-SA"/>
          </w:rPr>
          <w:t>2013 BCSC 581</w:t>
        </w:r>
      </w:hyperlink>
      <w:r>
        <w:rPr>
          <w:rFonts w:ascii="arial" w:eastAsia="arial" w:hAnsi="arial" w:cs="arial"/>
          <w:color w:val="000000"/>
          <w:sz w:val="20"/>
          <w:lang w:val="en-US" w:eastAsia="en-US" w:bidi="ar-SA"/>
        </w:rPr>
        <w:t xml:space="preserve"> at para. 55. Medical justification for a treatment related expense aimed at promoting the plaintiff's physical or mental well-being is a factor in determining whether it is reasonable. Subjective factors can also be considered, including whether the plaintiff believes the treatments were medically necessary. With respect to cost, the courts have been prepared to allow claims for expenses at the level of optimum care, although plaintiffs are not entitled to recovery for the cost of any procedure they believe will make them feel better.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The parties have agreed Ms. Dale incurred $17,920.53 in treatment expenses for all three accidents. She claims $12,330.53, the amount incurred following the second accident. Those expenses include the cost of physical treatment, psychological treatment and personal training sessions, as well as the cost of a foam roller and memory foam pillow.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The defendants argue they should not be responsible for the cost of personal training sessions, because there is no evidence they are medically necessary and the plaintiff engaged in personal training long before the subject accidents. They also argue they are only liable for half of the cost of 15 psychological treatment which total $885.00. Finally they suggest they should not be responsible for more than 70% of the cost of physiotherapy from July 1, 2016 onward because Ms. Dale would have attended some of the sessions in any event to manage her chronic pre-existing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In my view, all of the psychological treatment costs following the second accident are reasonable. Although Ms. Dale had some anxiety related to the first accident, it was worsened by the second and third. I have already indicated I am not satisfied she would have required further treatment in any event. While I agree some deduction needs to be made from the cost of physical therapy to account for her ongoing symptoms, I regard 80% of the cost as reasonable. Absent evidence that would establish Ms. Dale's personal training sessions were medically recommended or more frequent than they would have been but for the second and third accident, I am not prepared to award their cost. I trust counsel can agree on the calculation.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M.L. FLEMING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73" style="position:absolute;z-index:25179340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41"/>
          <w:headerReference w:type="default" r:id="rId642"/>
          <w:footerReference w:type="even" r:id="rId643"/>
          <w:footerReference w:type="default" r:id="rId644"/>
          <w:headerReference w:type="first" r:id="rId645"/>
          <w:footerReference w:type="first" r:id="rId64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47" w:history="1">
        <w:r>
          <w:rPr>
            <w:rFonts w:ascii="arial" w:eastAsia="arial" w:hAnsi="arial" w:cs="arial"/>
            <w:b/>
            <w:bCs/>
            <w:i/>
            <w:color w:val="0077CC"/>
            <w:kern w:val="32"/>
            <w:sz w:val="28"/>
            <w:szCs w:val="32"/>
            <w:u w:val="single"/>
            <w:shd w:val="clear" w:color="auto" w:fill="FFFFFF"/>
            <w:lang w:val="en-US" w:eastAsia="en-US" w:bidi="ar-SA"/>
          </w:rPr>
          <w:t>Dhanji v. Holland, [2015] B.C.J. No. 1659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P.J. Pearlman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22-25 and 29,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31,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M132536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[2015] B.C.J. No. 1659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2015 BCSC 1351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Amal Aminmohamed Dhanji, Plaintiff, and David John Holland,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(183 paras.)</w:t>
      </w:r>
    </w:p>
    <w:p>
      <w:pPr>
        <w:jc w:val="both"/>
        <w:rPr>
          <w:rFonts w:ascii="arial" w:eastAsia="arial" w:hAnsi="arial" w:cs="arial"/>
          <w:sz w:val="20"/>
          <w:lang w:val="en-US" w:eastAsia="en-US" w:bidi="ar-SA"/>
        </w:rPr>
      </w:pPr>
      <w:bookmarkStart w:id="187" w:name="Counsel_32"/>
      <w:bookmarkEnd w:id="18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74" style="position:absolute;z-index:2516920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D. Gomel and R. Dasanjh.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C. Hope.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88" w:name="Judgment_32"/>
      <w:bookmarkEnd w:id="188"/>
      <w:r>
        <w:pict>
          <v:line id="_x0000_s1175" style="position:absolute;z-index:25174323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89" w:name="P.J. PEARLMAN J._0"/>
            <w:bookmarkEnd w:id="189"/>
            <w:r>
              <w:rPr>
                <w:rFonts w:ascii="arial" w:eastAsia="arial" w:hAnsi="arial" w:cs="arial"/>
                <w:b/>
                <w:color w:val="000000"/>
                <w:sz w:val="30"/>
                <w:lang w:val="en-US" w:eastAsia="en-US" w:bidi="ar-SA"/>
              </w:rPr>
              <w:t>P.J. PEARLMAN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39-year-old plaintiff, Amal Aminmohamed Dhanji, claims against the defendant John Holland for damages for personal injuries. On November 22, 2011, the plaintiff was struck by the defendant's vehicle while she was walking in a marked crosswalk at the intersection of 2nd Avenue and Crowe Street in Vancouver,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 has admitted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Ms. Dhanji claims that as result of the accident she suffered bruising, contusions and pain in her left arm and left and right hips, soft tissue injuries to her mid back and upper back, pain in her low back, headaches, chronic pain syndrome and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main issues on this assessment of damages are:</w:t>
      </w:r>
      <w:r>
        <w:rPr>
          <w:rFonts w:ascii="arial" w:eastAsia="arial" w:hAnsi="arial" w:cs="arial"/>
          <w:sz w:val="20"/>
          <w:lang w:val="en-US" w:eastAsia="en-US" w:bidi="ar-SA"/>
        </w:rPr>
        <w:cr/>
      </w:r>
    </w:p>
    <w:p>
      <w:pPr>
        <w:numPr>
          <w:numId w:val="1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nature and extent of the injuries to the plaintiff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 has failed to mitigate her damages; and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assessment of damages for pain and suffering and loss of enjoyment of life, past and future loss of earning capacity, costs of future care and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Plaintiff's Original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 who is single, was born and raised in Burnaby. At high school, Ms. Dhanji played basketball, volleyball, tennis and soccer, was outgoing, and led an active social life. In addition to her studies, she worked up to 20 hours a week. After graduating from high school, the plaintiff attended Douglas College, and then Simon Fraser University, where she graduated in 2001 with a Bachelor of Science degree in biology. While attending university, she continued to demonstrate a strong work ethic. While pursuing her studies, she worked at Costco as a cashier and membership clerk 20 to 25 hours per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During her university years, and throughout her employment at Costco, the plaintiff participated in a range of social and recreational activities. She attended the Costco softball team's games and "subbed in" to play from time to time. She enjoyed hiking, participated in intramural sports, and attended the gym a couple of times a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Ms. Dhanji is a member of the Ismaili Muslim community. Prior to the accident, she attended mosque one evening a week, and as a volunteer, assisted with security at special events and taught religion classes to children on Saturday mornings.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While attending Simon Fraser University, the plaintiff developed an interest in DNA forensic work. Following her graduation from SFU, she completed a course in forensic technology at the British Columbia Institute of Technology. The plaintiff continued to work at Costco for up to 40 hours a week, and was promoted to a supervisory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July 2004, the plaintiff applied for and obtained employment as an exhibit clerk at the RCMP forensic laboratory in Vancouver on a six-month term contract. While working 40 hours a week at the forensic lab, she continued to work 25 hours per week at Costco. From 2004 through 2006, the plaintiff held a series of term appointments at the forensic lab. In December 2006, she was offered and accepted a DNA analyst position. She successfully completed the training process and qualified as a DNA analyst in June 2008. The plaintiff has continued to work at the forensic lab as a DNA analyst since June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Prior to the accident, the plaintiff worked a compressed shift of four 10-hour days. She spent about 60% of her time in the laboratory working at a lab bench processing DNA samples. For the remaining 40% of her time, she worked at a desk documenting her work and completing correspondence. DNA analysts are assigned batches of samples for processing. Analysis involves a four-step process of extraction, measurement and copying of DNA, and then separating the copies and sending them for identification. Each batch of samples assigned to an analyst may require up to a week to complete. DNA analysis requires concentration. Accuracy is paramount. The analysts are preparing evidence for use in court and must often work to deadlines. The plaintiff's work involves periods of sustained sitting, and for the manual processing of DNA samples, some physically demanding work with the upper arms in holding and manipulating pipettes and test tubes during the sampling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As a DNA analyst, the plaintiff was and is eligible to work overtime shifts on the weekends at double time. As I discuss in more detail later in these reasons, before the accident the plaintiff worked some Saturday overtime shifts, generally not more than once a month, and usually not during the summer. In addition, Ms. Dhanji was able to bank overtime worked during the week when it was necessary to stay late in order to complete a step in the DNA sampling process. Extra hours worked during the week are banked at time and a half. The plaintiff was able to take the banked overtime as time 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September 2008, the plaintiff decided that with the benefits of paid double time for Saturday shifts at the forensics lab, she no longer needed to work at Costco. She terminated her employment at Costco but continued to socialize with her circle of friends there. Before the accident, the plaintiff's recreational and social activities included hosting dinners and travelling with her friends, hiking, volleyball and attendance at the Costco softball games.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On May 15, 2010, Ms. Dhanji suffered a severe ankle sprain while hiking on the Squamish Chief. Conservative treatment, including physiotherapy, produced some improvement to the pain and swelling the plaintiff experienced. However, the plaintiff's limitations, including an inability to run, hop or hike, persisted into 2011. Ultimately, in November 2011, an orthopedic surgeon, Dr. Stephen Pinney, recommended ankle repair surgery, which the plaintiff underwent on January 11,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plaintiff did not play volleyball or softball or hike after her ankle injury. However, by the time of the accident, she was exercising at the gym on a regular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Between 1992 and 1997, Ms. Dhanji suffered whiplash injuries to her neck and back in three motor vehicle accidents. The plaintiff testified that in the 1997 accident she suffered low back pain, "really bad whiplash" and pain in the neck. She said her symptoms lasted for about a year following that accident. Ms. Dhanji also gave evidence that she experienced no symptoms of back or neck pain during the 10 years preceding the accident of November 22,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plaintiff did experience intermittent "back tightness" which she attributed to work-related "wear and tear" for several years before the accident. She treated this complaint with massage therapy once every month or two. At the time of the accident, Ms. Dhanji had mild multi-level degenerative changes to her cervical and thoracic spine. Dr. Russell O'Connor, the physiatrist who was retained by plaintiff's counsel to conduct an independent medical examination of Ms. Dhanji, testified that these degenerative changes shown on an MRI of the plaintiff's neck and back pre-existed the accident. Dr. O'Connor also testified that 20% of patients in their '30s have asymptomatic degenerative changes to their spine.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 find that before the accident, the plaintiff was outgoing, had an active social life, enjoyed the company of her friends, and was dedicated to her work as a DNA analyst. Ms. Dhanji was hard-working, ambitious, and interested in opportunities for promotion within the forensic lab. She was both physically and mentally capable of performing all of the duties of her position. The plaintiff regularly attended mosque, both as a worshipper and a volunteer.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Ms. Dhanji had no prior history of depression. Apart from her intermittent complaints of back tightness, Ms. Dhanji had not suffered from any significant symptoms of mid back, lower back or upper back pain for many years before the accident. The degenerative changes to her cervical and thoracic spine were asymptomatic.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As a result of her ankle injury, the plaintiff had stopped some of her physical activities, including hiking, volleyball and softball. At the time of the accident, her ankle prevented her from hopping or running. While the plaintiff was required to take eight weeks off work following her ankle surgery, at the time of the accident her ankle injury did not interfere with the performance of her duties as a DNA analyst, aside from occasional time off to attend physiotherapy treatments.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Accident and its Aftermath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At approximately 7:00 p.m. on November 22, 2011, Ms. Dhanji was injured when the front-end of the defendant's Hummer vehicle struck her left arm and hip, causing her to fall to the pavement, on her right side. The plaintiff recalls that immediately after the accident she experienced pain in her left arm and right hip. Ms. Dhanji was transported by ambulance to Vancouver General Hospital, where x-rays revealed no fractures. She was given Tylenol 3 and advised to consult her family physician. The plaintiff did not suffer any head injury or loss of consciousness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After Ms. Dhanji's parents took her home from the hospital, her sleep was disrupted by pain. She woke the following morning with pain and stiffness in her left arm, right hip and back. The plaintiff saw her family physician, Dr. Olivia Sampson on November 23, 2011 and reported pain in her left arm, hips, back and neck, for which Dr. Sampson prescribed Tylenol 3 and recommended physiotherapy.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Ms. Dhanji was off work for the remainder of 2011 and until her ankle surgery of January 11, 2012. The plaintiff testified that her back pain prevented her from working due to her inability to sit for prolonged periods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On her doctor's recommendation, the plaintiff attended physiotherapy treatments for pain in her mid and upper back, neck, left arm and right hip. She found the physiotherapy provided some relief and also took Tylenol 3 and regular Tylenol to manage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For about four days following her ankle surgery, while the pain was intense, she took oxycodone. Once her ankle pain subsided, the plaintiff resumed physiotherapy, receiving treatments for both her ankle and her accident-related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plaintiff required eight weeks for recovery from her ankle surgery. Accordingly, she would not have been able to work during that time regardless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plaintiff testified that eight weeks after her ankle surgery she was able to walk normally, but continued to experience intermittent swelling of her ankle for some time. Physiotherapy for her ankle ceased three months after her surgery. Ms. Dhanji testified that she has had no restrictions with respect to her ankle since late 2012, and no symptoms of ankle pain or swelling in the last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Ms. Dhanji began a gradual return to work in March 2012. Initially, she worked four hours per day, four days a week. Mid and upper back pain inhibited her ability to sit for prolonged periods of time. Her employer permitted her to take extra breaks as required and initially limited some of her duties in the lab. The plaintiff slowly increased her hours of work until she resumed a 40-hour week in November 2012, working five eight-hour days per week. Ms. Dhanji found that she could cope with an eight hour shift, but lacked the endurance to work her former compressed schedule of four 10-hour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2012, the plaintiff began an active rehabilitation program under the direction of a kinesiologist, who also developed a program of exercises for her to perform independently in the gym. Her program with the kinesiologist and the gym exercises produced some improvement to the plaintiff's back pain, although the mid back pain, in particular, continued to trouble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When the plaintiff was first assessed by Dr. O'Connor in February 2013, her mood was affected by chronic pain, however she was not prepared to acknowledge that she was suffering from symptoms of depression or anxiety. Dr. O'Connor found that despite Ms. Dhanji's participation in active rehabilitation, she was deconditioned. On the physiatrist's recommendation, Ms. Dhanji increased her kinesiology appointments to four times a week and continued her independent exercise program, working out to up to one and a half hours a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plaintiff found that as a result of her exercise regime, her neck pain improved, although her mid back pain persisted. The plaintiff testified that she continues to experience constant back pain but only experiences neck pain and headaches when her back pain is aggravated.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plaintiff also experienced an improvement in her mood as her physical symptoms improved. The plaintiff testified that through 2013 she continued to experience mid back pain; that she was fatigued by the end of her work days; and that by the end of the week her symptoms of back pain were aggravated to the point where she needed her weekends to recuperate.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March 2014, the plaintiff began a relationship with a man who lived in Abbotsford. At age 38, the plaintiff was interested in building a permanent relationship and wanted to start a family. By 2014, the plaintiff was working a schedule of five nine-hour days, Monday through Friday one week, followed by four nine-hour days the next week. About three times a week, the plaintiff, after completing her nine-hour shift, spent two hours commuting to Abbotsford, and an hour the following morning returning to the lab. Ms. Dhanji devoted her time to her relationship and let her exercise regime lapse. As her level of fitness deteriorated, her symptoms regressed. The plaintiff testified that she began to experience more back pain in the summer of 2014 and that as the intensity of that pain increased, she also experienced neck pain and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plaintiff did continue to see a physiotherapist for relief of back pain about once a month.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plaintiff's partner insisted that she only receive treatment from a female physiotherapist. Unfortunately, Ms. Dhanji's relationship ended suddenly in December 2014 as a result of her partner's lack of empathy for her persistent pain, and his demands that she not see the male physiotherapist who had effectively treated her for some time. Ms. Dhanji was understandably upset and hurt, and mourned the end of the relationship for about two months after the breakup.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When Ms. Dhanji was examined again by Dr. O'Connor in March 2015, she complained of mid back pain, neck pain and headaches, and acknowledged that she had recently experienced symptoms of depression. She had just started counselling and cognitive behavioural therapy with a psychologist, Dr. Suhail.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February 2015, Ms. Dhanji resumed cardiovascular and back strengthening exercises at the gym, one or two times per week. Ms. Dhanji testified that she intends to work up to the same level and intensity of training that she achieved in 2013, but pain and fatigue have undermined her motivation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At the time of trial, the plaintiff's most significant symptoms were mid and upper back pain. Ms. Dhanji continued to complain of suffering neck pain and severe headaches when her back pain was aggravated. She continues to experience discomfort when sitting for prolonged periods of time. She takes Tylenol when required to assist in coping with her pain on workdays. Ms. Dhanji attends mosque less frequently than she did before the accident because she finds it difficult to sit on the floor for prayers and meditation.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short, the plaintiff continues to experience significant mid back pain three and a half years after the accident. Other symptoms, including neck pain and headaches, which had previously abated, had reappeared at the time of Dr. Connor's second report of March 2015. The plaintiff is able to cope, with some discomfort and pain, with her work during regular hours, but since the accident, has only rarely worked Saturday overtime shifts. The plaintiff's continued back and neck pain have restricted some of her recreational, social and religious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Before addressing the extent to which plaintiff's injuries, including her chronic pain and depression were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 will review the medical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PLAINTIFF'S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Medical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Dr. Russell O'Connor, Physiatrist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Dr. O'Connor examined the plaintiff on February 1, 2013 and reassessed her on March 27,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On his examination on February 1, 2013, approximately 14 months after the accident, Dr. O'Connor reported that the contusions and bruising to the plaintiff's left arm and right hip had resolved. In Dr. O'Connor's opinion, as a result of being struck on her left side and knocked to the ground by the defendant's vehicle, Ms. Dhanji had also suffered a prominent emotional response to the accident, significant weight gain, and neck, mid back and low back pain. Dr. O'Connor thought that the plaintiff, who denied problems with anxiety or depression, had not come to terms with the emotional impact of the accident on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At the time of his first examination, the plaintiff weighed 200 pounds. The plaintiff reported she had gained approximately 20 pounds since the accident. Based on her body mass index, Ms. Dhanji's weight placed her in the obese category. More importantly, Dr. O'Connor found the plaintiff to be quite deconditioned, despite her work with a personal trainer.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By February 1, 2013, the plaintiff's neck pain had subsided, although it continued to trouble her, particularly at the end of a long work week. Her low back pain had significantly improved and in Dr. O'Connor's opinion was not a limiting factor at the time of his first examination. Ms. Dhanji's mid back pain was her principal limiting factor and was aggravated with prolonged sitting.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Dr. O'Connor's opinion, the plaintiff was capable of full-time work as a DNA analyst and was able to work out four days a week for an hour and a half at a time. However, she was not working out at a sufficient level of intensity to strengthen her back muscles.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Dr. O'Connor attributed the plaintiff's period of disability from November 22, 2011 until her ankle surgery of January 11, 2012 to the motor vehicle accident. He thought that as a result of the ankle surgery, Ms. Dhanji would have been off work in any event for the eight weeks between her ankle operation and the commencement of her graduated return to work in March 2012. In Dr. O'Connor's opinion, the plaintiff's slow graduated return to work from March to November 2012 was related to the accident. The main limitation for the plaintiff's return to full-time work was her mid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Dr. O'Connor thought that by February 1, 2013 the plaintiff had not yet reached her maximum medical improvement. He offered a guarded prognosis: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How well she will respond to further strength and conditioning and getting her back muscles to the point where they can actually protect her back and keep her back stable, as well as improve the tolerance to sitting with improving the conditioning and endurance of these muscles, is yet to be determined. She has been doing this to date, but at present her muscles are still quite weak, and she needs to redouble her efforts in this regard. This is not to say she has been doing anything wrong, just that she has not quite gotten there yet.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fact that she still has symptoms at the over-one-year mark means that the prognosis is guarded that her symptoms are going to completely resolve, at least in the short term.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estimate an approximately 30-percent chance that she will be left with permanent symptoms of mid back discomfort to some extent intermittently. However, it is more likely -- I would estimate a 70-percent chance -- that her symptoms will slowly improve should she work on conditioning and with the passage of time.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also important to recognize that there may be other psychosocial factors that are affecting her pain experience. She is quite emotional about the accident still. This type of problem can fuel ongoing chronic discomfort or pain, particularly muscles-type tension, and reduce the patient's tolerance for discomfort.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Dr. O'Connor recommended that the plaintiff see a psychologist for her emotional issues related to the accident. He also recommended a continued progressive strength and conditioning program to strengthen the plaintiff's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When Dr. O'Connor re-examined Ms. Dhanji on March 27, 2015 he found that her condition had deteriorated.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Although she had just started to see a psychologist, the plaintiff had been reluctant to pursue psychological or psychiatric treatment. She showed prominent symptoms of depression and anxiety. Dr. O'Connor recommended the plaintiff take anti-depressants and that she be seen by a psychologist and a treating psychiatrist.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With respect to the plaintiff's weight gain, Dr. O'Connor noted Ms. Dhanji had not lost any weight when her physical activity had stopped while she was in her relationship. Her functional capabilities had declined; her pain had gradually and steadily increased. Although the plaintiff's fitness had improved in 2013 and early 2014, her deconditioning had increased again.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plaintiff's neck pain had recurred with her reduced physical activity, increased stress at work and home, and work demands. The plaintiff's mid back, which had improved while the plaintiff worked on muscular strengthening, continued to trouble her. Dr. O'Connor thought that part of Ms. Dhanji's ongoing mid back pain was muscular and that likely part of it was related to irritation or wear of the cervical facet joints, at the C5-6 level.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On her second examination, the plaintiff also complained of headaches, which were not identified as a problem on her first examination. In Dr. O'Connor's opinion, the headaches were related to a combination of deconditioning, the plaintiff's low mood and pain at the top of her neck. He thought the headaches would improve if the plaintiff were aggressively treated for her mood, disturbed sleep and neck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Other factors which Dr. O'Connor thought might be contributing to the plaintiff's neck pain and headaches were the worsening of her mood, her work and the break-up of her recent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plaintiff also complained of pain down her right arm. Dr. O'Connor ruled out nerve root impingement. He thought this was most likely myofascial pain involving muscles in the neck and shoulder, and some mechanical pain from the lower cervical facet joints.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Dr. O'Connor thought the plaintiff was capable of full-time work with some accommodations. The plaintiff's mood was limiting her capacity to cope with work. Ms. Dhanji had made modifications, including use of ergonomic chairs, a hot pack and magic bag to assist her in managing her neck and mid back pain. The plaintiff's chronic pain limited her tolerance for prolonged sitting and repetitive activity involving the full extension of the shoulder muscles, such as reaching overhead or out to the side or front.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Dr. O'Connor's prognosis of March 27, 2015 included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estimate approximately a 15-20% chance that her symptoms will persist sufficient or severe enough that it will cause her to go off work at one point or another. It is more likely than not that she will maintain her employment. However, her pain is still into the moderate to severe level. She is struggling and in fact since I last saw her things have actually worsened. However, it is important to take into consideration that her symptoms had actually gotten better for a period of time when she was exercising more regularly and, if she gets back to this, she should be able to manage. The hard part is that, unless exercise is something a patient really enjoys doing and it is done for lifestyle and because it is something they enjoy, it is very difficult to get patients to continue with an exercise program. If it is done for "therapy" so to speak, most patients fall off the wagon and have a very difficult time continuing on with this. Unless it is a lifestyle that they really enjoy doing, it is much less likely for them to be able to continue on or manage with. In that situation, looking at other solutions that will help with the patient's pain would be important to consider, including the injections that are outlined below.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more likely than not that the patient's symptoms will persist and bother her anywhere from a mild to occasionally moderate extent indefinitely. There should be further improvement should she be able to get out of her current situation of low mood, deconditioning, and increased stress. With appropriate management of these factors, her pain should improve to the point where it is into that mild category but she is still able to manage at home work and recreationally with some modifications.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a very real chance, however, that her mood, anxiety, and deconditioning do not improve and that her pain still persists at the present level in the moderate and occasionally severe range. In that situation, patients are much more likely to have troubles with depression or anxiety. This will need to be kept in consideration when looking at future life jobs and plans for her.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most likely outcome would be that her symptoms continue to bother her to a mild and occasionally moderate extent if she was to maintain her exercise routine and promptly and aggressively treat her mood difficulties should they rear their head as they are presently. This would be a lifelong battle as her pain has proven to be chronic and most mood problems, if they have been present as long as they have for this patient, tend to also be chronic and a lifelong battle. For this reason, they will often rear their heads intermittently through one's lifetime and she will need to continue to be managed on an ongoing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In addition to recommending anti-depressant medication to treat the plaintiff's mood, Dr. O'Connor recommended a strength and conditioning program for her neck and shoulder girdle. Based on the positive effects of the plaintiff's exercise regime in 2013, Dr. O'Connor thought that the plaintiff's headaches and neck pain would significantly improve if she resumed an active exercise program. If the strength and conditioning program did not produce the desired results, he thought a C2-3 facet joint block injection might assist in treating the plaintiff's neck pain and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Finally, Dr. O'Connor recommended that the plaintiff see a personal trainer or kinesiologist every three to five years to help her in adjusting her exercise program to manage any continuing symptoms.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Dr. Paul Devlin, Psychiatrist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Dr. Devlin assessed Ms. Dhanji on March 24, 2015 at the request of plaintiff's counsel. Dr. Devlin noted that the plaintiff became tearful when describing her frustration with her prolonged symptoms of pain. Ms. Dhanji reported a low mood, that her sleep was sometimes disrupted by pain, and that she felt physically deconditioned and incapable of summoning the energy required to lose weight through exercise.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In Dr. Devlin's opinion, the plaintiff suffers from a chronic pain syndrome and depression. He reported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 does not appear to have had any period of time over the last four years when she has been completely free of depressive symptoms. She is an intelligent, capable, resourceful, resilient kind of person who has struggled to maintain a reasonable face. The effects of depression are neurovegatative with disturbance in sleep, energy, concentration, motivation and stamina all of which are endorsed by this lady.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believe this lady is suffering from a mild to moderate chronic depression largely as a result of the injuries that she sustained which I would describe as a chronic myofascial pain syndrome sustained in the index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Dr. Devlin thought the plaintiff's depression would improve with treatment. He recommended a combination of medication and 25 to 30 hours of cognitive behavioural therapy with a psychologist. Dr. Devlin also thought the plaintiff would benefit from a full assessment at a pain clinic, at an approximate cost of $8,000.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In cross-examination, Dr. Devlin agreed that a variety of factors contributed to Ms. Dhanji's depression when he saw her in March 2015. In Dr. Devlin's opinion, those factors included her pain, sleep disruption, her weight gain and consequent loss of self-esteem, financial problems, social isolation from her friends, stopping volleyball, softball and hiking, and the break-up of her relationship in December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Although the plaintiff told Dr. Devlin she had put on about 20 pounds since the accident, her weight had fluctuated within a range of approximately 180 to 200 pounds before and after the accident. Ms. Dhanji's own evidence about her weight was unreliable. She was not in the habit of weighing herself or recording her weight, and was unable to recall her weight at various times. The plaintiff's weight appears to have fluctuated with her level of physical activity. I find that her weight probably increased following her ankle injury, and then fell while she maintained a high level of exercise through 2013, before increasing again when she stopped exercising in 2014 during her relationship. Before and after the accident, the plaintiff's weight, fluctuating between 180 to 200 pounds, placed her in the obese category.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plaintiff testified that she had no financial problems. She is entitled to unlimited sick pay and has received her full base salary since the accident. I find that Dr. Devlin was incorrect in asserting that financial troubles contributed to the plaintiff's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With respect to social isolation, while the plaintiff's contact with her friends has diminished since the accident, she continues to host dinners from time to time, has travelled with friends to Las Vegas and Whistler and still attends softball games with her friends. Some of the plaintiff's friends have married or had children, and for that reason no longer see her as often as they did formerly.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Counsel for the defendants argues that Ms. Dhanji's reduction in sports activities is attributable in large part to her ankle injury. He refers to the plaintiff's testimony that she has not played volleyball or softball since 2009 and has not hiked since she injured her ankle in May 2010. However, the plaintiff's ongoing back and neck pain have also limited her physical activities. While Ms. Dhanji is capable of exercising, her tolerance of repetitive activities that strain her back is reduced. The plaintiff tried hiking once in 2014, but found that it exacerbated her back pain and left her fatigued. She and has not resumed hiking for fear of aggravating her back and neck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Ms. Dhanji's break-up with her boyfriend was undoubtedly also a significant factor contributing to her depression when Dr. Devlin saw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In cross-examination, Dr. Devlin maintained that the plaintiff's depression was directly related to her physical pain and chronic pain syndrome, which she developed after the accident. The plaintiff had no prior history of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Findings of Fact: the Plaintiff's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Although the plaintiff's evidence regarding her weight was unreliable, overall, I found the plaintiff to be a credible witness who gave her testimony in a straightforward manner and without embellishing her symptoms or complaints.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 find that in the accident the plaintiff suffered significant bruising and contusions, particularly to her left arm and right hip, all of which had resolved in a matter of weeks and well before Dr. O'Connor's first examination of February 1,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 also find that since the accident the plaintiff has experienced persistent pain in her mid-back, which remained her principal complaint at the time of trial. Ms. Dhanji's low back pain had substantially resolved, and had ceased to be a limiting factor by February 1,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During the 14 months following the accident, the plaintiff's neck pain improved, but at the time of Dr. O'Connor's first examination, continued to trouble her intermittently.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 accept the opinion of Dr. O'Connor that by the time of his second examination in March 2015, the plaintiff's condition had deteriorated. Although her neck pain had improved while she engaged in active rehabilitation and exercise sessions through 2013, after the plaintiff ceased exercising in 2014 she suffered from more intensive mid back pain accompanied by intermittent flare-ups of intense neck pain, and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plaintiff has also suffered some intermittent pain down her right arm, which Dr. O'Connor attributed to myofascial pain involving the muscles of the neck and shoulder girdle, and possibly some irritation to the C5-6 facet joint.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 also accept the evidence of Drs. O'Connor and Devlin that Ms. Dhanji suffered symptoms of depression and anxiety following the accident and that she developed chronic myofascial pain syndrome which persisted at the time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 find that due to her chronic pain, the plaintiff experiences intermittent sleep disruption. In addition, I accept Dr. Devlin's diagnosis that Ms. Dhanji suffers from mild to moderate chronic depression. In the next section of these reasons, I will set out my findings concerning the causes of that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 also find that Ms. Dhanji's prognosis is guarded. As Dr. O'Connor explained, it is more likely than not that Ms. Dhanji's symptoms of mid back and neck pain will persist indefinitely, troubling her from a mild to occasionally moderate extent. The plaintiff will likely realize some improvement if she is able to resume and maintain an active exercise program, and with treatment for her depression. However, if Ms. Dhanji does not improve and maintain her physical conditioning, there is a real likelihood that she may experience bouts of moderate to severe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The basic test for determining causation is the "but for" test. The plaintiff bears the burden of establishing that "but for" the negligent act or omission of the defendant, the injury would not have occurred: </w:t>
      </w:r>
      <w:r>
        <w:rPr>
          <w:rFonts w:ascii="arial" w:eastAsia="arial" w:hAnsi="arial" w:cs="arial"/>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504" w:history="1">
        <w:r>
          <w:rPr>
            <w:rFonts w:ascii="arial" w:eastAsia="arial" w:hAnsi="arial" w:cs="arial"/>
            <w:i/>
            <w:color w:val="0077CC"/>
            <w:sz w:val="20"/>
            <w:u w:val="single"/>
            <w:shd w:val="clear" w:color="auto" w:fill="FFFFFF"/>
            <w:lang w:val="en-US" w:eastAsia="en-US" w:bidi="ar-SA"/>
          </w:rPr>
          <w:t>[2007] 1 S.C.R. 333</w:t>
        </w:r>
      </w:hyperlink>
      <w:r>
        <w:rPr>
          <w:rFonts w:ascii="arial" w:eastAsia="arial" w:hAnsi="arial" w:cs="arial"/>
          <w:color w:val="000000"/>
          <w:sz w:val="20"/>
          <w:lang w:val="en-US" w:eastAsia="en-US" w:bidi="ar-SA"/>
        </w:rPr>
        <w:t xml:space="preserve"> at paras. 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As the Court observed in </w:t>
      </w:r>
      <w:r>
        <w:rPr>
          <w:rFonts w:ascii="arial" w:eastAsia="arial" w:hAnsi="arial" w:cs="arial"/>
          <w:i/>
          <w:color w:val="000000"/>
          <w:sz w:val="20"/>
          <w:lang w:val="en-US" w:eastAsia="en-US" w:bidi="ar-SA"/>
        </w:rPr>
        <w:t>Resurfice</w:t>
      </w:r>
      <w:r>
        <w:rPr>
          <w:rFonts w:ascii="arial" w:eastAsia="arial" w:hAnsi="arial" w:cs="arial"/>
          <w:color w:val="000000"/>
          <w:sz w:val="20"/>
          <w:lang w:val="en-US" w:eastAsia="en-US" w:bidi="ar-SA"/>
        </w:rPr>
        <w:t xml:space="preserve"> at para. 23: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"but for" test recognizes that compensation for negligent conduct should only be made "where a substantial connection between the injury and the defendant's conduct" is present. It ensures that a defendant will not be held liable for the plaintiff's injuries where they "may very well be due to factors unconnected to the defendant and not the fault of anyone": </w:t>
      </w:r>
      <w:r>
        <w:rPr>
          <w:rFonts w:ascii="arial" w:eastAsia="arial" w:hAnsi="arial" w:cs="arial"/>
          <w:i/>
          <w:color w:val="000000"/>
          <w:sz w:val="20"/>
          <w:lang w:val="en-US" w:eastAsia="en-US" w:bidi="ar-SA"/>
        </w:rPr>
        <w:t>Snell v. Farrell</w:t>
      </w:r>
      <w:r>
        <w:rPr>
          <w:rFonts w:ascii="arial" w:eastAsia="arial" w:hAnsi="arial" w:cs="arial"/>
          <w:color w:val="000000"/>
          <w:sz w:val="20"/>
          <w:lang w:val="en-US" w:eastAsia="en-US" w:bidi="ar-SA"/>
        </w:rPr>
        <w:t xml:space="preserve">, </w:t>
      </w:r>
      <w:hyperlink r:id="rId608" w:history="1">
        <w:r>
          <w:rPr>
            <w:rFonts w:ascii="arial" w:eastAsia="arial" w:hAnsi="arial" w:cs="arial"/>
            <w:i/>
            <w:color w:val="0077CC"/>
            <w:sz w:val="20"/>
            <w:u w:val="single"/>
            <w:shd w:val="clear" w:color="auto" w:fill="FFFFFF"/>
            <w:lang w:val="en-US" w:eastAsia="en-US" w:bidi="ar-SA"/>
          </w:rPr>
          <w:t>[1990] 2 S.C.R. 311</w:t>
        </w:r>
      </w:hyperlink>
      <w:r>
        <w:rPr>
          <w:rFonts w:ascii="arial" w:eastAsia="arial" w:hAnsi="arial" w:cs="arial"/>
          <w:color w:val="000000"/>
          <w:sz w:val="20"/>
          <w:lang w:val="en-US" w:eastAsia="en-US" w:bidi="ar-SA"/>
        </w:rPr>
        <w:t xml:space="preserve"> at p. 327, per Sopinka 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The "but for" test must be proved on a balance of probabilities, rather than with scientific precision: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505"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at paras. 13, 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It is not necessary for the plaintiff to establish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the sole cause of the injury. As long as the defendant is part of the cause of the injury, the defendant is liable, even if his or her act alone was not enough to create the injury: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at para. 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Causation must be established on a balance of probabilities before damages are assessed: </w:t>
      </w:r>
      <w:r>
        <w:rPr>
          <w:rFonts w:ascii="arial" w:eastAsia="arial" w:hAnsi="arial" w:cs="arial"/>
          <w:i/>
          <w:color w:val="000000"/>
          <w:sz w:val="20"/>
          <w:lang w:val="en-US" w:eastAsia="en-US" w:bidi="ar-SA"/>
        </w:rPr>
        <w:t>Blackwater v. Plint</w:t>
      </w:r>
      <w:r>
        <w:rPr>
          <w:rFonts w:ascii="arial" w:eastAsia="arial" w:hAnsi="arial" w:cs="arial"/>
          <w:color w:val="000000"/>
          <w:sz w:val="20"/>
          <w:lang w:val="en-US" w:eastAsia="en-US" w:bidi="ar-SA"/>
        </w:rPr>
        <w:t xml:space="preserve">, </w:t>
      </w:r>
      <w:hyperlink r:id="rId506" w:history="1">
        <w:r>
          <w:rPr>
            <w:rFonts w:ascii="arial" w:eastAsia="arial" w:hAnsi="arial" w:cs="arial"/>
            <w:i/>
            <w:color w:val="0077CC"/>
            <w:sz w:val="20"/>
            <w:u w:val="single"/>
            <w:shd w:val="clear" w:color="auto" w:fill="FFFFFF"/>
            <w:lang w:val="en-US" w:eastAsia="en-US" w:bidi="ar-SA"/>
          </w:rPr>
          <w:t>2005 SCC 58</w:t>
        </w:r>
      </w:hyperlink>
      <w:r>
        <w:rPr>
          <w:rFonts w:ascii="arial" w:eastAsia="arial" w:hAnsi="arial" w:cs="arial"/>
          <w:color w:val="000000"/>
          <w:sz w:val="20"/>
          <w:lang w:val="en-US" w:eastAsia="en-US" w:bidi="ar-SA"/>
        </w:rPr>
        <w:t xml:space="preserve"> at para. 78.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The soft tissue injuries which Ms. Dhanji sustained to her neck and back in the motor vehicle accidents of 1992, 1996 and 1997 had all resolved many years before the accident of November 22, 2011. The mild tightness in her back that the plaintiff experienced intermittently before the accident, and for which she received occasional massage therapy treatments, was related to her sedentary work. Her pre-accident back discomfort did not interfere with her functioning, and was of a much lesser order of magnitude than the low back, mid back and neck pain that Ms. Dhanji suffered following the accident. Dr. O'Connor identified the accident as the cause of the plaintiff's ongoing mid back and cervical spine pain, although he thought that irritation or wear of the cervical facet joints was likely also contributing to the plaintiff's discomfort. In Dr. O'Connor's opinion, the recurrence of Ms. Dhanji's neck pain is consistent with the soft tissue injuries she sustained in the accident. He explained that pain may be referred from the back into the neck and shoulder. As he observed, "soft tissue pain tends to move around". I find that but for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Ms. Dhanji would not have suffered the low back, mid back and neck pain that troubled her after November 22, 2011, or the chronic mid back and neck pain from which she continues to suffer.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 plaintiff associates her headaches with bouts of intense neck pain. Dr. O'Connor noted in his report of March 27, 2015 that headaches had only recently become a significant problem. In the medical records he reviewed, Dr. O'Connor found no reference to the plaintiff complaining about headaches before 2014. Taking into account the delay in the onset of the plaintiff's headaches, I accept Dr. O'Connor's opinion that the headaches are "a secondary factor related to the chronic neck tension, possibly gradual development of some wear-and-tear arthritis in the cervical spine, or related to her depression or stress rather than directly and immediately related to the motor vehicle accident." I find that Ms. Dhanji has not shown that but for the accident, she would not have suffered from the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 find that the plaintiff's right arm pain, as Dr. O'Connor advised, involves referred pain from the muscles in the plaintiff's neck and shoulder girdle, and conclude that the accident is a cause of that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But for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Ms. Dhanji would not have incurred the contusions and bruising to her left arm, left thigh and right hip, all of which had resolved well before Dr. O'Connor's first examination of February 1,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 have already discussed the fluctuations in the plaintiff's weight before and after the accident. I am not persuaded that Ms. Dhanji experienced significant weight gain as a result of the accident. In both her original state, and since the accident, Ms. Dhanji has tended to put on weight during periods of inactivity. Her reporting of her weight gains to Drs. O'Connor and Devlin was unreliable. I have found that she had gained weight before the accident, following her ankle injury. The plaintiff has not established that, but for the accident, she would not have experienced the weight gain of which she now complains.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The plaintiff had no history of depression or mood disorder before the accident. Following the accident, and as her chronic pain persisted, she developed symptoms of depression, including low mood, tearfulness, insomnia, and a decline in her energy, motivation and stamina which continued, at varying levels, to the time of trial. I accept Dr. Devlin's opinion that the plaintiff's depression is directly related to the chronic pain she developed after the accident and that her depressed mood resulted from the chronic pain. I find that but for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plaintiff would not have developed chronic pain syndrome; that the accident caused the onset of Ms. Dhanji's depression; and that her continuing chronic back pain is a significant cause of Ms. Dhanji's ongoing mild to moderate chronic depression. I also find that the break-up of her relationship took an emotional toll on Ms. Dhanji and was a contributing factor to her depression from December 2014 through the time Dr. Devlin saw her in late March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I find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the principal cause of the plaintiff's ongoing depression. I would attribute 80 per cent of her post-December 2014 depressive condition to the accident, and 20 per cent to non-tortious factors, including the break-up of her relationship, for which the defendant is not responsible.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MITIGATION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The defendant submits that Ms. Dhanji's damages should be reduced for failure to mitigate. Specifically, the defendant contends that the plaintiff has failed to mitigate by:</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follow the recommendations of Drs. Sampson and O'Connor in early 2013 that she take psychological counselling for the emotional consequences of her injuries;</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follow the recommendations of Dr. Devlin and Dr. O'Connor of late March 2015 that she take anti-depressant medication; and</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maintain her exercise and active rehabilitation program through most of 2014 as recommended by her family doctors and Dr. O'Connor.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Chiu v. Chiu</w:t>
      </w:r>
      <w:r>
        <w:rPr>
          <w:rFonts w:ascii="arial" w:eastAsia="arial" w:hAnsi="arial" w:cs="arial"/>
          <w:color w:val="000000"/>
          <w:sz w:val="20"/>
          <w:lang w:val="en-US" w:eastAsia="en-US" w:bidi="ar-SA"/>
        </w:rPr>
        <w:t xml:space="preserve">, </w:t>
      </w:r>
      <w:hyperlink r:id="rId509" w:history="1">
        <w:r>
          <w:rPr>
            <w:rFonts w:ascii="arial" w:eastAsia="arial" w:hAnsi="arial" w:cs="arial"/>
            <w:i/>
            <w:color w:val="0077CC"/>
            <w:sz w:val="20"/>
            <w:u w:val="single"/>
            <w:shd w:val="clear" w:color="auto" w:fill="FFFFFF"/>
            <w:lang w:val="en-US" w:eastAsia="en-US" w:bidi="ar-SA"/>
          </w:rPr>
          <w:t>2002 BCCA 618</w:t>
        </w:r>
      </w:hyperlink>
      <w:r>
        <w:rPr>
          <w:rFonts w:ascii="arial" w:eastAsia="arial" w:hAnsi="arial" w:cs="arial"/>
          <w:color w:val="000000"/>
          <w:sz w:val="20"/>
          <w:lang w:val="en-US" w:eastAsia="en-US" w:bidi="ar-SA"/>
        </w:rPr>
        <w:t xml:space="preserve"> at para. 57, Low J.A.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onus is on the defendant to prove that the plaintiff could have avoided all or a portion of his loss. In a personal injury case in which the plaintiff has not pursued a course of medical treatment recommended to him by doctors, the defendant must prove two things: (1) that the plaintiff acted unreasonably in eschewing the recommended treatment, and (2) the extent, if any, to which the plaintiff's damages would have been reduced had he acted reasonably. These principles are found in </w:t>
      </w:r>
      <w:r>
        <w:rPr>
          <w:rFonts w:ascii="arial" w:eastAsia="arial" w:hAnsi="arial" w:cs="arial"/>
          <w:i/>
          <w:color w:val="000000"/>
          <w:sz w:val="20"/>
          <w:lang w:val="en-US" w:eastAsia="en-US" w:bidi="ar-SA"/>
        </w:rPr>
        <w:t>Janiak v. Ippolito</w:t>
      </w:r>
      <w:r>
        <w:rPr>
          <w:rFonts w:ascii="arial" w:eastAsia="arial" w:hAnsi="arial" w:cs="arial"/>
          <w:color w:val="000000"/>
          <w:sz w:val="20"/>
          <w:lang w:val="en-US" w:eastAsia="en-US" w:bidi="ar-SA"/>
        </w:rPr>
        <w:t xml:space="preserve">, </w:t>
      </w:r>
      <w:hyperlink r:id="rId510" w:history="1">
        <w:r>
          <w:rPr>
            <w:rFonts w:ascii="arial" w:eastAsia="arial" w:hAnsi="arial" w:cs="arial"/>
            <w:i/>
            <w:color w:val="0077CC"/>
            <w:sz w:val="20"/>
            <w:u w:val="single"/>
            <w:shd w:val="clear" w:color="auto" w:fill="FFFFFF"/>
            <w:lang w:val="en-US" w:eastAsia="en-US" w:bidi="ar-SA"/>
          </w:rPr>
          <w:t>[1985] 1 S.C.R. 146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Gregory v. Insurance Corporation of British Columbia</w:t>
      </w:r>
      <w:r>
        <w:rPr>
          <w:rFonts w:ascii="arial" w:eastAsia="arial" w:hAnsi="arial" w:cs="arial"/>
          <w:color w:val="000000"/>
          <w:sz w:val="20"/>
          <w:lang w:val="en-US" w:eastAsia="en-US" w:bidi="ar-SA"/>
        </w:rPr>
        <w:t xml:space="preserve">, </w:t>
      </w:r>
      <w:hyperlink r:id="rId648" w:history="1">
        <w:r>
          <w:rPr>
            <w:rFonts w:ascii="arial" w:eastAsia="arial" w:hAnsi="arial" w:cs="arial"/>
            <w:i/>
            <w:color w:val="0077CC"/>
            <w:sz w:val="20"/>
            <w:u w:val="single"/>
            <w:shd w:val="clear" w:color="auto" w:fill="FFFFFF"/>
            <w:lang w:val="en-US" w:eastAsia="en-US" w:bidi="ar-SA"/>
          </w:rPr>
          <w:t>2011 BCCA 144</w:t>
        </w:r>
      </w:hyperlink>
      <w:r>
        <w:rPr>
          <w:rFonts w:ascii="arial" w:eastAsia="arial" w:hAnsi="arial" w:cs="arial"/>
          <w:color w:val="000000"/>
          <w:sz w:val="20"/>
          <w:lang w:val="en-US" w:eastAsia="en-US" w:bidi="ar-SA"/>
        </w:rPr>
        <w:t xml:space="preserve"> at para. 56, Garson J.A., for the Court, described the mitigation test: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would describe the mitigation test as a subjective/ objective test. That is whether the reasonable patient, having all the information at hand that the plaintiff possessed, ought reasonably to have undergone the recommended treatment. The second aspect of the test is "the extent, if any to which the plaintiff's damages </w:t>
      </w:r>
      <w:r>
        <w:rPr>
          <w:rFonts w:ascii="arial" w:eastAsia="arial" w:hAnsi="arial" w:cs="arial"/>
          <w:color w:val="000000"/>
          <w:sz w:val="20"/>
          <w:u w:val="single"/>
          <w:lang w:val="en-US" w:eastAsia="en-US" w:bidi="ar-SA"/>
        </w:rPr>
        <w:t>would have been reduced</w:t>
      </w:r>
      <w:r>
        <w:rPr>
          <w:rFonts w:ascii="arial" w:eastAsia="arial" w:hAnsi="arial" w:cs="arial"/>
          <w:color w:val="000000"/>
          <w:sz w:val="20"/>
          <w:lang w:val="en-US" w:eastAsia="en-US" w:bidi="ar-SA"/>
        </w:rPr>
        <w:t xml:space="preserve">" by that treatment. The </w:t>
      </w:r>
      <w:r>
        <w:rPr>
          <w:rFonts w:ascii="arial" w:eastAsia="arial" w:hAnsi="arial" w:cs="arial"/>
          <w:i/>
          <w:color w:val="000000"/>
          <w:sz w:val="20"/>
          <w:lang w:val="en-US" w:eastAsia="en-US" w:bidi="ar-SA"/>
        </w:rPr>
        <w:t>Turner</w:t>
      </w:r>
      <w:r>
        <w:rPr>
          <w:rFonts w:ascii="arial" w:eastAsia="arial" w:hAnsi="arial" w:cs="arial"/>
          <w:color w:val="000000"/>
          <w:sz w:val="20"/>
          <w:lang w:val="en-US" w:eastAsia="en-US" w:bidi="ar-SA"/>
        </w:rPr>
        <w:t xml:space="preserve"> case, on which the trial judge relies, uses slightly different language than this Court's judgment in </w:t>
      </w:r>
      <w:r>
        <w:rPr>
          <w:rFonts w:ascii="arial" w:eastAsia="arial" w:hAnsi="arial" w:cs="arial"/>
          <w:i/>
          <w:color w:val="000000"/>
          <w:sz w:val="20"/>
          <w:lang w:val="en-US" w:eastAsia="en-US" w:bidi="ar-SA"/>
        </w:rPr>
        <w:t>Chiu</w:t>
      </w:r>
      <w:r>
        <w:rPr>
          <w:rFonts w:ascii="arial" w:eastAsia="arial" w:hAnsi="arial" w:cs="arial"/>
          <w:color w:val="000000"/>
          <w:sz w:val="20"/>
          <w:lang w:val="en-US" w:eastAsia="en-US" w:bidi="ar-SA"/>
        </w:rPr>
        <w:t xml:space="preserve">: "there is some likelihood that he or she </w:t>
      </w:r>
      <w:r>
        <w:rPr>
          <w:rFonts w:ascii="arial" w:eastAsia="arial" w:hAnsi="arial" w:cs="arial"/>
          <w:color w:val="000000"/>
          <w:sz w:val="20"/>
          <w:u w:val="single"/>
          <w:lang w:val="en-US" w:eastAsia="en-US" w:bidi="ar-SA"/>
        </w:rPr>
        <w:t>would have received substantial benefit from it</w:t>
      </w:r>
      <w:r>
        <w:rPr>
          <w:rFonts w:ascii="arial" w:eastAsia="arial" w:hAnsi="arial" w:cs="arial"/>
          <w:color w:val="000000"/>
          <w:sz w:val="20"/>
          <w:lang w:val="en-US" w:eastAsia="en-US" w:bidi="ar-SA"/>
        </w:rPr>
        <w:t xml:space="preserv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The authorities relied upon by the defendant include </w:t>
      </w:r>
      <w:r>
        <w:rPr>
          <w:rFonts w:ascii="arial" w:eastAsia="arial" w:hAnsi="arial" w:cs="arial"/>
          <w:i/>
          <w:color w:val="000000"/>
          <w:sz w:val="20"/>
          <w:lang w:val="en-US" w:eastAsia="en-US" w:bidi="ar-SA"/>
        </w:rPr>
        <w:t>Qiao v.</w:t>
      </w:r>
      <w:r>
        <w:rPr>
          <w:rFonts w:ascii="arial" w:eastAsia="arial" w:hAnsi="arial" w:cs="arial"/>
          <w:color w:val="000000"/>
          <w:sz w:val="20"/>
          <w:lang w:val="en-US" w:eastAsia="en-US" w:bidi="ar-SA"/>
        </w:rPr>
        <w:t xml:space="preserve"> Buckley, </w:t>
      </w:r>
      <w:hyperlink r:id="rId649" w:history="1">
        <w:r>
          <w:rPr>
            <w:rFonts w:ascii="arial" w:eastAsia="arial" w:hAnsi="arial" w:cs="arial"/>
            <w:i/>
            <w:color w:val="0077CC"/>
            <w:sz w:val="20"/>
            <w:u w:val="single"/>
            <w:shd w:val="clear" w:color="auto" w:fill="FFFFFF"/>
            <w:lang w:val="en-US" w:eastAsia="en-US" w:bidi="ar-SA"/>
          </w:rPr>
          <w:t>2008 BCSC 1782</w:t>
        </w:r>
      </w:hyperlink>
      <w:r>
        <w:rPr>
          <w:rFonts w:ascii="arial" w:eastAsia="arial" w:hAnsi="arial" w:cs="arial"/>
          <w:color w:val="000000"/>
          <w:sz w:val="20"/>
          <w:lang w:val="en-US" w:eastAsia="en-US" w:bidi="ar-SA"/>
        </w:rPr>
        <w:t xml:space="preserve">, where the court reduced the plaintiff's non-pecuniary damages by 30% for her failure to participate in counselling recommended by her family doctor and psychiatrist; </w:t>
      </w:r>
      <w:r>
        <w:rPr>
          <w:rFonts w:ascii="arial" w:eastAsia="arial" w:hAnsi="arial" w:cs="arial"/>
          <w:i/>
          <w:color w:val="000000"/>
          <w:sz w:val="20"/>
          <w:lang w:val="en-US" w:eastAsia="en-US" w:bidi="ar-SA"/>
        </w:rPr>
        <w:t>Salzmann (Litigation Guardian of) v. Bohmer</w:t>
      </w:r>
      <w:r>
        <w:rPr>
          <w:rFonts w:ascii="arial" w:eastAsia="arial" w:hAnsi="arial" w:cs="arial"/>
          <w:color w:val="000000"/>
          <w:sz w:val="20"/>
          <w:lang w:val="en-US" w:eastAsia="en-US" w:bidi="ar-SA"/>
        </w:rPr>
        <w:t xml:space="preserve">, </w:t>
      </w:r>
      <w:hyperlink r:id="rId650" w:history="1">
        <w:r>
          <w:rPr>
            <w:rFonts w:ascii="arial" w:eastAsia="arial" w:hAnsi="arial" w:cs="arial"/>
            <w:i/>
            <w:color w:val="0077CC"/>
            <w:sz w:val="20"/>
            <w:u w:val="single"/>
            <w:shd w:val="clear" w:color="auto" w:fill="FFFFFF"/>
            <w:lang w:val="en-US" w:eastAsia="en-US" w:bidi="ar-SA"/>
          </w:rPr>
          <w:t>2009 BCSC 1586</w:t>
        </w:r>
      </w:hyperlink>
      <w:r>
        <w:rPr>
          <w:rFonts w:ascii="arial" w:eastAsia="arial" w:hAnsi="arial" w:cs="arial"/>
          <w:color w:val="000000"/>
          <w:sz w:val="20"/>
          <w:lang w:val="en-US" w:eastAsia="en-US" w:bidi="ar-SA"/>
        </w:rPr>
        <w:t xml:space="preserve">, where non-pecuniary damages, damages for loss of earning capacity and special damages were reduced by 20% for the plaintiff's failure to pursue conditioning and exercise programs; and </w:t>
      </w:r>
      <w:r>
        <w:rPr>
          <w:rFonts w:ascii="arial" w:eastAsia="arial" w:hAnsi="arial" w:cs="arial"/>
          <w:i/>
          <w:color w:val="000000"/>
          <w:sz w:val="20"/>
          <w:lang w:val="en-US" w:eastAsia="en-US" w:bidi="ar-SA"/>
        </w:rPr>
        <w:t>Latuszek v. Bel-Air Taxi, [1992] Ltd.</w:t>
      </w:r>
      <w:r>
        <w:rPr>
          <w:rFonts w:ascii="arial" w:eastAsia="arial" w:hAnsi="arial" w:cs="arial"/>
          <w:color w:val="000000"/>
          <w:sz w:val="20"/>
          <w:lang w:val="en-US" w:eastAsia="en-US" w:bidi="ar-SA"/>
        </w:rPr>
        <w:t xml:space="preserve">, </w:t>
      </w:r>
      <w:hyperlink r:id="rId651" w:history="1">
        <w:r>
          <w:rPr>
            <w:rFonts w:ascii="arial" w:eastAsia="arial" w:hAnsi="arial" w:cs="arial"/>
            <w:i/>
            <w:color w:val="0077CC"/>
            <w:sz w:val="20"/>
            <w:u w:val="single"/>
            <w:shd w:val="clear" w:color="auto" w:fill="FFFFFF"/>
            <w:lang w:val="en-US" w:eastAsia="en-US" w:bidi="ar-SA"/>
          </w:rPr>
          <w:t>2009 BCSC 798</w:t>
        </w:r>
      </w:hyperlink>
      <w:r>
        <w:rPr>
          <w:rFonts w:ascii="arial" w:eastAsia="arial" w:hAnsi="arial" w:cs="arial"/>
          <w:color w:val="000000"/>
          <w:sz w:val="20"/>
          <w:lang w:val="en-US" w:eastAsia="en-US" w:bidi="ar-SA"/>
        </w:rPr>
        <w:t>, where the plaintiff's damages were reduced by 40% for failure to take anti-depression medication, or to exercise.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The defendant contends that the plaintiff acted unreasonably in failing to follow the recommendations made by Drs. Sampson and O'Connor in early 2013 that she take psychological counselling, and the recommendations of Drs. Devlin and O'Connor made in late March 2015 that she take anti-depressant medications. The defendant must also establish, on the balance of probabilities, that had Ms. Dhanji followed those recommendations her damages would have been reduced.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I will deal first with Ms. Dhanji's failure to take anti-depressants. At page 3 of his report of March 27, 2015, Dr. O'Connor, after recommending that the plaintiff see a psychologist and a treating psychiatrist, went on to recommend that in the meantime, her family doctor could consider medication that would help with both pain and mood "should there be a significant wait for this consultation".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Ms. Dhanji began the cognitive behavioural therapy recommended by Drs. O'Connor and Devlin in the spring of 2015 and had completed four sessions by the time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The plaintiff testified that she did not wish to take anti-depressant medications because she thought there was a stigma attached to their use and because she found exercise to be effective in improving her mood. While fear of stigma would not, on its own, provide a fully informed reasonable patient with a justification for declining anti-depressant medication, Ms. Dhanji had previously realized an improvement in her mood from exercise. Further, Drs. Devlin and O'Connor both gave evidence that exercise is a recognized and effective means of treating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The defendant has not shown the plaintiff acted unreasonably in declining to use the anti-depressant medication recommended three months before trial, in circumstances where she had embarked upon psychological counselling and had resumed exercising. Nor has the defendant shown that the use of anti-depressant medications since late March 2015 would have reduced the plaintiff's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Ms. Dhanji's failure to follow the 2013 recommendations of Drs. Sampson and O'Connor that she take psychological counselling is more problematic. Ms. Dhanji declined counselling when it was initially recommended because she did not accept that her mood had been affected by her injuries. She was also concerned about what she perceived as the stigma of being treated by a psychologist or psychiatrist; was reluctant to discuss her psychological problems with others; and was also concerned about the cost of psychological or psychiatric care. She was unaware that psychiatric treatment would be available through the Medical Services Plan and made no inquiries to determine whether her employer's extended benefits plan covers psychological services. In my view, none of the plaintiff's concerns excuse her failure to obtain the counselling recommended in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Ms. Dhanji did pursue a vigorous active rehabilitation and exercise program through 2013 and realized some improvement to her mood while she was doing so. When she stopped exercising in 2014 both her physical symptoms and her mood regressed.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Dr. Devlin thought that if the plaintiff had pursued the recommended counselling in 2013 she would "possibly be better". That evidence, standing on its own, would not discharge the defendant's burden of proving that earlier attendance at counseling would have reduced the plaintiff's loss. However, later in the trial, the plaintiff, in cross-examination, agreed that counselling was helpful, and said that she intended to continue the cognitive behavioral therapy she had started in the spring of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As Dr. Devlin explained, the purpose of cognitive behavioral therapy is to assist the plaintiff in managing her chronic pain and to modify her perception of pain. Dr. O'Connor thought that if the plaintiff had followed his February 2013 recommendations, which included both physical conditioning and therapy with a psychologist, she would have been better than she was by the time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On the whole of this evidence, I am satisfied that the plaintiff's failure to act on the recommendations of Drs. Sampson and O'Connor of early 2013 that she attend counselling was unreasonable, and that had she done so she would have benefitted by some reduction of her loss. Bearing in mind that Ms. Dhanji failed to mitigate by delaying a recommended treatment, rather than refusing to take counselling at all, I assess the appropriate reduction of the plaintiff's non-pecuniary damages at 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The defendant also urges that Ms. Dhanji failed to mitigate when she abandoned her active rehabilitation and exercise program between March and December 2014. In cross-examination, Dr. O'Connor testified that if Ms. Dhanji had continued her exercise and conditioning through 2014 she would probably have had some improvement in her back pain and neck symptoms. Later in his cross-examination, Dr. O'Connor said that only a very small percentage of people are able to exercise, as the plaintiff had done through 2013 and early 2014, for one and a half hours four times a week. In his second report, Dr. O'Connor noted that most patients have difficulty maintaining a continuous exercise program, and that there are varying times in everybody's life when priorities change. Ms. Dhanji had diligently followed Dr. O'Connor's recommendation that she increase the frequency and intensity of her exercises for about one year by the time her relationship with her boyfriend in Abbotsford became serious. At 38 she wanted to form a long-term relationship, and to start a family. As Ms. Dhanji testified, she decided to make her relationship a priority. Several times a week, after working a 9-hour day at the forensic lab in Vancouver, she commuted to Abbotsford. Ms. Dhanji lacked the time to maintain her exercise regime while she pursued what she hoped would become a permanent relationship. After that relationship ended suddenly in December 2014, she started to exercise again. In the particular circumstances of this case, I am not persuaded that the plaintiff's choice to give priority to her relationship was unreasonable. Ms. Dhanji was not required to meet a standard of perfection in her efforts to mitigate her damages. Since that relationship has ended, she has renewed her efforts to improve her conditioning. The defendant has not established that Ms. Dhanji failed to mitigate her damages by stopping her exercise and conditioning program during her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ASSESSMENT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Non-Pecuniary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xml:space="preserve">  Non-pecuniary damages are awarded to compensate the plaintiff for pain, suffering, loss of enjoyment of life, and loss of amenities. Compensation awarded should be fair to all parties, and fairness is measured against awards made in comparable cases. Such cases, though helpful, serve only as a rough guide. Each case depends on its own unique facts: </w:t>
      </w:r>
      <w:r>
        <w:rPr>
          <w:rFonts w:ascii="arial" w:eastAsia="arial" w:hAnsi="arial" w:cs="arial"/>
          <w:i/>
          <w:color w:val="000000"/>
          <w:sz w:val="20"/>
          <w:lang w:val="en-US" w:eastAsia="en-US" w:bidi="ar-SA"/>
        </w:rPr>
        <w:t>Trites v. Penner</w:t>
      </w:r>
      <w:r>
        <w:rPr>
          <w:rFonts w:ascii="arial" w:eastAsia="arial" w:hAnsi="arial" w:cs="arial"/>
          <w:color w:val="000000"/>
          <w:sz w:val="20"/>
          <w:lang w:val="en-US" w:eastAsia="en-US" w:bidi="ar-SA"/>
        </w:rPr>
        <w:t xml:space="preserve">, </w:t>
      </w:r>
      <w:hyperlink r:id="rId511" w:history="1">
        <w:r>
          <w:rPr>
            <w:rFonts w:ascii="arial" w:eastAsia="arial" w:hAnsi="arial" w:cs="arial"/>
            <w:i/>
            <w:color w:val="0077CC"/>
            <w:sz w:val="20"/>
            <w:u w:val="single"/>
            <w:shd w:val="clear" w:color="auto" w:fill="FFFFFF"/>
            <w:lang w:val="en-US" w:eastAsia="en-US" w:bidi="ar-SA"/>
          </w:rPr>
          <w:t>2010 BCSC 882</w:t>
        </w:r>
      </w:hyperlink>
      <w:r>
        <w:rPr>
          <w:rFonts w:ascii="arial" w:eastAsia="arial" w:hAnsi="arial" w:cs="arial"/>
          <w:color w:val="000000"/>
          <w:sz w:val="20"/>
          <w:lang w:val="en-US" w:eastAsia="en-US" w:bidi="ar-SA"/>
        </w:rPr>
        <w:t xml:space="preserve"> at paras. 188-189.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512"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at para. 46, the Court identified a non-exhaustive list of the factors to be considered when assessing non-pecuniary damages. They include the age of the plaintiff; the nature of the injuries; severity and duration of the pain; disability; emotional suffering; loss or impairments of life; impairment of family, marital and social relationships; impairment of physical and mental abilities; and loss of lifestyle.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xml:space="preserve">  The assessment of non-pecuniary damages is also influenced by each plaintiff's personal experiences in dealing with her injuries and their consequences, and the plaintiff's ability to articulate that experience: </w:t>
      </w:r>
      <w:r>
        <w:rPr>
          <w:rFonts w:ascii="arial" w:eastAsia="arial" w:hAnsi="arial" w:cs="arial"/>
          <w:i/>
          <w:color w:val="000000"/>
          <w:sz w:val="20"/>
          <w:lang w:val="en-US" w:eastAsia="en-US" w:bidi="ar-SA"/>
        </w:rPr>
        <w:t>Dilello v. Montgomery</w:t>
      </w:r>
      <w:r>
        <w:rPr>
          <w:rFonts w:ascii="arial" w:eastAsia="arial" w:hAnsi="arial" w:cs="arial"/>
          <w:color w:val="000000"/>
          <w:sz w:val="20"/>
          <w:lang w:val="en-US" w:eastAsia="en-US" w:bidi="ar-SA"/>
        </w:rPr>
        <w:t xml:space="preserve">, </w:t>
      </w:r>
      <w:hyperlink r:id="rId513" w:history="1">
        <w:r>
          <w:rPr>
            <w:rFonts w:ascii="arial" w:eastAsia="arial" w:hAnsi="arial" w:cs="arial"/>
            <w:i/>
            <w:color w:val="0077CC"/>
            <w:sz w:val="20"/>
            <w:u w:val="single"/>
            <w:shd w:val="clear" w:color="auto" w:fill="FFFFFF"/>
            <w:lang w:val="en-US" w:eastAsia="en-US" w:bidi="ar-SA"/>
          </w:rPr>
          <w:t>2005 BCCA 56</w:t>
        </w:r>
      </w:hyperlink>
      <w:r>
        <w:rPr>
          <w:rFonts w:ascii="arial" w:eastAsia="arial" w:hAnsi="arial" w:cs="arial"/>
          <w:color w:val="000000"/>
          <w:sz w:val="20"/>
          <w:lang w:val="en-US" w:eastAsia="en-US" w:bidi="ar-SA"/>
        </w:rPr>
        <w:t xml:space="preserve"> at para. 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The plaintiff is 39 years old. As a result of the soft tissue injuries she sustained in the accident, Ms. Dhanji has experienced constant back pain, usually of mild to moderate intensity, but at times severe. While her low back pain had substantially resolved within 14 months of the accident, she continues to suffer from neck pain, which at times is severe. According to Dr. O'Connor, whose opinion I accept, the plaintiff will probably experience mild to occasionally moderate mid back pain indefinitely. If she is able to maintain an active exercise regime, and improve her mood through the treatment of her depression, she may realize some reduction in pain. There is however a very real chance that if her mood and conditioning do not improve, her pain may persist in the moderate to occasionally severe range. It is more probable than not that Ms. Dhanji will have to cope with mild to occasionally moderate chronic mid back pain throughout her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As a result of her chronic pain, the plaintiff has experienced persistent mild to moderate depression since the accident. With the benefit of psychological counselling there will likely be some improvement in the plaintiff's mood, and her ability to manage her pain. However, given the persistence of her symptoms of depression over the past three and a half years, there is a real possibility that she will experience intermittent bouts of depression or low mood indefinitely.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The pain and discomfort the plaintiff experiences during prolonged periods of sitting required her to undertake a graduated return to work over a six-month period. Ms. Dhanji is capable of working full-time with the accommodations available to her at the forensic lab. Through the use of an ergonomic chair, the application of heat, and taking short breaks during long periods of sitting, she is able to manage the pain and discomfort she experiences during the workday. However, by the end of the week she is fatigued and requires the weekends to recover. Ms. Dhanji is resilient and dedicated to her work. However, the pain and discomfort she experiences during the work day have diminished her enjoyment of her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While the plaintiff's contact with some of her friends has reduced as a result of changes in their lives, I find Ms. Dhanji's chronic mid back and neck pain has also impaired her social life. As a result of her fatigue, she tends to stay at home more on the weekends. Her friends, Ms. Woodall, Ms. Hutchinson and Ms. Ostenall all corroborated Ms. Dhanji's evidence that she has been less outgoing since the accident. Although she continues to host dinners from time to time, and to travel with her friends, she does so at a diminished level.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With respect to physical activities, she is capable of exercising but her tolerance for repetitive activities involving the use of her shoulders and arms is reduced. Her recreational activities are restricted. Ms. Dhanji no longer hikes. She found that activity aggravated her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Although the plaintiff is unable to complete all of the tasks involved in cleaning her condominium in a single day, as she did for before the accident, she is able to cope with her housekeeping by spreading the cleaning over the week. At the time of trial, Ms. Dhanji found that heavier tasks, such scrubbing floor tiles or mopping, tended to aggravate her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Ms. Dhanji has also reduced her attendance at mosque, due to the discomfort she experiences in sitting on the floor for prayers and meditation.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The plaintiff continues to enjoy a close relationship with her parents but worries that her chronic pain may restrict her in assisting with their care as they 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Ms. Dhanji is a stoic individual who is endeavouring to cope with her chronic mid back and neck pain. She is frustrated and depressed by the persistence of her symptoms. Although she is able to cope, with some pain and discomfort, with the demands of her position as a DNA analyst, she has suffered some impairment of lifestyle.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xml:space="preserve">  In support of her submission that the appropriate award of non-pecuniary damages in this case would be $120,000, Ms. Dhanji relies on </w:t>
      </w:r>
      <w:r>
        <w:rPr>
          <w:rFonts w:ascii="arial" w:eastAsia="arial" w:hAnsi="arial" w:cs="arial"/>
          <w:i/>
          <w:color w:val="000000"/>
          <w:sz w:val="20"/>
          <w:lang w:val="en-US" w:eastAsia="en-US" w:bidi="ar-SA"/>
        </w:rPr>
        <w:t>Eccleston v. Dresen</w:t>
      </w:r>
      <w:r>
        <w:rPr>
          <w:rFonts w:ascii="arial" w:eastAsia="arial" w:hAnsi="arial" w:cs="arial"/>
          <w:color w:val="000000"/>
          <w:sz w:val="20"/>
          <w:lang w:val="en-US" w:eastAsia="en-US" w:bidi="ar-SA"/>
        </w:rPr>
        <w:t xml:space="preserve">, </w:t>
      </w:r>
      <w:hyperlink r:id="rId652" w:history="1">
        <w:r>
          <w:rPr>
            <w:rFonts w:ascii="arial" w:eastAsia="arial" w:hAnsi="arial" w:cs="arial"/>
            <w:i/>
            <w:color w:val="0077CC"/>
            <w:sz w:val="20"/>
            <w:u w:val="single"/>
            <w:shd w:val="clear" w:color="auto" w:fill="FFFFFF"/>
            <w:lang w:val="en-US" w:eastAsia="en-US" w:bidi="ar-SA"/>
          </w:rPr>
          <w:t>2009 BCSC 332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McCarthy v. Davies</w:t>
      </w:r>
      <w:r>
        <w:rPr>
          <w:rFonts w:ascii="arial" w:eastAsia="arial" w:hAnsi="arial" w:cs="arial"/>
          <w:color w:val="000000"/>
          <w:sz w:val="20"/>
          <w:lang w:val="en-US" w:eastAsia="en-US" w:bidi="ar-SA"/>
        </w:rPr>
        <w:t xml:space="preserve">, </w:t>
      </w:r>
      <w:hyperlink r:id="rId653" w:history="1">
        <w:r>
          <w:rPr>
            <w:rFonts w:ascii="arial" w:eastAsia="arial" w:hAnsi="arial" w:cs="arial"/>
            <w:i/>
            <w:color w:val="0077CC"/>
            <w:sz w:val="20"/>
            <w:u w:val="single"/>
            <w:shd w:val="clear" w:color="auto" w:fill="FFFFFF"/>
            <w:lang w:val="en-US" w:eastAsia="en-US" w:bidi="ar-SA"/>
          </w:rPr>
          <w:t>2014 BCSC 1498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Fox v. Danis</w:t>
      </w:r>
      <w:r>
        <w:rPr>
          <w:rFonts w:ascii="arial" w:eastAsia="arial" w:hAnsi="arial" w:cs="arial"/>
          <w:color w:val="000000"/>
          <w:sz w:val="20"/>
          <w:lang w:val="en-US" w:eastAsia="en-US" w:bidi="ar-SA"/>
        </w:rPr>
        <w:t xml:space="preserve">, </w:t>
      </w:r>
      <w:hyperlink r:id="rId654" w:history="1">
        <w:r>
          <w:rPr>
            <w:rFonts w:ascii="arial" w:eastAsia="arial" w:hAnsi="arial" w:cs="arial"/>
            <w:i/>
            <w:color w:val="0077CC"/>
            <w:sz w:val="20"/>
            <w:u w:val="single"/>
            <w:shd w:val="clear" w:color="auto" w:fill="FFFFFF"/>
            <w:lang w:val="en-US" w:eastAsia="en-US" w:bidi="ar-SA"/>
          </w:rPr>
          <w:t>2005 BCSC 102</w:t>
        </w:r>
      </w:hyperlink>
      <w:r>
        <w:rPr>
          <w:rFonts w:ascii="arial" w:eastAsia="arial" w:hAnsi="arial" w:cs="arial"/>
          <w:color w:val="000000"/>
          <w:sz w:val="20"/>
          <w:lang w:val="en-US" w:eastAsia="en-US" w:bidi="ar-SA"/>
        </w:rPr>
        <w:t xml:space="preserve">, aff'd </w:t>
      </w:r>
      <w:hyperlink r:id="rId655" w:history="1">
        <w:r>
          <w:rPr>
            <w:rFonts w:ascii="arial" w:eastAsia="arial" w:hAnsi="arial" w:cs="arial"/>
            <w:i/>
            <w:color w:val="0077CC"/>
            <w:sz w:val="20"/>
            <w:u w:val="single"/>
            <w:shd w:val="clear" w:color="auto" w:fill="FFFFFF"/>
            <w:lang w:val="en-US" w:eastAsia="en-US" w:bidi="ar-SA"/>
          </w:rPr>
          <w:t>2006 BCCA 324</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Chahal v. Righele</w:t>
      </w:r>
      <w:r>
        <w:rPr>
          <w:rFonts w:ascii="arial" w:eastAsia="arial" w:hAnsi="arial" w:cs="arial"/>
          <w:color w:val="000000"/>
          <w:sz w:val="20"/>
          <w:lang w:val="en-US" w:eastAsia="en-US" w:bidi="ar-SA"/>
        </w:rPr>
        <w:t xml:space="preserve">, </w:t>
      </w:r>
      <w:hyperlink r:id="rId656" w:history="1">
        <w:r>
          <w:rPr>
            <w:rFonts w:ascii="arial" w:eastAsia="arial" w:hAnsi="arial" w:cs="arial"/>
            <w:i/>
            <w:color w:val="0077CC"/>
            <w:sz w:val="20"/>
            <w:u w:val="single"/>
            <w:shd w:val="clear" w:color="auto" w:fill="FFFFFF"/>
            <w:lang w:val="en-US" w:eastAsia="en-US" w:bidi="ar-SA"/>
          </w:rPr>
          <w:t>2014 BCSC 1086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xml:space="preserve">  The defendant referred to </w:t>
      </w:r>
      <w:r>
        <w:rPr>
          <w:rFonts w:ascii="arial" w:eastAsia="arial" w:hAnsi="arial" w:cs="arial"/>
          <w:i/>
          <w:color w:val="000000"/>
          <w:sz w:val="20"/>
          <w:lang w:val="en-US" w:eastAsia="en-US" w:bidi="ar-SA"/>
        </w:rPr>
        <w:t>Brousseau v. ICBC</w:t>
      </w:r>
      <w:r>
        <w:rPr>
          <w:rFonts w:ascii="arial" w:eastAsia="arial" w:hAnsi="arial" w:cs="arial"/>
          <w:color w:val="000000"/>
          <w:sz w:val="20"/>
          <w:lang w:val="en-US" w:eastAsia="en-US" w:bidi="ar-SA"/>
        </w:rPr>
        <w:t xml:space="preserve">, </w:t>
      </w:r>
      <w:hyperlink r:id="rId657" w:history="1">
        <w:r>
          <w:rPr>
            <w:rFonts w:ascii="arial" w:eastAsia="arial" w:hAnsi="arial" w:cs="arial"/>
            <w:i/>
            <w:color w:val="0077CC"/>
            <w:sz w:val="20"/>
            <w:u w:val="single"/>
            <w:shd w:val="clear" w:color="auto" w:fill="FFFFFF"/>
            <w:lang w:val="en-US" w:eastAsia="en-US" w:bidi="ar-SA"/>
          </w:rPr>
          <w:t>2012 BCSC 1676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Lourenco v. Pham</w:t>
      </w:r>
      <w:r>
        <w:rPr>
          <w:rFonts w:ascii="arial" w:eastAsia="arial" w:hAnsi="arial" w:cs="arial"/>
          <w:color w:val="000000"/>
          <w:sz w:val="20"/>
          <w:lang w:val="en-US" w:eastAsia="en-US" w:bidi="ar-SA"/>
        </w:rPr>
        <w:t xml:space="preserve">, </w:t>
      </w:r>
      <w:hyperlink r:id="rId658" w:history="1">
        <w:r>
          <w:rPr>
            <w:rFonts w:ascii="arial" w:eastAsia="arial" w:hAnsi="arial" w:cs="arial"/>
            <w:i/>
            <w:color w:val="0077CC"/>
            <w:sz w:val="20"/>
            <w:u w:val="single"/>
            <w:shd w:val="clear" w:color="auto" w:fill="FFFFFF"/>
            <w:lang w:val="en-US" w:eastAsia="en-US" w:bidi="ar-SA"/>
          </w:rPr>
          <w:t>2013 BCSC 2090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Singh v. Borejszo</w:t>
      </w:r>
      <w:r>
        <w:rPr>
          <w:rFonts w:ascii="arial" w:eastAsia="arial" w:hAnsi="arial" w:cs="arial"/>
          <w:color w:val="000000"/>
          <w:sz w:val="20"/>
          <w:lang w:val="en-US" w:eastAsia="en-US" w:bidi="ar-SA"/>
        </w:rPr>
        <w:t xml:space="preserve">, </w:t>
      </w:r>
      <w:hyperlink r:id="rId659" w:history="1">
        <w:r>
          <w:rPr>
            <w:rFonts w:ascii="arial" w:eastAsia="arial" w:hAnsi="arial" w:cs="arial"/>
            <w:i/>
            <w:color w:val="0077CC"/>
            <w:sz w:val="20"/>
            <w:u w:val="single"/>
            <w:shd w:val="clear" w:color="auto" w:fill="FFFFFF"/>
            <w:lang w:val="en-US" w:eastAsia="en-US" w:bidi="ar-SA"/>
          </w:rPr>
          <w:t>2013 BCSC 1584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Wepryk v. Juraschka</w:t>
      </w:r>
      <w:r>
        <w:rPr>
          <w:rFonts w:ascii="arial" w:eastAsia="arial" w:hAnsi="arial" w:cs="arial"/>
          <w:color w:val="000000"/>
          <w:sz w:val="20"/>
          <w:lang w:val="en-US" w:eastAsia="en-US" w:bidi="ar-SA"/>
        </w:rPr>
        <w:t xml:space="preserve">, </w:t>
      </w:r>
      <w:hyperlink r:id="rId660" w:history="1">
        <w:r>
          <w:rPr>
            <w:rFonts w:ascii="arial" w:eastAsia="arial" w:hAnsi="arial" w:cs="arial"/>
            <w:i/>
            <w:color w:val="0077CC"/>
            <w:sz w:val="20"/>
            <w:u w:val="single"/>
            <w:shd w:val="clear" w:color="auto" w:fill="FFFFFF"/>
            <w:lang w:val="en-US" w:eastAsia="en-US" w:bidi="ar-SA"/>
          </w:rPr>
          <w:t>2012 BCSC 974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Hay v. Benzer</w:t>
      </w:r>
      <w:r>
        <w:rPr>
          <w:rFonts w:ascii="arial" w:eastAsia="arial" w:hAnsi="arial" w:cs="arial"/>
          <w:color w:val="000000"/>
          <w:sz w:val="20"/>
          <w:lang w:val="en-US" w:eastAsia="en-US" w:bidi="ar-SA"/>
        </w:rPr>
        <w:t xml:space="preserve">, </w:t>
      </w:r>
      <w:hyperlink r:id="rId661" w:history="1">
        <w:r>
          <w:rPr>
            <w:rFonts w:ascii="arial" w:eastAsia="arial" w:hAnsi="arial" w:cs="arial"/>
            <w:i/>
            <w:color w:val="0077CC"/>
            <w:sz w:val="20"/>
            <w:u w:val="single"/>
            <w:shd w:val="clear" w:color="auto" w:fill="FFFFFF"/>
            <w:lang w:val="en-US" w:eastAsia="en-US" w:bidi="ar-SA"/>
          </w:rPr>
          <w:t>2014 BCSC 1522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Amini v. Mondragaon</w:t>
      </w:r>
      <w:r>
        <w:rPr>
          <w:rFonts w:ascii="arial" w:eastAsia="arial" w:hAnsi="arial" w:cs="arial"/>
          <w:color w:val="000000"/>
          <w:sz w:val="20"/>
          <w:lang w:val="en-US" w:eastAsia="en-US" w:bidi="ar-SA"/>
        </w:rPr>
        <w:t xml:space="preserve">, </w:t>
      </w:r>
      <w:hyperlink r:id="rId662" w:history="1">
        <w:r>
          <w:rPr>
            <w:rFonts w:ascii="arial" w:eastAsia="arial" w:hAnsi="arial" w:cs="arial"/>
            <w:i/>
            <w:color w:val="0077CC"/>
            <w:sz w:val="20"/>
            <w:u w:val="single"/>
            <w:shd w:val="clear" w:color="auto" w:fill="FFFFFF"/>
            <w:lang w:val="en-US" w:eastAsia="en-US" w:bidi="ar-SA"/>
          </w:rPr>
          <w:t>2014 BCSC 1590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MacDonald v. Kemp</w:t>
      </w:r>
      <w:r>
        <w:rPr>
          <w:rFonts w:ascii="arial" w:eastAsia="arial" w:hAnsi="arial" w:cs="arial"/>
          <w:color w:val="000000"/>
          <w:sz w:val="20"/>
          <w:lang w:val="en-US" w:eastAsia="en-US" w:bidi="ar-SA"/>
        </w:rPr>
        <w:t xml:space="preserve">, </w:t>
      </w:r>
      <w:hyperlink r:id="rId663" w:history="1">
        <w:r>
          <w:rPr>
            <w:rFonts w:ascii="arial" w:eastAsia="arial" w:hAnsi="arial" w:cs="arial"/>
            <w:i/>
            <w:color w:val="0077CC"/>
            <w:sz w:val="20"/>
            <w:u w:val="single"/>
            <w:shd w:val="clear" w:color="auto" w:fill="FFFFFF"/>
            <w:lang w:val="en-US" w:eastAsia="en-US" w:bidi="ar-SA"/>
          </w:rPr>
          <w:t>2014 BCSC 1079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Redl v. Sellin</w:t>
      </w:r>
      <w:r>
        <w:rPr>
          <w:rFonts w:ascii="arial" w:eastAsia="arial" w:hAnsi="arial" w:cs="arial"/>
          <w:color w:val="000000"/>
          <w:sz w:val="20"/>
          <w:lang w:val="en-US" w:eastAsia="en-US" w:bidi="ar-SA"/>
        </w:rPr>
        <w:t xml:space="preserve">, </w:t>
      </w:r>
      <w:hyperlink r:id="rId640" w:history="1">
        <w:r>
          <w:rPr>
            <w:rFonts w:ascii="arial" w:eastAsia="arial" w:hAnsi="arial" w:cs="arial"/>
            <w:i/>
            <w:color w:val="0077CC"/>
            <w:sz w:val="20"/>
            <w:u w:val="single"/>
            <w:shd w:val="clear" w:color="auto" w:fill="FFFFFF"/>
            <w:lang w:val="en-US" w:eastAsia="en-US" w:bidi="ar-SA"/>
          </w:rPr>
          <w:t>2013 BCSC 581</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Brunelle v. Yoshida</w:t>
      </w:r>
      <w:r>
        <w:rPr>
          <w:rFonts w:ascii="arial" w:eastAsia="arial" w:hAnsi="arial" w:cs="arial"/>
          <w:color w:val="000000"/>
          <w:sz w:val="20"/>
          <w:lang w:val="en-US" w:eastAsia="en-US" w:bidi="ar-SA"/>
        </w:rPr>
        <w:t xml:space="preserve">, </w:t>
      </w:r>
      <w:hyperlink r:id="rId664" w:history="1">
        <w:r>
          <w:rPr>
            <w:rFonts w:ascii="arial" w:eastAsia="arial" w:hAnsi="arial" w:cs="arial"/>
            <w:i/>
            <w:color w:val="0077CC"/>
            <w:sz w:val="20"/>
            <w:u w:val="single"/>
            <w:shd w:val="clear" w:color="auto" w:fill="FFFFFF"/>
            <w:lang w:val="en-US" w:eastAsia="en-US" w:bidi="ar-SA"/>
          </w:rPr>
          <w:t>2014 BCSC 1006</w:t>
        </w:r>
      </w:hyperlink>
      <w:r>
        <w:rPr>
          <w:rFonts w:ascii="arial" w:eastAsia="arial" w:hAnsi="arial" w:cs="arial"/>
          <w:color w:val="000000"/>
          <w:sz w:val="20"/>
          <w:lang w:val="en-US" w:eastAsia="en-US" w:bidi="ar-SA"/>
        </w:rPr>
        <w:t xml:space="preserve"> in arguing that the appropriate range for non-pecuniary damages here is between $50,000 and $60,000.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xml:space="preserve">  The cases cited by the plaintiff involve injuries more serious than those suffered by Ms. Dhanji. In </w:t>
      </w:r>
      <w:r>
        <w:rPr>
          <w:rFonts w:ascii="arial" w:eastAsia="arial" w:hAnsi="arial" w:cs="arial"/>
          <w:i/>
          <w:color w:val="000000"/>
          <w:sz w:val="20"/>
          <w:lang w:val="en-US" w:eastAsia="en-US" w:bidi="ar-SA"/>
        </w:rPr>
        <w:t>McCarthy</w:t>
      </w:r>
      <w:r>
        <w:rPr>
          <w:rFonts w:ascii="arial" w:eastAsia="arial" w:hAnsi="arial" w:cs="arial"/>
          <w:color w:val="000000"/>
          <w:sz w:val="20"/>
          <w:lang w:val="en-US" w:eastAsia="en-US" w:bidi="ar-SA"/>
        </w:rPr>
        <w:t xml:space="preserve">, where the plaintiff was awarded $100,000 in non-pecuniary damages, she suffered soft tissue injuries to her neck, shoulder and back in a motor vehicle accident that prevented her from returning to work as a registered nurse. In </w:t>
      </w:r>
      <w:r>
        <w:rPr>
          <w:rFonts w:ascii="arial" w:eastAsia="arial" w:hAnsi="arial" w:cs="arial"/>
          <w:i/>
          <w:color w:val="000000"/>
          <w:sz w:val="20"/>
          <w:lang w:val="en-US" w:eastAsia="en-US" w:bidi="ar-SA"/>
        </w:rPr>
        <w:t>Fox</w:t>
      </w:r>
      <w:r>
        <w:rPr>
          <w:rFonts w:ascii="arial" w:eastAsia="arial" w:hAnsi="arial" w:cs="arial"/>
          <w:color w:val="000000"/>
          <w:sz w:val="20"/>
          <w:lang w:val="en-US" w:eastAsia="en-US" w:bidi="ar-SA"/>
        </w:rPr>
        <w:t xml:space="preserve">, the 34-year-old female plaintiff received an award of $100,000 for non-pecuniary damages. She sustained permanent injuries to her neck and lumbar spine, including permanent nerve damage to her lower back. In </w:t>
      </w:r>
      <w:r>
        <w:rPr>
          <w:rFonts w:ascii="arial" w:eastAsia="arial" w:hAnsi="arial" w:cs="arial"/>
          <w:i/>
          <w:color w:val="000000"/>
          <w:sz w:val="20"/>
          <w:lang w:val="en-US" w:eastAsia="en-US" w:bidi="ar-SA"/>
        </w:rPr>
        <w:t>Chahal</w:t>
      </w:r>
      <w:r>
        <w:rPr>
          <w:rFonts w:ascii="arial" w:eastAsia="arial" w:hAnsi="arial" w:cs="arial"/>
          <w:color w:val="000000"/>
          <w:sz w:val="20"/>
          <w:lang w:val="en-US" w:eastAsia="en-US" w:bidi="ar-SA"/>
        </w:rPr>
        <w:t>, the 46-year-old female plaintiff was awarded non-pecuniary damages of $120,000. In addition to back pain and headaches that were unlikely to improve, the plaintiff suffered psychological injuries including a major depressive disorder, post-traumatic stress disorder and a panic disorder with agoraphobia. Her psychological injuries appear to have been significantly worse than those suffered by Ms. Dhanji.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xml:space="preserve">  The defendant has referred to a number of authorities which bear some similarity to this case. In </w:t>
      </w:r>
      <w:r>
        <w:rPr>
          <w:rFonts w:ascii="arial" w:eastAsia="arial" w:hAnsi="arial" w:cs="arial"/>
          <w:i/>
          <w:color w:val="000000"/>
          <w:sz w:val="20"/>
          <w:lang w:val="en-US" w:eastAsia="en-US" w:bidi="ar-SA"/>
        </w:rPr>
        <w:t>Lourenco</w:t>
      </w:r>
      <w:r>
        <w:rPr>
          <w:rFonts w:ascii="arial" w:eastAsia="arial" w:hAnsi="arial" w:cs="arial"/>
          <w:color w:val="000000"/>
          <w:sz w:val="20"/>
          <w:lang w:val="en-US" w:eastAsia="en-US" w:bidi="ar-SA"/>
        </w:rPr>
        <w:t>, the 22-year-old female plaintiff was struck by the defendant's Honda Civic vehicle while walking in a crosswalk. She suffered soft tissue injuries and pain in her neck, back, elbows, knees and buttocks. Her neck and back pain continued three and a half years after the accident. Her family doctor diagnosed chronic pain. She was awarded $50,000 for non-pecuniary damages. While the plaintiff complained about anxiety, her psychological injuries, which did not include a depressive disorder, were less significant than those of Ms. Dhanji.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Hay</w:t>
      </w:r>
      <w:r>
        <w:rPr>
          <w:rFonts w:ascii="arial" w:eastAsia="arial" w:hAnsi="arial" w:cs="arial"/>
          <w:color w:val="000000"/>
          <w:sz w:val="20"/>
          <w:lang w:val="en-US" w:eastAsia="en-US" w:bidi="ar-SA"/>
        </w:rPr>
        <w:t>, the court awarded a 19-year-old female plaintiff $55,000 for non-pecuniary damages. The plaintiff, a pedestrian, was struck by a truck, and was thrown about a foot or a foot and a half into the air before falling on her tailbone and hitting her head on the pavement. She suffered soft tissue injuries and chronic pain in her neck, back, shoulders and tailbone, as well as headaches and sleep disruption that continued five and a half years after the accident. The trial judge also found she experienced increased anxiety and "lasting psychological effects".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Redl</w:t>
      </w:r>
      <w:r>
        <w:rPr>
          <w:rFonts w:ascii="arial" w:eastAsia="arial" w:hAnsi="arial" w:cs="arial"/>
          <w:color w:val="000000"/>
          <w:sz w:val="20"/>
          <w:lang w:val="en-US" w:eastAsia="en-US" w:bidi="ar-SA"/>
        </w:rPr>
        <w:t>, the 41-year-old female plaintiff was awarded $55,000 as damages for pain and suffering. She sustained pain in her neck, shoulder, arm, back and hip, headaches, and suffered from chronic pain disorder at the time of trial, four years after the accident. Her ongoing complaints included a stiff neck that troubled her almost daily, intermittent low and mid back pain and occasional headaches. The trial judge characterized her chronic pain syndrome as falling at the lower end of the spectrum of severity. In the instant case, Ms. Dhanji experiences constant mid back pain. As I have previously noted, while she has managed to cope with her chronic pain at work, her enjoyment of her work has been diminished.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xml:space="preserve">  Finally, in </w:t>
      </w:r>
      <w:r>
        <w:rPr>
          <w:rFonts w:ascii="arial" w:eastAsia="arial" w:hAnsi="arial" w:cs="arial"/>
          <w:i/>
          <w:color w:val="000000"/>
          <w:sz w:val="20"/>
          <w:lang w:val="en-US" w:eastAsia="en-US" w:bidi="ar-SA"/>
        </w:rPr>
        <w:t>Brunelle</w:t>
      </w:r>
      <w:r>
        <w:rPr>
          <w:rFonts w:ascii="arial" w:eastAsia="arial" w:hAnsi="arial" w:cs="arial"/>
          <w:color w:val="000000"/>
          <w:sz w:val="20"/>
          <w:lang w:val="en-US" w:eastAsia="en-US" w:bidi="ar-SA"/>
        </w:rPr>
        <w:t xml:space="preserve">, the 26-year-old female plaintiff sustained soft tissue injuries and pain in her back and neck, headaches, disrupted sleep, and depression. While her symptoms were ongoing at the time of trial, they had not prevented her from engaging in sporting or recreational activities. The trial judge found that the plaintiff was not seriously impeded in her ability to enjoy most of life's activities or to remain fully employed. In </w:t>
      </w:r>
      <w:r>
        <w:rPr>
          <w:rFonts w:ascii="arial" w:eastAsia="arial" w:hAnsi="arial" w:cs="arial"/>
          <w:i/>
          <w:color w:val="000000"/>
          <w:sz w:val="20"/>
          <w:lang w:val="en-US" w:eastAsia="en-US" w:bidi="ar-SA"/>
        </w:rPr>
        <w:t>Brunelle</w:t>
      </w:r>
      <w:r>
        <w:rPr>
          <w:rFonts w:ascii="arial" w:eastAsia="arial" w:hAnsi="arial" w:cs="arial"/>
          <w:color w:val="000000"/>
          <w:sz w:val="20"/>
          <w:lang w:val="en-US" w:eastAsia="en-US" w:bidi="ar-SA"/>
        </w:rPr>
        <w:t>, the plaintiff was awarded non-pecuniary damages of $60,000.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xml:space="preserve">  Taking into account the plaintiff's particular circumstances; all of the </w:t>
      </w:r>
      <w:r>
        <w:rPr>
          <w:rFonts w:ascii="arial" w:eastAsia="arial" w:hAnsi="arial" w:cs="arial"/>
          <w:i/>
          <w:color w:val="000000"/>
          <w:sz w:val="20"/>
          <w:lang w:val="en-US" w:eastAsia="en-US" w:bidi="ar-SA"/>
        </w:rPr>
        <w:t>Stapley</w:t>
      </w:r>
      <w:r>
        <w:rPr>
          <w:rFonts w:ascii="arial" w:eastAsia="arial" w:hAnsi="arial" w:cs="arial"/>
          <w:color w:val="000000"/>
          <w:sz w:val="20"/>
          <w:lang w:val="en-US" w:eastAsia="en-US" w:bidi="ar-SA"/>
        </w:rPr>
        <w:t xml:space="preserve"> factors, including the probability that the plaintiff will live with chronic mid back pain indefinitely; my finding that her depression is largely but not entirely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and after considering all of the authorities cited by counsel, I assess the plaintiff's damages for pain and suffering and loss of enjoyment of life in the amount of $75,000. I reduce that amount by 10% for the plaintiff's failure to mitigate and award Ms. Dhanji non-pecuniary damages of $67,500.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Past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xml:space="preserve">  Compensation for past loss of earning capacity is based on what the plaintiff would have, not could have, earned but for the injury she sustained: </w:t>
      </w:r>
      <w:r>
        <w:rPr>
          <w:rFonts w:ascii="arial" w:eastAsia="arial" w:hAnsi="arial" w:cs="arial"/>
          <w:i/>
          <w:color w:val="000000"/>
          <w:sz w:val="20"/>
          <w:lang w:val="en-US" w:eastAsia="en-US" w:bidi="ar-SA"/>
        </w:rPr>
        <w:t>Rowe v. Bobell Express Ltd.</w:t>
      </w:r>
      <w:r>
        <w:rPr>
          <w:rFonts w:ascii="arial" w:eastAsia="arial" w:hAnsi="arial" w:cs="arial"/>
          <w:color w:val="000000"/>
          <w:sz w:val="20"/>
          <w:lang w:val="en-US" w:eastAsia="en-US" w:bidi="ar-SA"/>
        </w:rPr>
        <w:t xml:space="preserve">, </w:t>
      </w:r>
      <w:hyperlink r:id="rId524" w:history="1">
        <w:r>
          <w:rPr>
            <w:rFonts w:ascii="arial" w:eastAsia="arial" w:hAnsi="arial" w:cs="arial"/>
            <w:i/>
            <w:color w:val="0077CC"/>
            <w:sz w:val="20"/>
            <w:u w:val="single"/>
            <w:shd w:val="clear" w:color="auto" w:fill="FFFFFF"/>
            <w:lang w:val="en-US" w:eastAsia="en-US" w:bidi="ar-SA"/>
          </w:rPr>
          <w:t>2005 BCCA 141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M.B. v. British Columbia</w:t>
      </w:r>
      <w:r>
        <w:rPr>
          <w:rFonts w:ascii="arial" w:eastAsia="arial" w:hAnsi="arial" w:cs="arial"/>
          <w:color w:val="000000"/>
          <w:sz w:val="20"/>
          <w:lang w:val="en-US" w:eastAsia="en-US" w:bidi="ar-SA"/>
        </w:rPr>
        <w:t xml:space="preserve">, </w:t>
      </w:r>
      <w:hyperlink r:id="rId525" w:history="1">
        <w:r>
          <w:rPr>
            <w:rFonts w:ascii="arial" w:eastAsia="arial" w:hAnsi="arial" w:cs="arial"/>
            <w:i/>
            <w:color w:val="0077CC"/>
            <w:sz w:val="20"/>
            <w:u w:val="single"/>
            <w:shd w:val="clear" w:color="auto" w:fill="FFFFFF"/>
            <w:lang w:val="en-US" w:eastAsia="en-US" w:bidi="ar-SA"/>
          </w:rPr>
          <w:t>2003 SCC 53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xml:space="preserve">  Under s. 98 of the </w:t>
      </w:r>
      <w:r>
        <w:rPr>
          <w:rFonts w:ascii="arial" w:eastAsia="arial" w:hAnsi="arial" w:cs="arial"/>
          <w:i/>
          <w:color w:val="000000"/>
          <w:sz w:val="20"/>
          <w:lang w:val="en-US" w:eastAsia="en-US" w:bidi="ar-SA"/>
        </w:rPr>
        <w:t>Insurance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231</w:t>
      </w:r>
      <w:r>
        <w:rPr>
          <w:rFonts w:ascii="arial" w:eastAsia="arial" w:hAnsi="arial" w:cs="arial"/>
          <w:color w:val="000000"/>
          <w:sz w:val="20"/>
          <w:lang w:val="en-US" w:eastAsia="en-US" w:bidi="ar-SA"/>
        </w:rPr>
        <w:t xml:space="preserve">, a plaintiff is entitled to recover damages only for his or her past net income loss. This means that in the ordinary course, the court must deduct the amount of income tax payable from lost gross earnings: </w:t>
      </w:r>
      <w:r>
        <w:rPr>
          <w:rFonts w:ascii="arial" w:eastAsia="arial" w:hAnsi="arial" w:cs="arial"/>
          <w:i/>
          <w:color w:val="000000"/>
          <w:sz w:val="20"/>
          <w:lang w:val="en-US" w:eastAsia="en-US" w:bidi="ar-SA"/>
        </w:rPr>
        <w:t>Hudniuk v. Warkentin</w:t>
      </w:r>
      <w:r>
        <w:rPr>
          <w:rFonts w:ascii="arial" w:eastAsia="arial" w:hAnsi="arial" w:cs="arial"/>
          <w:color w:val="000000"/>
          <w:sz w:val="20"/>
          <w:lang w:val="en-US" w:eastAsia="en-US" w:bidi="ar-SA"/>
        </w:rPr>
        <w:t xml:space="preserve">, </w:t>
      </w:r>
      <w:hyperlink r:id="rId526" w:history="1">
        <w:r>
          <w:rPr>
            <w:rFonts w:ascii="arial" w:eastAsia="arial" w:hAnsi="arial" w:cs="arial"/>
            <w:i/>
            <w:color w:val="0077CC"/>
            <w:sz w:val="20"/>
            <w:u w:val="single"/>
            <w:shd w:val="clear" w:color="auto" w:fill="FFFFFF"/>
            <w:lang w:val="en-US" w:eastAsia="en-US" w:bidi="ar-SA"/>
          </w:rPr>
          <w:t>2003 BCSC 62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Lines v. Gordon</w:t>
      </w:r>
      <w:r>
        <w:rPr>
          <w:rFonts w:ascii="arial" w:eastAsia="arial" w:hAnsi="arial" w:cs="arial"/>
          <w:color w:val="000000"/>
          <w:sz w:val="20"/>
          <w:lang w:val="en-US" w:eastAsia="en-US" w:bidi="ar-SA"/>
        </w:rPr>
        <w:t xml:space="preserve">, </w:t>
      </w:r>
      <w:hyperlink r:id="rId527" w:history="1">
        <w:r>
          <w:rPr>
            <w:rFonts w:ascii="arial" w:eastAsia="arial" w:hAnsi="arial" w:cs="arial"/>
            <w:i/>
            <w:color w:val="0077CC"/>
            <w:sz w:val="20"/>
            <w:u w:val="single"/>
            <w:shd w:val="clear" w:color="auto" w:fill="FFFFFF"/>
            <w:lang w:val="en-US" w:eastAsia="en-US" w:bidi="ar-SA"/>
          </w:rPr>
          <w:t>2009 BCCA 106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xml:space="preserve">  The burden of proof of actual past events is a balance of probabilities. An assessment of loss of both past and future earning capacity involves consideration of hypothetical events. The plaintiff is not required to prove these hypothetical events on the balance of probabilities. The future or hypothetical possibility will be taken into consideration as long as it is a real and substantial possibility and not mere speculation: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at para. 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xml:space="preserve">  On a claim for past loss of earning capacity, the plaintiff must first establish on a balance of probabilities that the injuries she sustained caused an impairment of her earning capacity. Then, in determining what might have happened in the past to enable the plaintiff to earn income, but for the accident, the court must decide if the event was a real and substantial possibility and then determine the likelihood of it occurring: </w:t>
      </w:r>
      <w:r>
        <w:rPr>
          <w:rFonts w:ascii="arial" w:eastAsia="arial" w:hAnsi="arial" w:cs="arial"/>
          <w:i/>
          <w:color w:val="000000"/>
          <w:sz w:val="20"/>
          <w:lang w:val="en-US" w:eastAsia="en-US" w:bidi="ar-SA"/>
        </w:rPr>
        <w:t>Smith v. Knudsen</w:t>
      </w:r>
      <w:r>
        <w:rPr>
          <w:rFonts w:ascii="arial" w:eastAsia="arial" w:hAnsi="arial" w:cs="arial"/>
          <w:color w:val="000000"/>
          <w:sz w:val="20"/>
          <w:lang w:val="en-US" w:eastAsia="en-US" w:bidi="ar-SA"/>
        </w:rPr>
        <w:t xml:space="preserve">, </w:t>
      </w:r>
      <w:hyperlink r:id="rId528" w:history="1">
        <w:r>
          <w:rPr>
            <w:rFonts w:ascii="arial" w:eastAsia="arial" w:hAnsi="arial" w:cs="arial"/>
            <w:i/>
            <w:color w:val="0077CC"/>
            <w:sz w:val="20"/>
            <w:u w:val="single"/>
            <w:shd w:val="clear" w:color="auto" w:fill="FFFFFF"/>
            <w:lang w:val="en-US" w:eastAsia="en-US" w:bidi="ar-SA"/>
          </w:rPr>
          <w:t>2004 BCCA 613</w:t>
        </w:r>
      </w:hyperlink>
      <w:r>
        <w:rPr>
          <w:rFonts w:ascii="arial" w:eastAsia="arial" w:hAnsi="arial" w:cs="arial"/>
          <w:color w:val="000000"/>
          <w:sz w:val="20"/>
          <w:lang w:val="en-US" w:eastAsia="en-US" w:bidi="ar-SA"/>
        </w:rPr>
        <w:t xml:space="preserve"> at paras. 28, 29, 36 and 37.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The plaintiff claims that but for the accident, she would have earned an additional $21,400 in overtime between November 22, 2011 and the commencement of the trial on June 22, 2015. In addition, she says she lost the opportunity for a six-week temporary appointment to a supervisory position in the summer of 2012 which would have generated an additional $596 in gross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At the time of the accident, the plaintiff's salary as a DNA analyst was $62,009. Her salary increased to $64,491 in December 2011. Since then she has received a series of pay increments. Her current salary is $67,936.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Because the plaintiff is entitled to unlimited paid sick days, she was paid her full salary during the period she was off work between November 22, 2011 and March 6, 2012, and during her graduated return to a regular 40-hour work week between March 2012 and November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I am satisfied that but for the injuries the plaintiff sustained in the accident, and in particular her persistent back pain, the plaintiff would have earned additional income between November 22, 2011 and the time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Dealing first with the loss of opportunity to obtain the temporary supervisory assignment, Ms. Dhanji's supervisor, Dr. Horley, testified the plaintiff would have been offered the position, but was passed over because senior management determined that they could not have a person on a graduated return to work fill the supervisory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xml:space="preserve">  For the six-week temporary assignment in July and August 2012, Ms. Dhanji would have been paid based on an annual salary of $71,787 instead of her DNA analyst's salary at the time of $66,604. The plaintiff and the defendant agree, and I find, that Ms. Dhanji lost the opportunity to earn an additional $596.04 for the six-week temporary assignment. As required by s. 98 of the </w:t>
      </w:r>
      <w:r>
        <w:rPr>
          <w:rFonts w:ascii="arial" w:eastAsia="arial" w:hAnsi="arial" w:cs="arial"/>
          <w:i/>
          <w:color w:val="000000"/>
          <w:sz w:val="20"/>
          <w:lang w:val="en-US" w:eastAsia="en-US" w:bidi="ar-SA"/>
        </w:rPr>
        <w:t>Insurance (Vehicle) Act</w:t>
      </w:r>
      <w:r>
        <w:rPr>
          <w:rFonts w:ascii="arial" w:eastAsia="arial" w:hAnsi="arial" w:cs="arial"/>
          <w:color w:val="000000"/>
          <w:sz w:val="20"/>
          <w:lang w:val="en-US" w:eastAsia="en-US" w:bidi="ar-SA"/>
        </w:rPr>
        <w:t xml:space="preserve"> that gross amount must be reduced by 17% to $494.72, based on the plaintiff's 2012 tax return.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I turn next to the plaintiff's claim for lost overtime.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In each of the two full years before the accident, Ms. Dhanji worked an average of 101 hours of overtime. Both Dr. Horley, and Mr. Hiron Poon, Ms. Dhanji's current supervisor, testified that weekend overtime shifts paid at double time were available to the time of trial, and remain available. I find that but for the injuries Ms. Dhanji sustained in the accident, she would have worked more overtime.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Based on 101 hours per year, at the applicable double-time rates for 2012 through 2014, and an additional 50 hours for January 1 to June 22, 2015, I find that the maximum amount the plaintiff could claim for past loss of overtime to the date of trial would be $22,518. That amount is the sum of the overtime notionally available to the plaintiff from January 1, 2012 to June 22, 2015, calculated for each year by multiplying the overtime hours by double the plaintiff's straight time hourly rate of pay. The applicable straight time rates are conveniently summarized at para. 124 of the defendant's written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I accept the defendant's submission that because the plaintiff missed eight weeks from work in 2012 for ankle surgery (representing 15% of 2012), she would not have worked overtime during that period, if the accident had not occurred. Adopting the defendant's calculations, the plaintiff's claim for overtime for 2012 must be reduced by 15% or $936.30. There must also be deductions for the occasional overtime actually worked by the plaintiff in 2013 and 2015, totalling $2,518.74.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Ms. Dhanji worked no overtime in 2014. The plaintiff gave evidence that while she was devoting her time to her relationship with her partner in Abbotsford between March and December 2014, she was not available to work overtime on the weekends. I find that there is no real and substantial possibility that, but for the accident, Ms. Dhanji would have worked overtime between March and December 2014, which accounts for 83% of that year. Accordingly, the amount for 2014 overtime must be reduced by 83%, or $5,456.42.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The result is a reduction from the "maximum" overtime claim of $22,518 of $8,910.46, leaving a gross amount of $13,607.54. Taking into account the plaintiff's tax rates for the period in question, that amount, which I round to $13,600, must be reduced by 18% to $11,152. Adding the net amount of the plaintiff's recovery for loss of opportunity to serve in the acting supervisor's position, I assess the plaintiff's damages for past loss of earning capacity in the amount of $11,650.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The plaintiff's capacity to work overtime shifts before trial was impaired by her back pain. The defendant has not shown that Ms. Dhanji would have reduced her loss of overtime had she obtained psychological counselling when it was first recommended in early 2013. There will be no reduction of the award for past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xml:space="preserve">  The standard of proof for the evaluation of hypothetical events that may affect an award of damages for future loss of earning capacity is simple probability, rather than the balance of probabilities: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As the Court of Appeal held in </w:t>
      </w: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529"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at para. 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 ... Possibilities and probabilities, chances, opportunities and risks must all be considered, so long as they are a real and substantial possibility and not mere speculation. These possibilities are to be given weight according to the percentage chance they would have happened or will happen.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Rosvold</w:t>
      </w:r>
      <w:r>
        <w:rPr>
          <w:rFonts w:ascii="arial" w:eastAsia="arial" w:hAnsi="arial" w:cs="arial"/>
          <w:color w:val="000000"/>
          <w:sz w:val="20"/>
          <w:lang w:val="en-US" w:eastAsia="en-US" w:bidi="ar-SA"/>
        </w:rPr>
        <w:t xml:space="preserve"> at paras. 10 and 11, the Court of Appeal described the task of the trial judge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 The trial judge's task is to assess the loss on a judgmental basis, taking into consideration all the relevant factors arising from the evidence: </w:t>
      </w:r>
      <w:r>
        <w:rPr>
          <w:rFonts w:ascii="arial" w:eastAsia="arial" w:hAnsi="arial" w:cs="arial"/>
          <w:i/>
          <w:color w:val="000000"/>
          <w:sz w:val="20"/>
          <w:lang w:val="en-US" w:eastAsia="en-US" w:bidi="ar-SA"/>
        </w:rPr>
        <w:t>Mazzuca v. Alexakis</w:t>
      </w:r>
      <w:r>
        <w:rPr>
          <w:rFonts w:ascii="arial" w:eastAsia="arial" w:hAnsi="arial" w:cs="arial"/>
          <w:color w:val="000000"/>
          <w:sz w:val="20"/>
          <w:lang w:val="en-US" w:eastAsia="en-US" w:bidi="ar-SA"/>
        </w:rPr>
        <w:t xml:space="preserve">, </w:t>
      </w:r>
      <w:hyperlink r:id="rId530" w:history="1">
        <w:r>
          <w:rPr>
            <w:rFonts w:ascii="arial" w:eastAsia="arial" w:hAnsi="arial" w:cs="arial"/>
            <w:i/>
            <w:color w:val="0077CC"/>
            <w:sz w:val="20"/>
            <w:u w:val="single"/>
            <w:shd w:val="clear" w:color="auto" w:fill="FFFFFF"/>
            <w:lang w:val="en-US" w:eastAsia="en-US" w:bidi="ar-SA"/>
          </w:rPr>
          <w:t>[1994] B.C.J. No. 2128</w:t>
        </w:r>
      </w:hyperlink>
      <w:r>
        <w:rPr>
          <w:rFonts w:ascii="arial" w:eastAsia="arial" w:hAnsi="arial" w:cs="arial"/>
          <w:color w:val="000000"/>
          <w:sz w:val="20"/>
          <w:lang w:val="en-US" w:eastAsia="en-US" w:bidi="ar-SA"/>
        </w:rPr>
        <w:t xml:space="preserve"> (S.C.) (Q.L.) at para. 121, aff'd </w:t>
      </w:r>
      <w:hyperlink r:id="rId531" w:history="1">
        <w:r>
          <w:rPr>
            <w:rFonts w:ascii="arial" w:eastAsia="arial" w:hAnsi="arial" w:cs="arial"/>
            <w:i/>
            <w:color w:val="0077CC"/>
            <w:sz w:val="20"/>
            <w:u w:val="single"/>
            <w:shd w:val="clear" w:color="auto" w:fill="FFFFFF"/>
            <w:lang w:val="en-US" w:eastAsia="en-US" w:bidi="ar-SA"/>
          </w:rPr>
          <w:t>[1997] B.C.J. No. 2178</w:t>
        </w:r>
      </w:hyperlink>
      <w:r>
        <w:rPr>
          <w:rFonts w:ascii="arial" w:eastAsia="arial" w:hAnsi="arial" w:cs="arial"/>
          <w:color w:val="000000"/>
          <w:sz w:val="20"/>
          <w:lang w:val="en-US" w:eastAsia="en-US" w:bidi="ar-SA"/>
        </w:rPr>
        <w:t xml:space="preserve"> (C.A.) (Q.L.). Guidance as to what factors may be relevant can be found in </w:t>
      </w:r>
      <w:r>
        <w:rPr>
          <w:rFonts w:ascii="arial" w:eastAsia="arial" w:hAnsi="arial" w:cs="arial"/>
          <w:i/>
          <w:color w:val="000000"/>
          <w:sz w:val="20"/>
          <w:lang w:val="en-US" w:eastAsia="en-US" w:bidi="ar-SA"/>
        </w:rPr>
        <w:t>Parypa v. Wickware</w:t>
      </w:r>
      <w:r>
        <w:rPr>
          <w:rFonts w:ascii="arial" w:eastAsia="arial" w:hAnsi="arial" w:cs="arial"/>
          <w:color w:val="000000"/>
          <w:sz w:val="20"/>
          <w:lang w:val="en-US" w:eastAsia="en-US" w:bidi="ar-SA"/>
        </w:rPr>
        <w:t xml:space="preserve">, </w:t>
      </w:r>
      <w:hyperlink r:id="rId665" w:history="1">
        <w:r>
          <w:rPr>
            <w:rFonts w:ascii="arial" w:eastAsia="arial" w:hAnsi="arial" w:cs="arial"/>
            <w:i/>
            <w:color w:val="0077CC"/>
            <w:sz w:val="20"/>
            <w:u w:val="single"/>
            <w:shd w:val="clear" w:color="auto" w:fill="FFFFFF"/>
            <w:lang w:val="en-US" w:eastAsia="en-US" w:bidi="ar-SA"/>
          </w:rPr>
          <w:t>[1999] B.C.J. No. 270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at para. 31; </w:t>
      </w:r>
      <w:r>
        <w:rPr>
          <w:rFonts w:ascii="arial" w:eastAsia="arial" w:hAnsi="arial" w:cs="arial"/>
          <w:i/>
          <w:color w:val="000000"/>
          <w:sz w:val="20"/>
          <w:lang w:val="en-US" w:eastAsia="en-US" w:bidi="ar-SA"/>
        </w:rPr>
        <w:t>Kwei v. Boisclair</w:t>
      </w:r>
      <w:r>
        <w:rPr>
          <w:rFonts w:ascii="arial" w:eastAsia="arial" w:hAnsi="arial" w:cs="arial"/>
          <w:color w:val="000000"/>
          <w:sz w:val="20"/>
          <w:lang w:val="en-US" w:eastAsia="en-US" w:bidi="ar-SA"/>
        </w:rPr>
        <w:t xml:space="preserve"> </w:t>
      </w:r>
      <w:hyperlink r:id="rId532" w:history="1">
        <w:r>
          <w:rPr>
            <w:rFonts w:ascii="arial" w:eastAsia="arial" w:hAnsi="arial" w:cs="arial"/>
            <w:i/>
            <w:color w:val="0077CC"/>
            <w:sz w:val="20"/>
            <w:u w:val="single"/>
            <w:shd w:val="clear" w:color="auto" w:fill="FFFFFF"/>
            <w:lang w:val="en-US" w:eastAsia="en-US" w:bidi="ar-SA"/>
          </w:rPr>
          <w:t>(1991), 60 B.C.L.R. (2d) 393</w:t>
        </w:r>
      </w:hyperlink>
      <w:r>
        <w:rPr>
          <w:rFonts w:ascii="arial" w:eastAsia="arial" w:hAnsi="arial" w:cs="arial"/>
          <w:color w:val="000000"/>
          <w:sz w:val="20"/>
          <w:lang w:val="en-US" w:eastAsia="en-US" w:bidi="ar-SA"/>
        </w:rPr>
        <w:t xml:space="preserve"> (C.A.); and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533"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(S.C.) per Finch J. They include: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 whether the plaintiff has been rendered less capable overall from earning income from all types of employment;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[2] whether the plaintiff is less marketable or attractive as an employee to potential employers;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[3] whether the plaintiff has lost the ability to take advantage of all job opportunities which might otherwise have been open to him, had he not been injured; and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[4] whether the plaintiff is less valuable to himself as a person capable of earning income in a competitive labour market.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 The task of the court is to assess damages, not to calculate them according to some mathematical formula: </w:t>
      </w:r>
      <w:r>
        <w:rPr>
          <w:rFonts w:ascii="arial" w:eastAsia="arial" w:hAnsi="arial" w:cs="arial"/>
          <w:i/>
          <w:color w:val="000000"/>
          <w:sz w:val="20"/>
          <w:lang w:val="en-US" w:eastAsia="en-US" w:bidi="ar-SA"/>
        </w:rPr>
        <w:t>Mulholland (Guardian ad litem of) v. Riley Estate</w:t>
      </w:r>
      <w:r>
        <w:rPr>
          <w:rFonts w:ascii="arial" w:eastAsia="arial" w:hAnsi="arial" w:cs="arial"/>
          <w:color w:val="000000"/>
          <w:sz w:val="20"/>
          <w:lang w:val="en-US" w:eastAsia="en-US" w:bidi="ar-SA"/>
        </w:rPr>
        <w:t xml:space="preserve"> </w:t>
      </w:r>
      <w:hyperlink r:id="rId534" w:history="1">
        <w:r>
          <w:rPr>
            <w:rFonts w:ascii="arial" w:eastAsia="arial" w:hAnsi="arial" w:cs="arial"/>
            <w:i/>
            <w:color w:val="0077CC"/>
            <w:sz w:val="20"/>
            <w:u w:val="single"/>
            <w:shd w:val="clear" w:color="auto" w:fill="FFFFFF"/>
            <w:lang w:val="en-US" w:eastAsia="en-US" w:bidi="ar-SA"/>
          </w:rPr>
          <w:t>(1995), 12 B.C.L.R. (3d) 248</w:t>
        </w:r>
      </w:hyperlink>
      <w:r>
        <w:rPr>
          <w:rFonts w:ascii="arial" w:eastAsia="arial" w:hAnsi="arial" w:cs="arial"/>
          <w:color w:val="000000"/>
          <w:sz w:val="20"/>
          <w:lang w:val="en-US" w:eastAsia="en-US" w:bidi="ar-SA"/>
        </w:rPr>
        <w:t xml:space="preserve"> (C.A.). Once impairment of a plaintiff's earning capacity as a capital asset has been established, that impairment must be valued. The valuation may involve a comparison of the likely future of the plaintiff if the accident had not happened with the plaintiff's likely future after the accident has happened. As a starting point, a trial judge may determine the present value of the difference between the amounts earned under those two scenarios. But if this is done, it is not to be the end of the inquiry: </w:t>
      </w:r>
      <w:r>
        <w:rPr>
          <w:rFonts w:ascii="arial" w:eastAsia="arial" w:hAnsi="arial" w:cs="arial"/>
          <w:i/>
          <w:color w:val="000000"/>
          <w:sz w:val="20"/>
          <w:lang w:val="en-US" w:eastAsia="en-US" w:bidi="ar-SA"/>
        </w:rPr>
        <w:t>Ryder (Guardian ad litem of) v. Jubbal</w:t>
      </w:r>
      <w:r>
        <w:rPr>
          <w:rFonts w:ascii="arial" w:eastAsia="arial" w:hAnsi="arial" w:cs="arial"/>
          <w:color w:val="000000"/>
          <w:sz w:val="20"/>
          <w:lang w:val="en-US" w:eastAsia="en-US" w:bidi="ar-SA"/>
        </w:rPr>
        <w:t xml:space="preserve">, </w:t>
      </w:r>
      <w:hyperlink r:id="rId535" w:history="1">
        <w:r>
          <w:rPr>
            <w:rFonts w:ascii="arial" w:eastAsia="arial" w:hAnsi="arial" w:cs="arial"/>
            <w:i/>
            <w:color w:val="0077CC"/>
            <w:sz w:val="20"/>
            <w:u w:val="single"/>
            <w:shd w:val="clear" w:color="auto" w:fill="FFFFFF"/>
            <w:lang w:val="en-US" w:eastAsia="en-US" w:bidi="ar-SA"/>
          </w:rPr>
          <w:t>[1995] B.C.J. No. 644</w:t>
        </w:r>
      </w:hyperlink>
      <w:r>
        <w:rPr>
          <w:rFonts w:ascii="arial" w:eastAsia="arial" w:hAnsi="arial" w:cs="arial"/>
          <w:color w:val="000000"/>
          <w:sz w:val="20"/>
          <w:lang w:val="en-US" w:eastAsia="en-US" w:bidi="ar-SA"/>
        </w:rPr>
        <w:t xml:space="preserve"> (C.A.) (Q.L.); </w:t>
      </w:r>
      <w:r>
        <w:rPr>
          <w:rFonts w:ascii="arial" w:eastAsia="arial" w:hAnsi="arial" w:cs="arial"/>
          <w:i/>
          <w:color w:val="000000"/>
          <w:sz w:val="20"/>
          <w:lang w:val="en-US" w:eastAsia="en-US" w:bidi="ar-SA"/>
        </w:rPr>
        <w:t>Parypa v. Wickware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The overall fairness and reasonableness of the award must be considered taking into account all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536"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Garson J.A., after reviewing the authorities, identified the basic principles articulated in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Andrews v. Grand &amp; Toy Alberta Ltd.</w:t>
      </w:r>
      <w:r>
        <w:rPr>
          <w:rFonts w:ascii="arial" w:eastAsia="arial" w:hAnsi="arial" w:cs="arial"/>
          <w:color w:val="000000"/>
          <w:sz w:val="20"/>
          <w:lang w:val="en-US" w:eastAsia="en-US" w:bidi="ar-SA"/>
        </w:rPr>
        <w:t xml:space="preserve">, </w:t>
      </w:r>
      <w:hyperlink r:id="rId537"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 as:</w:t>
      </w:r>
      <w:r>
        <w:rPr>
          <w:rFonts w:ascii="arial" w:eastAsia="arial" w:hAnsi="arial" w:cs="arial"/>
          <w:sz w:val="20"/>
          <w:lang w:val="en-US" w:eastAsia="en-US" w:bidi="ar-SA"/>
        </w:rPr>
        <w:cr/>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future or hypothetical possibility will be taken into consideration as long as it is a real and substantial possibility and not mere speculation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27], and</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not loss of earnings, but, rather, loss of earning capacity for which compensation must be made [</w:t>
      </w:r>
      <w:r>
        <w:rPr>
          <w:rFonts w:ascii="arial" w:eastAsia="arial" w:hAnsi="arial" w:cs="arial"/>
          <w:i/>
          <w:color w:val="000000"/>
          <w:sz w:val="20"/>
          <w:lang w:val="en-US" w:eastAsia="en-US" w:bidi="ar-SA"/>
        </w:rPr>
        <w:t>Andrews</w:t>
      </w:r>
      <w:r>
        <w:rPr>
          <w:rFonts w:ascii="arial" w:eastAsia="arial" w:hAnsi="arial" w:cs="arial"/>
          <w:color w:val="000000"/>
          <w:sz w:val="20"/>
          <w:lang w:val="en-US" w:eastAsia="en-US" w:bidi="ar-SA"/>
        </w:rPr>
        <w:t xml:space="preserve"> at 251].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xml:space="preserve">  As Garson J.A. emphasized in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 xml:space="preserve"> at para. 32, the plaintiff must always prove there is a real and substantial possibility of a future event leading to an income loss. If the plaintiff meets that burden, then the plaintiff may prove the quantification of the loss of earning capacity on either an earnings approach or a capital asset approach. Where the loss is readily measurable, the earnings approach will be more useful than the capital assets approach.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xml:space="preserve">  I must first determine whether the plaintiff has established a real and substantial possibility of a future event leading to an income loss. If so, the court must assess, rather than calculate damages according to the likelihood of the event occurring. The award must be adjusted for both positive and negative contingencies, and the court must consider the overall fairness and reasonableness of the award: </w:t>
      </w:r>
      <w:r>
        <w:rPr>
          <w:rFonts w:ascii="arial" w:eastAsia="arial" w:hAnsi="arial" w:cs="arial"/>
          <w:i/>
          <w:color w:val="000000"/>
          <w:sz w:val="20"/>
          <w:lang w:val="en-US" w:eastAsia="en-US" w:bidi="ar-SA"/>
        </w:rPr>
        <w:t>Rosvold</w:t>
      </w:r>
      <w:r>
        <w:rPr>
          <w:rFonts w:ascii="arial" w:eastAsia="arial" w:hAnsi="arial" w:cs="arial"/>
          <w:color w:val="000000"/>
          <w:sz w:val="20"/>
          <w:lang w:val="en-US" w:eastAsia="en-US" w:bidi="ar-SA"/>
        </w:rPr>
        <w:t xml:space="preserve"> at para. 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Positions of the Parties on Future Loss of Income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The plaintiff contends that her chronic back and neck pain have rendered her less competitively employable and have restricted her opportunities for promotion within the RCMP forensic lab service. She claims $250,000 for her 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In support of that claim, the plaintiff offers three scenarios. The first is a measure of her loss of overtime, assuming she remained in her present position as a T2 Biology Analyst until retirement at age 65. In the two years before the accident, the plaintiff earned an average of $6,640 per year of overtime. Assuming she continues to work overtime at her current post accident level of one or two overtime shifts per year, her annual loss of overtime pay would be approximately $6,000. Applying Mr. Carson's income loss multipliers, the present value of lost overtime to age 65 would be $126,534.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The plaintiff's second scenario assumes that but for the accident Ms. Dhanji would have been promoted to the position of an S2 Reporting Scientist. Using the difference of $8,320.50 per year between Ms. Dhanji's current T2 salary and the median income for the S2 position of $76,256.50, and applying the income loss multiplier to age 65, the plaintiff calculates the present value of her loss in the amount of $175,460. Because reporting scientists also have the opportunity to work overtime shifts, the plaintiff also claims for lost overtime at an S2 double-time rate of $73.32 per hour. Assuming Ms. Dhanji would have worked eight hours of overtime per month to age 65, the plaintiff estimates the present value of lost overtime in the S2 position at $148,445.80. Under the second scenario, the plaintiff says the present value of her combined loss of salary and overtime would be $323,906.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The plaintiff's third scenario assumes that but for the accident Ms. Dhanji would have been promoted to the position of T4 Instrument Technologist. Making the same assumptions as in the previous example concerning the hours of overtime lost per month and taking into account the difference of $11,623 per year between Ms. Dhanji's current salary and the median salary for the T4 position of $79,559, the plaintiff estimates her combined loss of salary and overtime to age 65 at approximately $400,000.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Allowing for the positive contingency that her condition may improve, the plaintiff submits that $250,000 would be a fair award for her 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The defendant submits that other than some limited loss of overtime, there is no real and substantial possibility of a future loss of earnings caused by the accident. While there is some possibility the plaintiff may occasionally miss work as a result of flare-ups of her pain, she will incur no income loss because she has unlimited sick leave. Further, if Ms. Dhanji takes the recommended conditioning and psychological treatment, her condition may continue to improve, enabling her to gradually increase the amount of overtime she works. The defendant also contends that any impairment of the plaintiff's future earning capacity is partially the result of her failure to mitigate.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In addition, the defendant says that the plaintiff's injury will not prevent her from being considered for promotion and that she remains a valued employee of the RCMP. The defendant argues that there are very few higher paying positions available at the forensic lab and that Ms. Dhanji's prospects for promotion are both very low and unchanged by the accident. The defendant's position is that any award for loss of future earning capacity should be limited to a modest amount for lost overtime.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Discussion and Analysis of Future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Since November 2012, Ms. Dhanji has managed, with some accommodations, to perform all of the duties of her position as a DNA analyst over her regular work weeks of between 36 and 45 hours. She experiences some discomfort and is fatigued by the end of the week. Since the accident, and principally as a result of her chronic mid back and neck pain, she has lost overtime work which but for the accident, would have been available to her. I have accepted Dr. O'Connor's opinion that it is probable that her chronic pain will persist and will trouble her indefinitely from a mild to occasionally moderate extent. There is also a real chance that her depression and deconditioning may not improve and that her pain may persist at the moderate to occasionally severe level. It is likely that her continuing mid back pain will at times limit her tolerance for prolonged sitting and repetitive activities involving her shoulders and arms, and also induce fatigue, thereby limiting her capacity to work weekend overtime shifts. I find there is a real and substantial possibility that the plaintiff's chronic pain will in the future impair her capacity to work overtime and thereby lead to an income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Had the accident not occurred, the plaintiff, who is devoted to her work as a DNA analyst, would most likely have continued to work at the forensic lab until retirement at age 65. She would have sought to take advantage of any opportunities for promotion.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Dr. O'Connor believes that it is more likely than not that the plaintiff will maintain her employment. Ms. Dhanji remains committed to her work. I find that it is most likely that the plaintiff will continue to work at the forensic lab until she retires at age 65.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There is a chance that some point in the future, the plaintiff might be laid off, or have her employment terminated as a result of a reorganization by her employer. I rate that chance as very small, given the plaintiff's seniority, the nature of her work and the high regard in which she is held by her employer. If the plaintiff were laid off, it might take her longer to find new employment than other employees who are able to function without any limits imposed by chronic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Dr. Horley, who supervised Ms. Dhanji from 2008 until December 2014, confirmed that the plaintiff is able to satisfactorily perform all of her duties as a DNA analyst. She regards Ms. Dhanji as a valuable employee. The plaintiff's friend and colleague, Ms. Ostenall, also gave evidence that Ms. Dhanji is able to do all the work assigned to her, with breaks.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At the time of trial, Ms. Dhanji, who is qualified to perform manual DNA analysis, was cross-training in robotic DNA sampling. She expected to successfully complete that training shortly after the trial. When qualified, she will be able to perform the full range of manual and robotic DNA sampling work, which will enhance her value to her employer.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Dr. Horley testified that the plaintiff currently lacks the strength and endurance to perform the duties of the T4 instrument technologist position. That work involves the maintenance of robotic equipment. Instrument technologists must be able to lift the robotic arm and twist and manoeuvre their bodies in order to work inside the robotic devices.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Reporting scientists are responsible for analysing DNA profiles, writing reports, and if a case goes to trial, testifying in court. The work is largely sedentary. However employees are able to take breaks as required. Unlike DNA analysts, research scientists are not required to work for prolonged periods bent over a lab bench. The plaintiff is physically capable, with the workplace accommodations available to her, of performing the duties of a research scientist.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Opportunities for promotion within the RCMP forensic lab service are limited. Few instrument technologist or research scientist positions become available each year. Dr. Horley testified that only one or two research scientist positions open up each year. Promotions are highly competitive. The positions are posted internally and are open to RCMP employees across Canada. Seniority, education, training, performance on tests designed to emulate the requirements of the position and an interview are all taken into account in the selection process. Ms. Dhanji is now one of the most senior DNA analysts in the Vancouver forensic lab. The time she has missed from work since the accident has not affected her seniority.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Absent the accident, Ms. Dhanji had a chance for promotion to an instrument technologist position, although her opportunities for obtaining that position were limited, and far from certain. As a result of the accident, she is at present unable to meet the physical requirements for the position. If she is able to maintain and benefit from her conditioning program, there is a possibility that her chronic pain may be reduced to a mild level, such that she would be able to meet the requirements of the instrument technologist position. However, there is the real possibility that her chronic pain may persist at a level which would preclude her eligibility for that promotion. I find that the plaintiff's already limited opportunity for promotion to the position of instrument technologist has been diminished, but not eliminated by the injuries she sustained in the accident. I also find that the plaintiff's prospects for future promotion as a research scientist have not been impaired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There is a real and substantial possibility that with conditioning and psychological therapy, the plaintiff may realize improvement in her mood and a reduction of her chronic pain enabling her to increase her overtime hours. I must also take into account the contingency that Ms. Dhanji may not experience improvement to her chronic pain and that her mid back pain may persist at the moderate to occasionally severe level, and continue to limit her capacity to work overtime shifts. There may also be times when for reasons unrelated to the accident the plaintiff chooses not to work overtime as frequently as she did before the accident. As we have seen, for most of 2014, Ms. Dhanji chose not to work any overtime in order to spend weekends with her partner. Ms. Dhanji wants a permanent relationship and would like to have children. There is a real possibility that there will be periods when she is either unable or unwilling to work weekend overtime shifts due to other demands or priorities in her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The plaintiff's estimate of lost overtime to age 65 in her current T2 biology analyst's position provides a starting point for the assessment of her loss of future earning capacity. That estimate assumes that but for the accident the plaintiff would have worked the same amount of overtime as she did before November 22, 2011 each year until her retirement. In addition to the contingencies I have already discussed, there is a real possibility that as the plaintiff aged, in the years approaching her retirement, she would have reduced her overtime in any event. Taking into account all of the contingencies, both positive and negative, I find that the plaintiff, but for the accident, probably would have worked about 50% of the overtime she has claimed. That would reduce her claim for the present value of lost overtime at the T2 position to about $63,000. However, I must also take into account the contingency that the plaintiff will earn promotion to a research scientist position but may be unable to work overtime at her pre-accident level. In that case, her loss of earning capacity will be greater than if she continues in the DNA analyst position until her retirement. I must also bear in mind that Ms. Dhanji has incurred some loss of earning capacity as a result of the impairment of her already limited prospect for promotion to an instrument technologist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Taking all of these factors into account, and recognizing that the award must be fair to both parties, I would assess the plaintiff's damages for loss of future earning capacity in the amount of $90,000.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I would not reduce the award for the plaintiff's failure to take psychological counseling when it was first recommended in 2013. The plaintiff's loss of future earning capacity flows from her persistent back and neck pain. She has resumed her conditioning exercises. While her chronic pain is affected by her mood, Ms. Dhanji is now receiving cognitive behavioral therapy, and intends to continue that treatment. The defendant has not shown that the plaintiff would have reduced her future loss of earning capacity had she not delayed her psychological 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xml:space="preserve">  Claims for cost of future care must be medically justified and reasonable. The award of damages must be moderate and fair to both parties: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539"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(S.C.) at para. 210.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Krangle (Guardian ad litem of) v. Brisco</w:t>
      </w:r>
      <w:r>
        <w:rPr>
          <w:rFonts w:ascii="arial" w:eastAsia="arial" w:hAnsi="arial" w:cs="arial"/>
          <w:color w:val="000000"/>
          <w:sz w:val="20"/>
          <w:lang w:val="en-US" w:eastAsia="en-US" w:bidi="ar-SA"/>
        </w:rPr>
        <w:t xml:space="preserve">, </w:t>
      </w:r>
      <w:hyperlink r:id="rId540" w:history="1">
        <w:r>
          <w:rPr>
            <w:rFonts w:ascii="arial" w:eastAsia="arial" w:hAnsi="arial" w:cs="arial"/>
            <w:i/>
            <w:color w:val="0077CC"/>
            <w:sz w:val="20"/>
            <w:u w:val="single"/>
            <w:shd w:val="clear" w:color="auto" w:fill="FFFFFF"/>
            <w:lang w:val="en-US" w:eastAsia="en-US" w:bidi="ar-SA"/>
          </w:rPr>
          <w:t>2002 SCC 9</w:t>
        </w:r>
      </w:hyperlink>
      <w:r>
        <w:rPr>
          <w:rFonts w:ascii="arial" w:eastAsia="arial" w:hAnsi="arial" w:cs="arial"/>
          <w:color w:val="000000"/>
          <w:sz w:val="20"/>
          <w:lang w:val="en-US" w:eastAsia="en-US" w:bidi="ar-SA"/>
        </w:rPr>
        <w:t xml:space="preserve"> at paras. 21-22 McLachlin C.J.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21 Damages for cost of future care are a matter of prediction. No one knows the future. Yet the rule that damages must be assessed once and for all at the time of trial (subject to modification on appeal) requires courts to peer into the future and fix the damages for future care as best they can. In doing so, courts rely on the evidence as to what care is likely to be in the injured person's best interest. Then they calculate the present cost of providing that care and may make an adjustment for the contingency that the future may differ from what the evidence at trial indicates.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22 The resulting award may be said to reflect the reasonable or normal expectations of what the injured person will require. Jane Stapleton, "</w:t>
      </w:r>
      <w:r>
        <w:rPr>
          <w:rFonts w:ascii="arial" w:eastAsia="arial" w:hAnsi="arial" w:cs="arial"/>
          <w:i/>
          <w:color w:val="000000"/>
          <w:sz w:val="20"/>
          <w:lang w:val="en-US" w:eastAsia="en-US" w:bidi="ar-SA"/>
        </w:rPr>
        <w:t>The Normal Expectancies Measure in Tort Damages</w:t>
      </w:r>
      <w:r>
        <w:rPr>
          <w:rFonts w:ascii="arial" w:eastAsia="arial" w:hAnsi="arial" w:cs="arial"/>
          <w:color w:val="000000"/>
          <w:sz w:val="20"/>
          <w:lang w:val="en-US" w:eastAsia="en-US" w:bidi="ar-SA"/>
        </w:rPr>
        <w:t>" (1997), 113 L.Q.R. 257, thus suggests, at pp. 257-58, that the tort measure of compensatory damages may be described as the "'normal expectancies' measure", a term which "more clearly describes the aim of awards of compensatory damages in tort: namely, to re-position the plaintiff to the destination he would normally have reached . . . had it not been for the tort". The measure is objective, based on the evidence. This method produces a result fair to both the claimant and the defendant. The claimant receives damages for future losses, as best they can be ascertained. The defendant is required to compensate for those losses. To award less than what may reasonably be expected to be required is to give the plaintiff too little and unfairly advantage the defendant. To award more is to give the plaintiff a windfall and require the defendant to pay more than is fair.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Relying upon the recommendations of Drs. Devlin and O'Connor, the plaintiff claims costs of future care for cognitive behavioural therapy, assessment at a pain clinic, the costs of a gym membership and the assistance of a personal trainer or kinesiologist to help her in maintaining the strength and conditioning program recommended by Dr. O'Connor, and the cost of help with home cleaning and maintenance tasks. The plaintiff testified she did not intend to take anti-depressant medications. Accordingly, no claim is advanced for the costs of medication.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Cognitive Behavioural 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Dr. Devlin recommended 25 to 30 sessions of this psychological therapy to assist the plaintiff in coping with chronic pain. Ms. Dhanji had taken four sessions at a cost of $185 per session by the time of trial. The cost of a further 25 sessions is $4,625. The defendant submits that there should be a deduction from any amount assessed for cognitive behavioural therapy to reflect the fact that Ms. Dhanji is eligible to claim up to $2,000 for the cost of therapy from her extended health plan. The plaintiff's group insurer has a subrogated claim for amounts paid to treat injuries sustained by the plaintiff in the accident. In these circumstances, it is not appropriate to make the deduction sought by the defendant. I assess the cost for psychological therapy in the amount of $4,625.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The Pain Clinic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Dr. Devlin thought the plaintiff would benefit from a full assessment by a pain clinic, where she would receive a multi-disciplinary assessment from a range of treatment providers, including occupational therapists and kinesiologists. He thought $8,000 was a conservative estimate of the cost of that service. Ms. Dhanji said she would pursue that treatment to help her cope with her pain. I find that assessment at a pain clinic is medically justified and that the cost of this treatment as estimated by Dr. Devlin is reasonable. Accordingly, I would allow this item in the amount of $8,000.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Gym Membership and Personal Trainer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Dr. O'Connor recommended a strength and conditioning program for the plaintiff's neck and shoulder girdle, and thought that an ongoing exercise program would likely assist the plaintiff in improving her mood and conditioning, and reducing the level of her chronic pain. When Ms. Dhanji attended the Performance Institute for her active rehabilitation program in 2012, her gym membership cost $500 per year. Using an annual cost of $500 and Mr. Carson's cost of care multiplier, the plaintiff claims the present value of the cost of a gym membership for the remainder of her expected life in the amount of $14,846. I accept $500 as a reasonable cost for an annual gym membership. As the plaintiff ages, her attendance at the gym may decline. Later in life, medical conditions unrelated to the accident may prevent her from exercising. In my view, there is a real and substantial possibility that the plaintiff will use the gym membership to assist in the management of her back and neck symptoms to age 70. The present value of a $500 annual gym membership to age 70 is $11,506. However there are other contingencies that I must take into account. There may be periods when the plaintiff does not attend the gym as a result of other demands upon her time. As Dr. O'Connor pointed out, most patients "fall off the wagon" and have a very difficult time maintaining a continuous exercise program. There is also the possibility that the plaintiff may suspend or terminate her exercises if her chronic pain improves significantly. I find that the cost of a gym membership is medically justified. However, taking into account all of the contingencies, both positive and negative, I assess the reasonable cost of this item at $6,000.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With respect to Dr. O'Connor's recommendation that Ms. Dhanji have help from a personal trainer or kinesiologist every three to five years in order to adjust her exercise programs, I note that the plaintiff has already worked extensively with a kinesiologist. Further, she will receive additional assistance from a kinesiologist as part of her treatment at the pain clinic. With the personal training and kinesiology the plaintiff has already received, and will receive from the pain clinic, she should be able to manage her own exercise program. I am not persuaded that the cost of additional kinesiology is justified and reasonable. Accordingly, I make no award for further personal training or kinesiology.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Homemaking Assistance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Ms. Dhanji also claims for the cost of homemaking assistance for the remainder of her life in the amount of $22,269.75. The amount claimed is the present value of 30 hours of homemaking assistance per year at the rate of $30 per hour to age 85. Dr. O'Connor thought Ms. Dhanji might need some assistance with lighter chores during flare-ups of her symptoms, and that the plaintiff would require some help with heavy seasonal activities such as heavy yard work or seasonable garden or home cleanup. Ms. Dhanji has managed to perform her housekeeping chores since the accident, albeit with some pain and discomfort, by spreading them over the week. From the time of the accident to trial, she coped without hiring any help. However she said that her standard of general upkeep had fallen from what it was before the accident. At present, she resides in a condominium and is not required to perform any of the heavy yard work or home maintenance tasks contemplated by Dr. O'Connor.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There is a real possibility that the plaintiff will experience occasional flare-ups of moderate to severe pain that impair her capacity to perform repetitive tasks such as vacuuming or mopping the floor. There is also the chance that in the future she may own a home and require occasional assistance with seasonal yard work and maintenance. Conversely, there is a real possibility that Ms. Dhanji may share a home with a partner who is prepared to take on the heavier tasks as part of the normal give-and-take of a relationship. The plaintiff's needs for housekeeping assistance may also vary from year to year and may decline if her condition improves to the point where she only experiences mild chronic pain with occasional flare-ups of moderate pain. There is also the possibility that in old age she may require housekeeping assistance for reasons unrelated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Taking all of these factors into account, I find that some limited provision for housekeeping costs is medically justified. I accept the plaintiff's evidence that homemaking services are available at costs ranging from $20-$30 per hour. Weighing all of the contingencies, and the plaintiff's demonstrated capacity to manage most housekeeping tasks most of the time, I find that Ms. Dhanji will probably require considerably less assistance than that proposed by her counsel. Doing the best that I can, I would allow roughly one third of the amount claimed. I assess the plaintiff's future housekeeping costs in the amount of $7000.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For those items which I have found to be medically justified and reasonable, I assess the plaintiff's damages for costs of future care in the total amount of $25,625.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xml:space="preserve">  The plaintiff is entitled to recover reasonable out-of-pocket expenses incurred as a result of the accident in order to restore her to the position she would have been in had the accident not occurred: </w:t>
      </w:r>
      <w:r>
        <w:rPr>
          <w:rFonts w:ascii="arial" w:eastAsia="arial" w:hAnsi="arial" w:cs="arial"/>
          <w:i/>
          <w:color w:val="000000"/>
          <w:sz w:val="20"/>
          <w:lang w:val="en-US" w:eastAsia="en-US" w:bidi="ar-SA"/>
        </w:rPr>
        <w:t>X. v. Y.</w:t>
      </w:r>
      <w:r>
        <w:rPr>
          <w:rFonts w:ascii="arial" w:eastAsia="arial" w:hAnsi="arial" w:cs="arial"/>
          <w:color w:val="000000"/>
          <w:sz w:val="20"/>
          <w:lang w:val="en-US" w:eastAsia="en-US" w:bidi="ar-SA"/>
        </w:rPr>
        <w:t xml:space="preserve">, </w:t>
      </w:r>
      <w:hyperlink r:id="rId541" w:history="1">
        <w:r>
          <w:rPr>
            <w:rFonts w:ascii="arial" w:eastAsia="arial" w:hAnsi="arial" w:cs="arial"/>
            <w:i/>
            <w:color w:val="0077CC"/>
            <w:sz w:val="20"/>
            <w:u w:val="single"/>
            <w:shd w:val="clear" w:color="auto" w:fill="FFFFFF"/>
            <w:lang w:val="en-US" w:eastAsia="en-US" w:bidi="ar-SA"/>
          </w:rPr>
          <w:t>2011 BCSC 944</w:t>
        </w:r>
      </w:hyperlink>
      <w:r>
        <w:rPr>
          <w:rFonts w:ascii="arial" w:eastAsia="arial" w:hAnsi="arial" w:cs="arial"/>
          <w:color w:val="000000"/>
          <w:sz w:val="20"/>
          <w:lang w:val="en-US" w:eastAsia="en-US" w:bidi="ar-SA"/>
        </w:rPr>
        <w:t xml:space="preserve"> at para. 281;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at para. 170.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The plaintiff claims special damages of $7,202.87 for out-of-pocket expenses incurred for drugs, gym passes, ambulance services and fees for physiotherapy, massage therapy and counselling. Her special damages claim includes $2,115 for 25 massage therapy treatments.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The plaintiff told Dr. O'Connor that before the accident she intermittently attended massage therapy once or twice a month for "wear and tear". Her pattern and frequency of attendance was similar before and after the accident. The plaintiff also testified that she attended massage therapy before the accident to take advantage of her extended health benefit, which paid for some, but not all of her sessions. The plaintiff has not established that but for the accident she would not have incurred the costs for massage therapy she now claims. Accordingly, the claim for massage therapy is denied. The plaintiff is awarded special damages in the amount of $5,087.87.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To conclude, damages are awarded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019"/>
        <w:gridCol w:w="1673"/>
        <w:gridCol w:w="376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91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 Non-pecuniary damages:</w:t>
            </w:r>
          </w:p>
        </w:tc>
        <w:tc>
          <w:tcPr>
            <w:tcW w:w="163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$67,500</w:t>
            </w:r>
          </w:p>
        </w:tc>
        <w:tc>
          <w:tcPr>
            <w:tcW w:w="368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91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 Past loss of earning capacity:</w:t>
            </w:r>
          </w:p>
        </w:tc>
        <w:tc>
          <w:tcPr>
            <w:tcW w:w="163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$11,650</w:t>
            </w:r>
          </w:p>
        </w:tc>
        <w:tc>
          <w:tcPr>
            <w:tcW w:w="368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91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 Future loss of earning capacity:</w:t>
            </w:r>
          </w:p>
        </w:tc>
        <w:tc>
          <w:tcPr>
            <w:tcW w:w="163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$90,000</w:t>
            </w:r>
          </w:p>
        </w:tc>
        <w:tc>
          <w:tcPr>
            <w:tcW w:w="368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91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 Costs of future care:</w:t>
            </w:r>
          </w:p>
        </w:tc>
        <w:tc>
          <w:tcPr>
            <w:tcW w:w="163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$25,625</w:t>
            </w:r>
          </w:p>
        </w:tc>
        <w:tc>
          <w:tcPr>
            <w:tcW w:w="368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91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 Special damages:</w:t>
            </w:r>
          </w:p>
        </w:tc>
        <w:tc>
          <w:tcPr>
            <w:tcW w:w="163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$5,087.87</w:t>
            </w:r>
          </w:p>
        </w:tc>
        <w:tc>
          <w:tcPr>
            <w:tcW w:w="368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91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TOTAL</w:t>
            </w:r>
          </w:p>
        </w:tc>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$199,862.87</w:t>
            </w:r>
          </w:p>
        </w:tc>
        <w:tc>
          <w:tcPr>
            <w:tcW w:w="3686"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Unless there are matters which counsel wish to bring to the Court's attention, the plaintiff is entitled to costs of the action at Scale B, together with her reasonable disbursements. If necessary, counsel are at liberty to make written submissions in respect of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P.J. PEARLMAN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76" style="position:absolute;z-index:2517944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66"/>
          <w:headerReference w:type="default" r:id="rId667"/>
          <w:footerReference w:type="even" r:id="rId668"/>
          <w:footerReference w:type="default" r:id="rId669"/>
          <w:headerReference w:type="first" r:id="rId670"/>
          <w:footerReference w:type="first" r:id="rId67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672" w:history="1">
        <w:r>
          <w:rPr>
            <w:rFonts w:ascii="arial" w:eastAsia="arial" w:hAnsi="arial" w:cs="arial"/>
            <w:b/>
            <w:bCs/>
            <w:i/>
            <w:color w:val="0077CC"/>
            <w:kern w:val="32"/>
            <w:sz w:val="28"/>
            <w:szCs w:val="32"/>
            <w:u w:val="single"/>
            <w:shd w:val="clear" w:color="auto" w:fill="FFFFFF"/>
            <w:lang w:val="en-US" w:eastAsia="en-US" w:bidi="ar-SA"/>
          </w:rPr>
          <w:t>Graham v. Carson, [2014] B.C.J. No. 741</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G. MacIntosh J.</w:t>
      </w:r>
    </w:p>
    <w:p>
      <w:pPr>
        <w:spacing w:before="120" w:line="260" w:lineRule="atLeast"/>
        <w:jc w:val="center"/>
        <w:rPr>
          <w:lang w:val="en-US" w:eastAsia="en-US" w:bidi="ar-SA"/>
        </w:rPr>
      </w:pPr>
      <w:r>
        <w:rPr>
          <w:rFonts w:ascii="arial" w:eastAsia="arial" w:hAnsi="arial" w:cs="arial"/>
          <w:color w:val="000000"/>
          <w:sz w:val="20"/>
          <w:lang w:val="en-US" w:eastAsia="en-US" w:bidi="ar-SA"/>
        </w:rPr>
        <w:t>Heard: April 1-2, 2014.</w:t>
      </w:r>
    </w:p>
    <w:p>
      <w:pPr>
        <w:spacing w:before="120" w:line="260" w:lineRule="atLeast"/>
        <w:jc w:val="center"/>
        <w:rPr>
          <w:lang w:val="en-US" w:eastAsia="en-US" w:bidi="ar-SA"/>
        </w:rPr>
      </w:pPr>
      <w:r>
        <w:rPr>
          <w:rFonts w:ascii="arial" w:eastAsia="arial" w:hAnsi="arial" w:cs="arial"/>
          <w:color w:val="000000"/>
          <w:sz w:val="20"/>
          <w:lang w:val="en-US" w:eastAsia="en-US" w:bidi="ar-SA"/>
        </w:rPr>
        <w:t>Oral judgment: April 8, 2014.</w:t>
      </w:r>
    </w:p>
    <w:p>
      <w:pPr>
        <w:spacing w:before="120" w:line="260" w:lineRule="atLeast"/>
        <w:jc w:val="center"/>
        <w:rPr>
          <w:lang w:val="en-US" w:eastAsia="en-US" w:bidi="ar-SA"/>
        </w:rPr>
      </w:pPr>
      <w:r>
        <w:rPr>
          <w:rFonts w:ascii="arial" w:eastAsia="arial" w:hAnsi="arial" w:cs="arial"/>
          <w:color w:val="000000"/>
          <w:sz w:val="20"/>
          <w:lang w:val="en-US" w:eastAsia="en-US" w:bidi="ar-SA"/>
        </w:rPr>
        <w:t>Docket: 12-2847</w:t>
      </w:r>
    </w:p>
    <w:p>
      <w:pPr>
        <w:spacing w:before="120" w:line="260" w:lineRule="atLeast"/>
        <w:jc w:val="center"/>
        <w:rPr>
          <w:lang w:val="en-US" w:eastAsia="en-US" w:bidi="ar-SA"/>
        </w:rPr>
      </w:pPr>
      <w:r>
        <w:rPr>
          <w:rFonts w:ascii="arial" w:eastAsia="arial" w:hAnsi="arial" w:cs="arial"/>
          <w:color w:val="000000"/>
          <w:sz w:val="20"/>
          <w:lang w:val="en-US" w:eastAsia="en-US" w:bidi="ar-SA"/>
        </w:rPr>
        <w:t>Registry: Victoria</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[2014] B.C.J. No. 741</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2014 BCSC 726</w:t>
      </w:r>
    </w:p>
    <w:p>
      <w:pPr>
        <w:spacing w:before="120" w:line="260" w:lineRule="atLeast"/>
        <w:rPr>
          <w:lang w:val="en-US" w:eastAsia="en-US" w:bidi="ar-SA"/>
        </w:rPr>
      </w:pPr>
      <w:r>
        <w:rPr>
          <w:rFonts w:ascii="arial" w:eastAsia="arial" w:hAnsi="arial" w:cs="arial"/>
          <w:color w:val="000000"/>
          <w:sz w:val="20"/>
          <w:lang w:val="en-US" w:eastAsia="en-US" w:bidi="ar-SA"/>
        </w:rPr>
        <w:t>Between Grant Watt Graham, Plaintiff, and Primrose M. Carson and Victoria Ford Alliance Ltd.,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(28 paras.)</w:t>
      </w:r>
    </w:p>
    <w:p>
      <w:pPr>
        <w:jc w:val="both"/>
        <w:rPr>
          <w:lang w:val="en-US" w:eastAsia="en-US" w:bidi="ar-SA"/>
        </w:rPr>
      </w:pPr>
      <w:bookmarkStart w:id="190" w:name="Counsel_33"/>
      <w:bookmarkEnd w:id="190"/>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177" style="position:absolute;z-index:251693056"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the Plaintiff: Rory Lambert, Marlisa H. Martin.</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Defendants: John D. Waddell, Q.C., Nicole C. Hamilton.</w:t>
      </w:r>
      <w:r>
        <w:rPr>
          <w:lang w:val="en-US" w:eastAsia="en-US" w:bidi="ar-SA"/>
        </w:rPr>
        <w:cr/>
      </w:r>
    </w:p>
    <w:p>
      <w:pPr>
        <w:spacing w:after="240"/>
        <w:rPr>
          <w:lang w:val="en-US" w:eastAsia="en-US" w:bidi="ar-SA"/>
        </w:rPr>
      </w:pPr>
      <w:bookmarkStart w:id="191" w:name="Judgment_33"/>
      <w:bookmarkEnd w:id="191"/>
      <w:r>
        <w:pict>
          <v:line id="_x0000_s1178" style="position:absolute;z-index:251744256" from="0,12pt" to="512pt,12pt" strokecolor="#009ddb" strokeweight="1.5pt">
            <v:stroke linestyle="single"/>
          </v:line>
        </w:pict>
      </w:r>
    </w:p>
    <w:p>
      <w:pPr>
        <w:spacing w:before="120" w:line="260" w:lineRule="atLeast"/>
        <w:jc w:val="center"/>
        <w:rPr>
          <w:lang w:val="en-US" w:eastAsia="en-US" w:bidi="ar-SA"/>
        </w:rPr>
      </w:pPr>
      <w:r>
        <w:rPr>
          <w:rFonts w:ascii="arial" w:eastAsia="arial" w:hAnsi="arial" w:cs="arial"/>
          <w:b/>
          <w:color w:val="000000"/>
          <w:sz w:val="20"/>
          <w:lang w:val="en-US" w:eastAsia="en-US" w:bidi="ar-SA"/>
        </w:rPr>
        <w:t>Oral Reasons for Judgment</w:t>
      </w:r>
      <w:r>
        <w:rPr>
          <w:lang w:val="en-US" w:eastAsia="en-US" w:bidi="ar-SA"/>
        </w:rPr>
        <w:cr/>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9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192" w:name="G. MACINTOSH J. (orally)"/>
            <w:bookmarkEnd w:id="192"/>
            <w:r>
              <w:rPr>
                <w:rFonts w:ascii="arial" w:eastAsia="arial" w:hAnsi="arial" w:cs="arial"/>
                <w:b/>
                <w:color w:val="000000"/>
                <w:sz w:val="30"/>
                <w:lang w:val="en-US" w:eastAsia="en-US" w:bidi="ar-SA"/>
              </w:rPr>
              <w:t>G. MACINTOSH J. (orally)</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Grant Graham, is an experienced cyclist. On the morning of October 22, 2010, he was driving his bicycle to work, travelling south on Blanshard Street in Victoria. Mr. Graham brings this action because, just after he crossed Fort Street that morning, he suffered injury which he attributes to the defendants.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trial held before me in Victoria on April 1 and 2 addressed the question of liability only and, in particular, whether the defendant Primrose Carson or the plaintiff or both should be found liable for the injuries Mr. Graham sustained.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Ms. Carson was also on her way to work that morning. She, too, was travelling southward on Blanshard, but prior to the accident she had stopped her car in a commercial loading zone on the west side of Blanshard, immediately south of Fort Street. Ms. Carson stopped there to drop off her husband.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liability question in this case turns on what happened in the few seconds when Ms. Carson pulled her car out into traffic on Blanshard to carry on heading south on her way to work. I have concluded that Ms. Carson pulled out into traffic too quickly, and that she did not have her turn signal on to indicate that she was about to do so. She recalls that she did put her turn signal 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 and an independent witness, Mr. Nathan Enns, who was driving his car south on Blanshard just behind the plaintiff, were both clear in recalling that Ms. Carson did not activate her turn signal before re-entering the Blanshard traffic.</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When I conclude, as I have, that Ms. Carson did not activate her turn signal, I add that Ms. Carson appeared to be a truthful witness giving her testimony in a forthright manner. One's memory of what would have been a small event, such as, in this case, whether a turn signal was activated, can easily be imperfect. It is difficult to always recall accurately whether an often-repeated action in fact occurred on any single occasion.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By contrast, the plaintiff and Mr. Enns were seeing the defendant's car at a 45-degree angle to the traffic in what was, for both of them, a difficult situation when their attention had become fully engaged. The absence of a turn signal was clearly etched in their recollections.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Having found as I have regarding the turn signal, I add that the failure to signal is not the central concern in this case. If Ms. Carson had signalled at about the same moment she pulled out and drove into the traffic, the signal would have been of little or no assistance to anyone. The main problem was that Ms. Carson's car darted out into traffic too quickly. The traffic was proceeding south on Blanshard immediately behind or beside her car when her car had been stopped in the commercial zone moments before that. She should have waited for a safe opening in the traffic, which might have entailed waiting where she was until the light changed so as to stop the southerly flow on Blanshard before cars started south onto Blanshard from Fort Street.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As it happened, Ms. Carson pulled out into the southbound traffic too quickly, and the driver of the vehicle immediately behind her had to stop his SUV very quickly. Fortunately, he was able to do so without colliding with the defendant's car.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Incidentally, neither side called that driver as a witness. The facts found in these reasons are based on the testimony of the plaintiff, the defendant driver, and Mr. Enns, the driver of the following car who was referenced above.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Proceeding through the green light southward on Blanshard were, first, the SUV, second, the plaintiff on his bicycle, and third, Mr. Enns in his car. The SUV, the plaintiff's bicycle and the Enns car were thrown into disarray by the defendant driver pulling out too suddenly, immediately in front of the SUV.</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 noted above that the SUV stopped before hitting the defendant's car, but avoiding that collision was a near thing. The SUV had to stop very quickly. Mr. Enns veered his car toward the left; that is, toward the centremost of the southbound lanes on Blanshard, in order to avoid a collision. Meanwhile, the plaintiff on his bike had a matter of seconds to decide what to do. He was conscious from past experience that he risked being rear-ended by the Enns vehicle if he stayed his course and simply braked, hoping to stop in time to avoid hitting the SUV. Instead, he steered his bike, to the right, into what appeared as a metre-wide opening between the stopped SUV and a car parked on Blanshard, just south of the commercial zone.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As I noted above, Mr. Graham is an experienced cyclist, and hoping to avoid injury by driving into the space between the SUV and the parked car was not unreasonable in that dire circumstance, when there was no time and little opportunity to do anything else.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Unfortunately, that escape route did not save the plaintiff. His elbow hit the mirror of the parked car, breaking off the mirror. That impact drove him from his bike and injured him, thus giving rise to this claim.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Meanwhile, the defendant driver did not witness any of these events, having pulled out into traffic in front of the SUV. Her first awareness of the accident behind her came from her looking in her rear-view mirror when she was nearly at the intersection with Broughton Street.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My view of the evidence and my resulting findings of fact lead to my conclusion that the defendant driver is fully liable for the plaintiff's injuries. The plaintiff was not contributorily negligent. He acted promptly and not unreasonably in a desperate situation, which was brought about entirely by Ms. Carson's re-entering traffic when her car should have stayed where it was until there was a safe opportunity to proceed.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 case was well-argued by the defence. I am not sure that anything more could have been said, but in my view, the defence theory of the case places unreasonable responsibilities on the shoulders of the plaintiff. The defence invites the Court to conclude that Mr. Graham should have brought his bike to a stop behind the suddenly-stopped SUV, and that he was negligent for not attempting that. No one can be certain of what would have happened with that course of events, but as I have found above, the evasive action which Mr. Graham did undertake was not unreasonable in the circumstance, particularly when the decision to act had to be formulated probably within one or two seconds, all because of a change of events authored by the defendant driver alone. To fully succeed here, the plaintiff must show, on the balance of probabilities, that his injuries were the result of the defendant driver's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not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I have found above the facts which would support findings that Ms. Carson violated provisions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316</w:t>
      </w:r>
      <w:r>
        <w:rPr>
          <w:rFonts w:ascii="arial" w:eastAsia="arial" w:hAnsi="arial" w:cs="arial"/>
          <w:color w:val="000000"/>
          <w:sz w:val="20"/>
          <w:lang w:val="en-US" w:eastAsia="en-US" w:bidi="ar-SA"/>
        </w:rPr>
        <w:t xml:space="preserve">, by driving without paying due care and attention and turning into traffic without signalling. The probable violations of those statutory provisions are informative but not determinative of negligent conduct, and my finding of Ms. Carson's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not based on the statutory provisions; it is based on the facts as set out earlier in these reasons.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The plaintiff cited our Court of Appeal's decision in </w:t>
      </w:r>
      <w:r>
        <w:rPr>
          <w:rFonts w:ascii="arial" w:eastAsia="arial" w:hAnsi="arial" w:cs="arial"/>
          <w:i/>
          <w:color w:val="000000"/>
          <w:sz w:val="20"/>
          <w:lang w:val="en-US" w:eastAsia="en-US" w:bidi="ar-SA"/>
        </w:rPr>
        <w:t>Skinner v. Fu</w:t>
      </w:r>
      <w:r>
        <w:rPr>
          <w:rFonts w:ascii="arial" w:eastAsia="arial" w:hAnsi="arial" w:cs="arial"/>
          <w:color w:val="000000"/>
          <w:sz w:val="20"/>
          <w:lang w:val="en-US" w:eastAsia="en-US" w:bidi="ar-SA"/>
        </w:rPr>
        <w:t xml:space="preserve">, </w:t>
      </w:r>
      <w:hyperlink r:id="rId673" w:history="1">
        <w:r>
          <w:rPr>
            <w:rFonts w:ascii="arial" w:eastAsia="arial" w:hAnsi="arial" w:cs="arial"/>
            <w:i/>
            <w:color w:val="0077CC"/>
            <w:sz w:val="20"/>
            <w:u w:val="single"/>
            <w:shd w:val="clear" w:color="auto" w:fill="FFFFFF"/>
            <w:lang w:val="en-US" w:eastAsia="en-US" w:bidi="ar-SA"/>
          </w:rPr>
          <w:t>2010 BCCA 321</w:t>
        </w:r>
      </w:hyperlink>
      <w:r>
        <w:rPr>
          <w:rFonts w:ascii="arial" w:eastAsia="arial" w:hAnsi="arial" w:cs="arial"/>
          <w:color w:val="000000"/>
          <w:sz w:val="20"/>
          <w:lang w:val="en-US" w:eastAsia="en-US" w:bidi="ar-SA"/>
        </w:rPr>
        <w:t>, at para. 21, where Garson J.A. said: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The judgment in </w:t>
      </w:r>
      <w:r>
        <w:rPr>
          <w:rFonts w:ascii="arial" w:eastAsia="arial" w:hAnsi="arial" w:cs="arial"/>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504" w:history="1">
        <w:r>
          <w:rPr>
            <w:rFonts w:ascii="arial" w:eastAsia="arial" w:hAnsi="arial" w:cs="arial"/>
            <w:i/>
            <w:color w:val="0077CC"/>
            <w:sz w:val="20"/>
            <w:u w:val="single"/>
            <w:shd w:val="clear" w:color="auto" w:fill="FFFFFF"/>
            <w:lang w:val="en-US" w:eastAsia="en-US" w:bidi="ar-SA"/>
          </w:rPr>
          <w:t>[2007] 1 S.C.R. 333</w:t>
        </w:r>
      </w:hyperlink>
      <w:r>
        <w:rPr>
          <w:rFonts w:ascii="arial" w:eastAsia="arial" w:hAnsi="arial" w:cs="arial"/>
          <w:color w:val="000000"/>
          <w:sz w:val="20"/>
          <w:lang w:val="en-US" w:eastAsia="en-US" w:bidi="ar-SA"/>
        </w:rPr>
        <w:t xml:space="preserve"> refines the test of causation and reminds us that the defendant's breach of the standard of care need only be a cause of the plaintiff's injury and not the sole cause (see also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505"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There may exist other causes that materially contributed to the injury, but that does not relieve the defendant of liability. In such circumstances, relief from liability follows only if the defendant's breach of his standard of care did not materially contribute to the plaintiff's injury. The analysis should be focused on the question: "but for" the defendant's breach of the standard of care, would the plaintiff have suffered damage?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The defendants responded by noting para. 23 in </w:t>
      </w:r>
      <w:r>
        <w:rPr>
          <w:rFonts w:ascii="arial" w:eastAsia="arial" w:hAnsi="arial" w:cs="arial"/>
          <w:i/>
          <w:color w:val="000000"/>
          <w:sz w:val="20"/>
          <w:lang w:val="en-US" w:eastAsia="en-US" w:bidi="ar-SA"/>
        </w:rPr>
        <w:t>Skinner</w:t>
      </w:r>
      <w:r>
        <w:rPr>
          <w:rFonts w:ascii="arial" w:eastAsia="arial" w:hAnsi="arial" w:cs="arial"/>
          <w:color w:val="000000"/>
          <w:sz w:val="20"/>
          <w:lang w:val="en-US" w:eastAsia="en-US" w:bidi="ar-SA"/>
        </w:rPr>
        <w:t>, which reminds us that, generally speaking, the law remains that following drivers will usually be at fault for failing to avoid a collision with a vehicle which has stopped quickly in front. But of course, the analysis of who is responsible for an accident will depend on a close examination of the particular facts of that particular accident. Precedents are of substantial value, of course, for determining the guiding legal principles, but are of more limited value for assisting in finding the facts in a case at bar.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I do not find from the facts stated above that Mr. Graham was contributorily negligent. A person is guilty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if he ought reasonably to have foreseen that if he did not act as a reasonable, prudent man he might be hurt himself. That was the reasoning of Denning L.J. in </w:t>
      </w:r>
      <w:r>
        <w:rPr>
          <w:rFonts w:ascii="arial" w:eastAsia="arial" w:hAnsi="arial" w:cs="arial"/>
          <w:i/>
          <w:color w:val="000000"/>
          <w:sz w:val="20"/>
          <w:lang w:val="en-US" w:eastAsia="en-US" w:bidi="ar-SA"/>
        </w:rPr>
        <w:t>Jones v. Livox Quarries</w:t>
      </w:r>
      <w:r>
        <w:rPr>
          <w:rFonts w:ascii="arial" w:eastAsia="arial" w:hAnsi="arial" w:cs="arial"/>
          <w:color w:val="000000"/>
          <w:sz w:val="20"/>
          <w:lang w:val="en-US" w:eastAsia="en-US" w:bidi="ar-SA"/>
        </w:rPr>
        <w:t xml:space="preserve">, [1952] Q.B. 608 (C.A.), at page 615, which was adopted by the Supreme Court of Canada in </w:t>
      </w:r>
      <w:r>
        <w:rPr>
          <w:rFonts w:ascii="arial" w:eastAsia="arial" w:hAnsi="arial" w:cs="arial"/>
          <w:i/>
          <w:color w:val="000000"/>
          <w:sz w:val="20"/>
          <w:lang w:val="en-US" w:eastAsia="en-US" w:bidi="ar-SA"/>
        </w:rPr>
        <w:t>Bow Valley Husky (Bermuda) Ltd. v. Saint John Shipbuilding Ltd.</w:t>
      </w:r>
      <w:r>
        <w:rPr>
          <w:rFonts w:ascii="arial" w:eastAsia="arial" w:hAnsi="arial" w:cs="arial"/>
          <w:color w:val="000000"/>
          <w:sz w:val="20"/>
          <w:lang w:val="en-US" w:eastAsia="en-US" w:bidi="ar-SA"/>
        </w:rPr>
        <w:t xml:space="preserve">, </w:t>
      </w:r>
      <w:hyperlink r:id="rId674" w:history="1">
        <w:r>
          <w:rPr>
            <w:rFonts w:ascii="arial" w:eastAsia="arial" w:hAnsi="arial" w:cs="arial"/>
            <w:i/>
            <w:color w:val="0077CC"/>
            <w:sz w:val="20"/>
            <w:u w:val="single"/>
            <w:shd w:val="clear" w:color="auto" w:fill="FFFFFF"/>
            <w:lang w:val="en-US" w:eastAsia="en-US" w:bidi="ar-SA"/>
          </w:rPr>
          <w:t>[1997] 3 S.C.R. 1210</w:t>
        </w:r>
      </w:hyperlink>
      <w:r>
        <w:rPr>
          <w:rFonts w:ascii="arial" w:eastAsia="arial" w:hAnsi="arial" w:cs="arial"/>
          <w:color w:val="000000"/>
          <w:sz w:val="20"/>
          <w:lang w:val="en-US" w:eastAsia="en-US" w:bidi="ar-SA"/>
        </w:rPr>
        <w:t>, at paragraph 76.</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Acting in the emergency caused by the defendant driver's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as Mr. Graham was compelled to do, he cannot be expected to have exercised his judgment perfectly.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Freedman C.J.M. said in </w:t>
      </w:r>
      <w:r>
        <w:rPr>
          <w:rFonts w:ascii="arial" w:eastAsia="arial" w:hAnsi="arial" w:cs="arial"/>
          <w:i/>
          <w:color w:val="000000"/>
          <w:sz w:val="20"/>
          <w:lang w:val="en-US" w:eastAsia="en-US" w:bidi="ar-SA"/>
        </w:rPr>
        <w:t>Neufeld v. Landry</w:t>
      </w:r>
      <w:r>
        <w:rPr>
          <w:rFonts w:ascii="arial" w:eastAsia="arial" w:hAnsi="arial" w:cs="arial"/>
          <w:color w:val="000000"/>
          <w:sz w:val="20"/>
          <w:lang w:val="en-US" w:eastAsia="en-US" w:bidi="ar-SA"/>
        </w:rPr>
        <w:t xml:space="preserve"> </w:t>
      </w:r>
      <w:hyperlink r:id="rId675" w:history="1">
        <w:r>
          <w:rPr>
            <w:rFonts w:ascii="arial" w:eastAsia="arial" w:hAnsi="arial" w:cs="arial"/>
            <w:i/>
            <w:color w:val="0077CC"/>
            <w:sz w:val="20"/>
            <w:u w:val="single"/>
            <w:shd w:val="clear" w:color="auto" w:fill="FFFFFF"/>
            <w:lang w:val="en-US" w:eastAsia="en-US" w:bidi="ar-SA"/>
          </w:rPr>
          <w:t>(1974), 55 D.L.R. (3d) 296</w:t>
        </w:r>
      </w:hyperlink>
      <w:r>
        <w:rPr>
          <w:rFonts w:ascii="arial" w:eastAsia="arial" w:hAnsi="arial" w:cs="arial"/>
          <w:color w:val="000000"/>
          <w:sz w:val="20"/>
          <w:lang w:val="en-US" w:eastAsia="en-US" w:bidi="ar-SA"/>
        </w:rPr>
        <w:t xml:space="preserve"> at page 298:</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The conduct of the plaintiff driver must be assessed in the light of the crisis that was looming up before her. If in the "agony of the moment" the evasive action she took may not have been as good as some other course of action she might have taken -- a doubtful matter at best -- we would not characterize her conduct as amounting to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It was the defendant who created the emergency which led to the accident. It does not lie in his mouth to be minutely critical of the reactive conduct of the plaintiff whose safety he has imperilled by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Of course, the gender references in that quotation are to be reversed for the case at bar, but the reasoning has direct application here.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I was shown the reasons of K.J. Smith J.A., in </w:t>
      </w:r>
      <w:r>
        <w:rPr>
          <w:rFonts w:ascii="arial" w:eastAsia="arial" w:hAnsi="arial" w:cs="arial"/>
          <w:i/>
          <w:color w:val="000000"/>
          <w:sz w:val="20"/>
          <w:lang w:val="en-US" w:eastAsia="en-US" w:bidi="ar-SA"/>
        </w:rPr>
        <w:t>Chambers v. Goertz</w:t>
      </w:r>
      <w:r>
        <w:rPr>
          <w:rFonts w:ascii="arial" w:eastAsia="arial" w:hAnsi="arial" w:cs="arial"/>
          <w:color w:val="000000"/>
          <w:sz w:val="20"/>
          <w:lang w:val="en-US" w:eastAsia="en-US" w:bidi="ar-SA"/>
        </w:rPr>
        <w:t xml:space="preserve">, </w:t>
      </w:r>
      <w:hyperlink r:id="rId676" w:history="1">
        <w:r>
          <w:rPr>
            <w:rFonts w:ascii="arial" w:eastAsia="arial" w:hAnsi="arial" w:cs="arial"/>
            <w:i/>
            <w:color w:val="0077CC"/>
            <w:sz w:val="20"/>
            <w:u w:val="single"/>
            <w:shd w:val="clear" w:color="auto" w:fill="FFFFFF"/>
            <w:lang w:val="en-US" w:eastAsia="en-US" w:bidi="ar-SA"/>
          </w:rPr>
          <w:t>2009 BCCA 358</w:t>
        </w:r>
      </w:hyperlink>
      <w:r>
        <w:rPr>
          <w:rFonts w:ascii="arial" w:eastAsia="arial" w:hAnsi="arial" w:cs="arial"/>
          <w:color w:val="000000"/>
          <w:sz w:val="20"/>
          <w:lang w:val="en-US" w:eastAsia="en-US" w:bidi="ar-SA"/>
        </w:rPr>
        <w:t xml:space="preserve">, at para. 56(c), where he set out factors for apportioning fault where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at issue. I do not address those factors here individually, because they are, I believe, subsumed by findings of fact earlier in these reasons, which support my conclusion that Mr. Graham has no contributory fault from trying to protect himself as he did.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conclusion, I find the defendants wholly liable. Counsel drew no distinction between the responsibility as between the two defendants, and I therefore do not address that point.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Costs will go to the plaintiff, unless there are relevant facts affecting that issue of which I am unaware, in which case costs can be spoken to either in writing or in whatever other manner is convenient.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As I said during the trial, I wish to thank counsel for presenting their cases well, so as to readily assist the Court.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Thank you, Madam Registrar.</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G. MACINTOSH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9" style="position:absolute;z-index:25179545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77"/>
          <w:headerReference w:type="default" r:id="rId678"/>
          <w:footerReference w:type="even" r:id="rId679"/>
          <w:footerReference w:type="default" r:id="rId680"/>
          <w:headerReference w:type="first" r:id="rId681"/>
          <w:footerReference w:type="first" r:id="rId68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83" w:history="1">
        <w:r>
          <w:rPr>
            <w:rFonts w:ascii="arial" w:eastAsia="arial" w:hAnsi="arial" w:cs="arial"/>
            <w:b/>
            <w:bCs/>
            <w:i/>
            <w:color w:val="0077CC"/>
            <w:kern w:val="32"/>
            <w:sz w:val="28"/>
            <w:szCs w:val="32"/>
            <w:u w:val="single"/>
            <w:shd w:val="clear" w:color="auto" w:fill="FFFFFF"/>
            <w:lang w:val="en-US" w:eastAsia="en-US" w:bidi="ar-SA"/>
          </w:rPr>
          <w:t>Hoy v. Williams, [2014] B.C.J. No. 252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N.P. Kent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27-30 and February 3-4,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13,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Dockets: M148954 and M136079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[2014] B.C.J. No. 252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2014 BCSC 234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James Michael Hoy, Plaintiff, and Melanie Dawn Williams and Shawn Gregory Williams, Defendants And between James Michael Hoy, Plaintiff, and Christopher Denis Einhorn and Top Comfort Heating &amp; Air Conditioning Ltd., Defendants, and Insurance Corporation of British Columbia, Third Party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(185 paras.)</w:t>
      </w:r>
    </w:p>
    <w:p>
      <w:pPr>
        <w:jc w:val="both"/>
        <w:rPr>
          <w:rFonts w:ascii="arial" w:eastAsia="arial" w:hAnsi="arial" w:cs="arial"/>
          <w:sz w:val="20"/>
          <w:lang w:val="en-US" w:eastAsia="en-US" w:bidi="ar-SA"/>
        </w:rPr>
      </w:pPr>
      <w:bookmarkStart w:id="193" w:name="Counsel_34"/>
      <w:bookmarkEnd w:id="19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80" style="position:absolute;z-index:2516940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S. Morishita.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and Third Party: K. Jamieson.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94" w:name="Judgment_34"/>
      <w:bookmarkEnd w:id="194"/>
      <w:r>
        <w:pict>
          <v:line id="_x0000_s1181" style="position:absolute;z-index:25174528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PLAINTIFF'S TESTIMONY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ACCIDENTS AND THE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MEDICAL WITNESSES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Patrick Leung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John Arthur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Reajn Dost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Douglas Connell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Russell O'connor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LAY WITNESSES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Paul Pakulak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Steven Wright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Jennifer Hoy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Steve Crump</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Dieter Kulhanek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CAUSATION AND THE ASSESSMENT OF DAMAGES IN A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FINDINGS AS TO INJURY AND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NON-PECUNIARY GENERAL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PAST LOSS OF INCOME AND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PAST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SUMMARY</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0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95" w:name="N.P. KENT J._0"/>
            <w:bookmarkEnd w:id="195"/>
            <w:r>
              <w:rPr>
                <w:rFonts w:ascii="arial" w:eastAsia="arial" w:hAnsi="arial" w:cs="arial"/>
                <w:b/>
                <w:color w:val="000000"/>
                <w:sz w:val="30"/>
                <w:lang w:val="en-US" w:eastAsia="en-US" w:bidi="ar-SA"/>
              </w:rPr>
              <w:t>N.P. KENT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a 36 year old firefighter from Port Coquitlam, was involved in two motor vehicle accidents which occurred on November 13, 2009 and September 7, 2012 respectively. On both occasions Mr. Hoy's vehicle was lawfully stopped on the roadway it was struck in the rear by the vehicles owned and operated by the respective defendants in these two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In each case, liability for the accident is admitted by the defendants. The issues for determination in the actions are the nature and extent of the loss and injury sustained by the plaintiff as a result of the accidents, and particularly the manner in which pre-accident injury incidents should be taken into account. Both parties have asked me to assess damages on a global basis without allocation to each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major issue in dispute between the parties concerns the plaintiff's claim for loss of earning capacity. He has continued to work as a fulltime firefighter since the accident, however, he stopped his "side job" as a mortgage broker. The parties disagree respecting the quantum of any loss of earning capacity to be assessed and the manner of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Plaintiff's Testimony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 observed the plaintiff carefully while he was testifying both in direct examination and cross-examination. He impressed me as a matter of fact, plain spoken, and credible witness who did not exaggerate events or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 was born June 7, 1977 and is currently 36 years old. He has lived in Port Coquitlam since grade 6, having moved from Ontario. He married his wife, Jennifer, in 2008 and they have two young daughters, Charlie born in 2009 and who is currently four-and-half years old, and Frankie who was born in 2011 and is presently three years 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has a high school diploma. He worked at Earls restaurant during the years 1997 to 2003 working his way up from being a line cook to becoming manager of the restaurant. He left that employment because the working lifestyle was not conducive to much of a family or personal life outside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 had always been interested in firefighting as a career. He attended a three month program at the Justice Institute of BC in 2003 and thereafter became a volunteer firefighter with the Maple Ridge fire department. He was hired as a fulltime firefighter with the Port Coquitlam Fire Department one year later in November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Port Coquitlam Fire Department comprises four "shifts" (16 members each) and two fire halls. Like most departments, advancement is based upon seniority. The first year is a probationary year, thereafter department members are ranked and promoted according to their years of experience.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Members of the fire department work two day shifts, followed by two night shifts, and thereafter have four days off. Members can "trade" shifts.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Because the working shifts are followed by four days off, many firefighters hold side-jobs to make additional money and perhaps create a business or a career that can be pursued following retirement from the department.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Port Coquitlam Fire Department has a mandatory retirement age of 60 years. Members qualify for a full pension based on a formula involving their age and years of service. In the plaintiff's case, he stands to qualify for a full pension in approximately 17 more years around age 53 or 54 years of 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plaintiff's income tax returns for the years 2007 to 2013 were put into evidence. They reflect the following income as a firefighter in the following years: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2007 - $65,000;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2008 - $72,000;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2009 - $78,000;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2010 - $77,000;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2011 - $83,000;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2012 - $82,000; and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2013 - $90,000 (approximated by Plaintiff, ITR not yet prepared).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It is apparent that the motor vehicle accidents have not yet impacted the plaintiff's earnings as a firefighter. He says he aspires to be a fire chief one day and he intends to start the course work necessary for advancement as soon as his seniority within the organization permits that to occur. He is, however, very worried about the manner in which his injuries may affect his future in the department. He says that while he can continue with the job for the present he is "not hitting all standards" and to him it seems fairly obvious that "in the future a decision has to be made" (about his ability to continue as a firefighter).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Working as a firefighter can involve strenuous physical activity. The "turnout gear" weighs approximately 35-40lbs and some of the additional equipment used can substantially increase that load. Such equipment includes ladders, hoses, hydraulic tools, and the like. At present, there is no physical fitness testing of firefighters in the Port Coquitlam Fire Department but the plaintiff says there is a very high expectation respecting both effort and fitness on the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Both of the Port Coquitlam fire halls are equipped with gyms. Fire fighters are expected to work out in the gym every shift.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the early years, the plaintiff's side-jobs involved working on tugboats on the river, driving a concrete truck, and working for other fire fighters' businesses in the area of construction, landscaping, and the like.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plaintiff first met a mortgage broker when he and his wife were mortgaging their town home. He found the career interesting and thought it might be an excellent opportunity to build up his own business. He took the requisite course at UBC's Sauder School of Business and became licensed as a mortgage broker in 2008. He then joined Dominion Lending (Mountain View), a franchisee mortgage broker. He testified "I was in it for the long haul" as he enjoyed the work very much and it complemented the fire department hours of employment very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Working as a mortgage broker is essentially a form of self-employment at Dominion Lending. "Sub-brokers" such as the plaintiff pay the franchise owner certain fees for access to advertising and technical support but thereafter success is very much dependent upon the sub-broker's own drive and abilities. There were 40 such brokers at Dominion Lending, the majority of whom held other jobs, and almost all of whom (like the plaintiff) worked out of their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plaintiff's wife, Jennifer works for Canada Post for 6 to 7 years. His wife took one year maternity leaves following the birth of each of the two children. The plaintiff says that the changes in his circumstances (injuries making it difficult for him to continue as a mortgage broker) "forced" Jennifer to go back to work earlier than might otherwise have been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Accidents and the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At the time of the first accident, the plaintiff was driving a 2003 Ford F150 truck. He says his vehicle was struck in the rear with such force that his truck was pushed forward five to six feet. He described it as a "solid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other vehicle was not driveable because of the resultant damage. No emergency vehicles were summoned to the scene. The parties exchanged information and went on their way after 15 to 20 minutes.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plaintiff initially carried on towards his gym but he started not feeling well and decided to go home instead. He attended a walk in clinic later that morning as he could not get an appointment with his family doctor.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second accident was very similar, although this time the plaintiff was driving his 2007 Chevy Tahoe. His vehicle was struck in the rear. He described the impact as a "solid thud" but it did not involve any skidding forward and it was "nowhere near the severity of the 2009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Again, no emergency personal were called to the scene, information was swopped between the drivers, and they went on their way after 15 to 20 minutes.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As a result of the first accident, the plaintiff says he developed pain in his neck, left shoulder, and left jaw as well as low back pain which started to intensify within the first month and radiated down the buttock, thigh and into the legs.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discomfort in the neck, shoulder and jaw along with the related headaches resolved themselves within a relatively short period of time. However, the lower back pain and the pain radiating into the legs continued to persist through to the second accident on September 7, 2012 and they continue to cause problems to this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After the first accident, the plaintiff was off work for approximately a month and thereafter returned on a light duty program (fire inspections and office work). He returned to full duty by the end of January 2010, two-and-a-half months after the accident. While the upper body symptomology had generally resolved, the lower back/leg pain continued and the plaintiff has simply continued to work full time as a firefighter notwithstanding the discomfort.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Before the accident the plaintiff was a very active individual. He played hockey twice a week, went to the gym almost daily, frequently rode his mountain bike (often to and from work as well), and if not working at his side-job as a mortgage broker, was "always doing something". Other recreational activities included hunting and fishing as well as wakeboarding on an occasional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Most of these activities have come to a halt. He no longer plays hockey and rarely rides a bike. Wakeboarding and skiing is "not in the cards". He still hunts on occasion (road hunting) but there are limitations and he is unable to do the backpack hunting in remote areas that he prefers. He can neither stand nor sit very long as there is too much discomfort. He says "there is almost no activity that doesn't aggravate the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All of this has affected the plaintiff's mood. He sleeps poorly because he cannot get comfortable. The painkiller prescriptions sometimes cause him to "space out mentally". He says he is "down" emotionally most of the time. It "wears on me" and he has become moody and snappy, even with his young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Two days before the second accident the plaintiff underwent a functional capacity evaluation at the request of his counsel. It was a rigorous day that caused a lot of discomfort in the lower back and left leg. The second accident did not cause further injury to any other parts of the body but it did aggravate the already sore lower back and leg.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Following the second accident, the plaintiff was off work for approximately one month and he has continued to work fulltime as a firefighter since that time. He has followed the treatment modalities recommended by his family doctor, including various sessions of physiotherapy from time to time and has taken the pain killer medication prescribed.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For the past year he has taken a painkiller, Oxycodone, on an almost daily basis. The medication "takes the edge off the pain for a period of time but nothing seems to relieve or improve the back condition". Indeed, the plaintiff believes the level of discomfort he is experiencing "slowly creeping up each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Following the first accident, the plaintiff stopped his side-job as a mortgage broker. He says he tried to return to that work but just couldn't do it. He was mentally worn down by the constant pain and fatigue and the attempts at rehabilitation. His family and firefighting job came first and "the side-job had to go".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With respect to the firefighting job the plaintiff says that while there are some challenges posed by the back condition, he tries to work around them. There are some tasks he cannot perform as ably as before the accidents. He is careful how he lifts things. No supervisor has specifically expressed concern about his abilities but the plaintiff believes they are aware of his difficulties and that it is apparent in the way they choose to deploy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A recent structure fire, three weeks ago, reinforced the work issues for the plaintiff. He was pulling the two-and-a-half inch hose from the fire truck and charging it with water to direct towards the fire. He says he simply couldn't do it as it was too painful. Eventually, he had to ask two other firefighters to take over the task. The plaintiff is obviously worried about the implications these limitations may have for his career as a firefighter.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plaintiff said he was generally very healthy before the accidents, and certainly, he appears to have been very active. There were, however, a couple of incidents involving injury to his back. In 2005 he hurt his back in a hockey game and had to take a couple of days off work. In early 2009 he was experiencing pain in his upper body and, at his wife's insistence went to her chiropractor who corrected a rib problem. In the Summer of 2009 he twisted his back while in the crawl space under the stairs of his home and experienced severe pain that lead him to attend Ridge Meadows Hospital the following day. He says that condition resolved within a week or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On cross-examination the plaintiff was confronted with some of the notes maintained by his family doctor, Dr. Leung. There are a number of entries in those notes reflecting right shoulder pain which had been experienced "on and off for years". The plaintiff acknowledged that this may have been the case but denies he had any lower back pain condition of a sort similar to what he has experienced since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Medical Witnesses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Patrick Leung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Dr. Leung specializes in family medicine. He has been the plaintiff's family doctor since March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Dr. Leung has produced four medical-legal reports, the first of which is dated August 18, 2010 and the most recent of which is dated October 10, 2013. No objection was taken to the tendering of these reports into evidence nor as to Dr. Leung's qualifications.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Dr. Leung has seen the plaintiff as a patient on many occasions both before and after the motor vehicle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Dr. Leung is of the view that the plaintiff suffered musculo-ligamentous strain of the neck as a result of the first accident that resolved fairly quickly. However, he has also diagnosed "musculo-ligamentous strain of the low back, with trauma to the L5/S1 disk, the latter causing a different type of pain that would be more "discogenic" in nature". With respect to the etiology of the tear, he expresses the following opinion: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 respect to the tear in the L5/S1 disk of his lower spine revealed by his two MRIs subsequent to the MVAs, one could not be certain whether that was already present prior to the MVA even though his lumbar spine x-ray was reported to be normal. Plain x-ray is not sensitive enough to detect a tear in the disk. Even though Mr. Hoy had suffered similar symptoms in the past, there is no denying that the MVAs have converted them from an intermittent and brief, episodic nature to a constant and chronic condition. This conversion is most probably caused by the MVAs.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With respect to work capacity and prognosis, Dr. Leung opines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my opinion that Mr. Hoy currently has the functional ability to be employed in his current occupation as a firefighter. I do however, have some reservations in two aspects.</w:t>
      </w:r>
    </w:p>
    <w:p>
      <w:pPr>
        <w:numPr>
          <w:numId w:val="1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Mr. Pakulak's functional assessment about a year ago as illustrated, Mr. Hoy was more than capable in performing the heavy lifting and physical demands of a firefighter. However, in a prolonged or repetitive situation, his performance might deteriorate due to pain inhibition. His condition might have changed as it has been a year since he was assessed but it would still be a concern.</w:t>
      </w:r>
    </w:p>
    <w:p>
      <w:pPr>
        <w:numPr>
          <w:numId w:val="1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 the presence of the tear in his L5/S1 disk, he would be an increased risk of rupture of the disk, resulting in an impingement of his spinal nerves and probably at least temporary but prolonged restriction in or preclusion of his ability to work and even possibly permanent restriction or preclusion to work as a firefighter.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As it is coming up to five years since his first MVA and he still has ongoing constant symptoms related to his MVA related injuries, his prognosis for a complete recovery is guarded.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As I would expect Mr. Hoy would likely have repeated future exacerbations of his symptoms, he would require treatment such as manipulative therapies (physiotherapy or chiropractic therapy) and medications for pain and/or inflammation. He might benefit from facet joint steroid injection or nerve blocks to help with his pain. In fact, he has an upcoming appointment with Dr. Heran on April 10, 2014 for consideration of such treatment. Of course, if his L5/S1 disk ever ruptures, he would require surgical treatment as well.</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As Mr. Hoy is at risk of such future deterioration in his lower back, it would be advisable for him to consider re-training for a less physically demanding career. Nevertheless he would still need to be diligent to continue maintaining is overall physical fitness especially his core muscle strength to protect his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On cross-examination, Dr. Leung acknowledged he cannot say if the July 2009 crawl space incident caused the tear later diagnosed by the MRI. He said "he can't rule it out". He also acknowledged that, even without the car accidents it would have been possible for the plaintiff's low back problems to continue from time to time especially if the plaintiff was doing a lot of twisting and bending.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Dr. Leung also confirmed that the plaintiff had suffered "chronic rotator cuff tendonitis in his right shoulder", on and off for years. He confirmed that this condition may well flare up from time to time in the future and that it was not caused by the accidents.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John Arthur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Dr. Arthur is an orthopedic surgeon who has been in practice since 1980. At the request of counsel for the defendants he undertook an independent medical examination of the plaintiff on June 5, 2013 and prepared a report dated October 15, 2013. No objection was taken to Dr. Arthur's qualifications as an expert in orthopedic medicine nor to the admissibility of the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Dr. Arthur's opinion is based upon the review of certain medical documentation that he was provided as well as an interview and physical examination of the plaintiff which took approximately one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Dr. Arthur review the MR scan report from the Royal Columbian Hospital dated July 31, 2013 which described "very minimal degenerative change at L5-S1 whether there is a small left central, left paracentral disc protrusion, where there is mild bilateral foraminal narrowing". He noted the report made no comment on the nerve roots as to whether there is some effacement or compression. It was his impression, a "soft finding" as he termed it, was that Mr. Hoy had some nerve root irritation resulting from the disc protrusion but that he would not be a candidate for surgical intervention.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In his report, Dr. Arthur opined that Mr. Hoy's prognosis is guarded but in his testimony he suggested the plaintiff might benefit from a nerve root block to "see if it works" to reduce or eliminate the pain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conclusion in the report is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clear that he had lower back complaint following the motor vehicle accident and his leg complaints did not start for several months later and, in my opinion, it is more likely than not secondary to the degenerative change at this level rather than the direct effect of a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When asked if the impact of the motor vehicle accident might be an indirect or contributory cause, if not the sole or direct cause, of the plaintiff's chronic pain, Dr. Arthur expressed the opinion that the motor vehicle accident "</w:t>
      </w:r>
      <w:r>
        <w:rPr>
          <w:rFonts w:ascii="arial" w:eastAsia="arial" w:hAnsi="arial" w:cs="arial"/>
          <w:color w:val="000000"/>
          <w:sz w:val="20"/>
          <w:u w:val="single"/>
          <w:lang w:val="en-US" w:eastAsia="en-US" w:bidi="ar-SA"/>
        </w:rPr>
        <w:t>was</w:t>
      </w:r>
      <w:r>
        <w:rPr>
          <w:rFonts w:ascii="arial" w:eastAsia="arial" w:hAnsi="arial" w:cs="arial"/>
          <w:color w:val="000000"/>
          <w:sz w:val="20"/>
          <w:lang w:val="en-US" w:eastAsia="en-US" w:bidi="ar-SA"/>
        </w:rPr>
        <w:t xml:space="preserve"> an aggravating factor".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On cross-examination Dr. Arthur also conceded the following points:</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can be difficult to determine with certainty the cause of a patient's back pain;</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Trauma </w:t>
      </w:r>
      <w:r>
        <w:rPr>
          <w:rFonts w:ascii="arial" w:eastAsia="arial" w:hAnsi="arial" w:cs="arial"/>
          <w:color w:val="000000"/>
          <w:sz w:val="20"/>
          <w:u w:val="single"/>
          <w:lang w:val="en-US" w:eastAsia="en-US" w:bidi="ar-SA"/>
        </w:rPr>
        <w:t>can</w:t>
      </w:r>
      <w:r>
        <w:rPr>
          <w:rFonts w:ascii="arial" w:eastAsia="arial" w:hAnsi="arial" w:cs="arial"/>
          <w:color w:val="000000"/>
          <w:sz w:val="20"/>
          <w:lang w:val="en-US" w:eastAsia="en-US" w:bidi="ar-SA"/>
        </w:rPr>
        <w:t xml:space="preserve"> cause an asymptomatic condition to become symptomatic;</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number of people with disk problems are asymptomatic;</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Patients can have a perfectly normal MRI scan yet still have debilitating back pain;</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Indeed, more often than not, MRI findings do not match up to the patient's pain complaint;</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Most patients with low back pain do get better however some patients can and do develop chronic pain (defined as being pain which persists longer than six months);</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Hoy does have chronic pain;</w:t>
      </w:r>
    </w:p>
    <w:p>
      <w:pPr>
        <w:numPr>
          <w:numId w:val="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longer a chronic pain condition exists, the more likely it will continue even if the patient is physically active and makes efforts to maintain core strength.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Dr. Arthur was critical of the use of narcotic pain killers such as oxycodone being widely prescribed for persons with low back pain suggesting such narcotics "are often abused". He confirms such medications have various negative side effects such as drowsiness, constipation, reduced effectiveness as the patient become more tolerant, and the potential for dependency (addiction). He agreed such medication might be "very risky for a firefighter".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Dr. Arthur repeated his opinion that the plaintiff is not a candidate for surgery. Although treatment modalities such as massage and physiotherapy may assist with temporary flare ups or if the patient has become deconditioned, they may only provide temporary relief and do not change the underlying condition. In his view, the main treatment for these sorts of low back pain conditions is appropriate exercise and keeping the back strong through activity.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Rehan Dost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Dr. Rehan Dost is a neurologist who has a private practice which includes IME assessments. He has produced two reports at the request of the defendant dated July 19, 2012 and October 23, 2013 respectively. No objection was taken to either Dr. Dost's expert qualifications nor as to the admissibility of his report and the same were put in to evidence by consent.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Dr. Dost reviewed various medical records, including the MRI of the plaintiff's lumbar spine, and conducted an interview and clinical examination of the plaintiff on July 19, 2012. Dr. Dost confirmed the observation already made by others that the MRI scans of the plaintiff's spine show minimal degenerative changes at the L5-S1 level where there is a small left central/left para-central disc protrusion and where there is mild bilateral foraminal narrowing. In his opinion the MRI scans do not disclose any neurological compromise related to the L5-S1 disc herniation which would explain the plaintiff's symptoms of constant low back pain. In his view, there is "no neurological explanation for this gentleman's low back pain ... it is mechanical in origin".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Dr. Dost expresses no opinion regarding the etiology and causation of Mr. Hoy's mechanical back pain saying he would "defer further commentary to the appropriate musculoskeletal specialist".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Dr. Dost was not called as a witness and there was no cross-examination on his opinions."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Douglas Connell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Dr. Connell is a radiologist with subspecialty training in musculoskeletal radiology. He prepared a report dated November 5, 2013 which was tendered into evidence on behalf of the defendants. No objections were taken to either Dr. Connell's qualifications nor as to the admissibility of the report and the opinions contained therein. Dr. Connell was not called as a witness for the purposes of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Dr. Connell reviewed the MRI studies of the plaintiff undertaken July 31, 2010 and July 9,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Dr. Connell confirmed the existence of disc space narrowing at L5-S1 with some small disc protrusion and annular tear. He observed no change in the condition between the two MRI studies. The disc protrusion does not abut or displace the thecal sac or the descending or exiting nerve roots.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Dr. Connell described the observed condition as degenerative disc disease in the lumbar spine. He says such degenerative disease is extremely common as are annular tears. Such matters occur on a degenerative basis without any direct inciting event. Indeed, disc herniation related to a single traumatic incident is extremely uncommon. Dr. Connell's opinion is that the degenerative changes noted in the plaintiff's lumbar spine would in all likelihood not have been caused by either of the motor vehicle accidents in which the plaintiff was involved.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Russell O'connor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Dr. O'connor is a physiatrist who specializes in physical medicine and rehabilitation including the treatment and diagnosis of musculoskeletal disorders. At the request of the plaintiff he prepared two reports dated June 30, 2011 and August 12, 2013 respectively. No objection was taken to either Dr. O'connor's qualifications as an expert witness nor to the admissibility of the two reports. Dr. O'connor's opinion was based on a clinical history taken from the patient, a physical examination on both occasions, as well as a review of various medical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Dr. O'connor's assessment of the MRI scans of the plaintiff is the same as the other physicians who provided evidence. It is his opinion that the plaintiff's persistent low back pain radiating into the left leg is primarily discogenic in nature, meaning it is coming from degeneration of the disc at the L5-S1 segment. He noted the plaintiff was having trouble with back pain on an intermittent basis in 1994, 2005 and 2009, although each was for a temporary period of time lasting in the order of days or up to a few weeks.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Dr. O'connor's opinion is that the motor vehicle accidents have aggravated the plaintiff's pre-existing intermittent condition and caused further injury to the disc structure both of which has led to persistent and chronic low back and left leg pain. He says that precisely when the disc herniation occurred, and whether this was at the time of the motor vehicle accident or before, is difficult to determine. However, he notes: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went from having three bouts of intermittent back pain to having chronic and daily back pain that persists in the left sided low back and left leg pattern. This, in my opinion, is attributable to the motor vehicle accident in the absence of any other obvious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With respect to prognosis, Dr. O'connor opines: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His symptoms are no approaching the four year mark and it is very likely the symptoms are not going to improve with the passage of time. In fact, he is at increased risk of re-injury given the chronicity of his ongoing back and leg pain. Patients with ongoing or chronic pain are at increased risk of worsening of their pain with trivial activities such as the passage of time. Given the fact that he had three bouts of back pain before, he was still at increased risk of re-injury even if the accident had not occurred, but this risk has been elevated given the chronicity and persistence of his symptoms to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Dr. O'connor expresses concern that the plaintiff's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ability to maintain his employment as a firefighter is in jeopardy to some extent. ... Most days he is able to manage or be it with ongoing discomfort. He has to manage through his pain. Should he develop significant worsening in his leg or back pain, he may be unable to perform his duties at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At trial, when questioned about his opinion whether the plaintiff would be able to complete his career as a firefighter, Dr. O'connor opined it is more likely than not the plaintiff can carry on with his career long-term. The intermittent pain episodes have deteriorated into constant chronic pain but if the plaintiff can get off the narcotic pain killers, if he can keep his back strong, and if he modifies some of the more troublesome activities, he may be able to retain his career as a firefighter.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Dr. O'connor is particularly critical about the ongoing prescription of narcotics for the plaintiff's pain symptoms. He notes narcotics are very addictive and have depressant qualities that impair functionality. He "strongly discourages [the plaintiff] from continuing on with this medication".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Lay Witnesses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Paul Pakulak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Mr. Pakulak is a registered occupational therapist who graduated from the faculty of rehabilitation sciences at UBC in 1997. He also has advanced training as a work capacity evaluator and functional capacity evaluator. In the past 16 years he has worked in a private rehabilitation setting and in addition to medical-legal work he has extensive experience in developing rehabilitation/treatment programs and return to work programs for person with various orthopedic injury and other medical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Mr. Pakulak prepared a "functional capacity evaluation report" respecting Mr. Hoy. The report is dated September 7, 2013 but is based on an assessment preformed one year earlier on September 5, 2012. No objection was taken to either the admissibility of the report nor to Mr. Pakulak's qualifications to provide expert evidence regarding occupational therapy and functional capacity evaluation.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Mr. Hoy was subjected to day long interviews and testing. Questionnaires were completed, musculo-skeletal examinations were held, and work simulation testing took place. The latter involved repeated tasks permitting the assessment of upper/lower extremity strength, task performance while bending, crouching, squatting and kneeling, sitting/standing/walking tolerances, as well as grip strength and lifting/carrying tasks.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In Mr. Pakulak's opinion, Mr. Hoy demonstrated a consistent and high level of effort during the testing and that his reports of perceived capacities were reliable and consistent with the physical findings.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Mr. Pakulak's conclusions were as follows:</w:t>
      </w:r>
      <w:r>
        <w:rPr>
          <w:rFonts w:ascii="arial" w:eastAsia="arial" w:hAnsi="arial" w:cs="arial"/>
          <w:sz w:val="20"/>
          <w:lang w:val="en-US" w:eastAsia="en-US" w:bidi="ar-SA"/>
        </w:rPr>
        <w:cr/>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Hoy demonstrated physical capacity to be employed on a full time basis at up to a modified heavy strength level or be it with certain limitations, particularly in respect of prolonged below waist level activity;</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His overall capacity to compete for work in an open job market has been reduced to his ongoing limitations relating to back pain i.e. the overall number jobs for which he is currently able to compete is more limited compared to his before dash injury status;</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Hoy did not demonstrate the capacity to complete the physical demands required of a firefighter on either a fulltime or part-time basis at a "competitive or sustainable pace" and as such, Mr. Hoy is not well suited for this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Mr. Pakulak clarified that the word "competitive" as it appears in conclusion number three above, means the ability to do the task required without being affected by symptoms of pain or declining performance.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On cross-examination Mr. Pakulak conceded that even though there was a decline in certain performance results as between first and second testing, even the reduced results on second testing met or even exceeded some of the standards for heavy strength readings specified by either the Canadian national occupational classification or the US counterpart. Counsel suggested the testing results meant the performance declined from "well above average" to "average", the point being that Mr. Hoy was still able to perform the tasks at a level acceptable to workplace environments. In reply, Mr. Pakulak emphasized the main concern with the decline in productivity relates to "sustainability" of performance, an area which believes is problematic for Mr. Hoy because of the recurrence of pain symptomology.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Mr. Steven Wright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Mr. Wright is a 46 year old captain with the Port Coquitlam Fire Department. He has been a firefighter for 24 years and until very recently was Mr. Hoy's direct supervisor for many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Mr. Wright explained the organization of the Port Coquitlam Fire Department and the roles performed by its various divisions (suppression, prevention, training and administration). He also explained the duties required of a fire captain and the steps that are these days required to be completed to reach that rank, often a three to four year process. As a captain, Mr. Wright said that he was expected to do all the things that a firefighter was required to do and that he physical requirements of the position were the same.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Captain Wright has almost always had a side-job alongside his employment with the fire department. In his case he has a fire and safety consulting business and has been a faculty member at the Justice Institute instructing firefighting courses. He says he has trained and educated many hundreds of firefighters over the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Captain Wright testified that many firefighters in his department have side-jobs. He himself was able to juggle both his jobs and his family life, largely because his wife quit work after the birth of their first child and remained a home keeper for some 13 years thereafter.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These days, most of the calls at the Port Coquitlam Fire Department are for medical assistance, perhaps as much as 70% of their work. Other work involves motor vehicle accidents, hazardous materials, and only 3-5% of the calls actually involve firefighting. The department receives approximately 10 emergency calls a day, usually 6-7 medical assistance matters and 3 motor vehicle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Captain Wright described the typical day shift. Apart from responding to calls, much time is involved in equipment maintenance/checking, pre-fire planning, inspection/enforcement work, and training. He described the various equipment and gear used by firefighters, wryly observing that the equipment gets far more use in training than on actual calls.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Captain Wright calls the plaintiff a "good firefighter". He describes him as smart, self-starting, always there, physically capable and with good skills. He rates Mr. Hoy in the top half of the fire department members from a physical ability point of 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Captain Wright has observed some changes in Mr. Hoy since the accidents. He has seen him struggling on certain occasions with physical tasks although Mr. Hoy will not usually comment on it. He has noticed Mr. Hoy has changed his gym routine and is now using a lot less weight and is more focused on flexibility and cardio routines. He has also noticed that Mr. Hoy "doesn't sit well" i.e. he displays discomfort when sitting for any period of time, often getting up to move around and stretch.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Recently, the fire department has started undertaking fitness assessments of its various firefighters. These are not mandatory and there is no annual testing that firefighters must pass. However, Captain Wright has noticed that Mr. Hoy has chosen not to participate in the physical fitness assessments that have been carried out in the past couple of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Captain Wright says he is not aware of any issues or impediments that might affect Mr. Hoy continuing with his career in the fire department and advancing in the usual manner.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Jennifer Hoy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Mrs. Hoy, the plaintiff's wife, is 29 years old. The couple met in 2005 and married in 2008. As indicated earlier they have two young daughters. The family lives in a three storey townhouse in Port Coquitlam.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Mrs. Hoy works for Canada Post. She started as a letter carrier in May 2006 and in 2007 became a permanent inside worker in the retail division. She worked there fulltime for two years until her daughter, Charlie, was born following which she was on maternity leave for a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Mrs. Hoy was pregnant again when she returned to work after her first maternity leave. Six months later, her daughter Frankie was born and she was again on one year's maternity leave, returning March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Canada Post allows its employs up to five years off work on an unpaid basis without loss of seniority. The couple had hoped that Mrs. Hoy would take a further year off following her second maternity leave so she could have more time with the children. She then hoped to work on a part-time basis until the kids went to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Before the accident, Mrs. Hoy describes her husband as being outgoing, happy, motivated and affectionate. They often hiked and walked together around nearby lakes. They would go camping if weather and working schedules permitted.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Physically, she described her husband as "fit, muscular, and buff".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Her husband was a hard worker who did not take time off work. He always wanted a second job to fill in the days off and he became interested in being a mortgage broker when the couple remortgaged their town house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Mrs. Hoy became tearful when she described the post-accident changes in her husband. She described him as "tired all the time", not as motivated as before, and spending "a lot of time on the couch". He is no longer as affectionate. They do not hike or walk or do other activities as frequently as they used to and even when they do, he is still somewhat grumpy and not really enjoying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She is doing more of the work looking after the girls. She thinks the girls sense her husband's discomfort. When he gets home from work, he is tired and just wants to sit for the first hour or so. Emotionally, she describes her husband as having become detached, "in his own world", and not as affectionate.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Mrs. Hoy was not cross-examined.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Steve Crump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Mr. Crump is a 31 year old firefighter who has been with the Port Coquitlam Fire Department for seven years. He gave testimony, similar to what was already elicited from other witnesses, as to the manner in which firefighters spend their usual day at work, the sorts of activities and tasks that occur while attending motor vehicle accident scenes, fire calls and training activities. He testified as to the nature and handling of equipment used on the job including the heavy equipment such as ladders, hoses, hydraulics/pneumatic tools, and the like.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Mr. Crump has known the plaintiff for the entire seven years of the former's tenure at the department. They were on the same shift for Mr. Crump's first year-and-a-half as well as for the last two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In the years before the accident Mr. Crump observed Mr. Hoy to be a "big strong guy" and "with no physical problems" and who engaged in a wide variety of activities outside the job including regular hockey, hiking, hunting and so 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Mr. Crump testified as to some of the changes he had seen in Mr. Hoy since the 2009 accident. He no longer plays hockey. He is not nearly as active and does not work out as much as he used to. His workout routine has changed whereby he appears to do much more cardio than weightlifting. While he has not noticed any obvious physical changes, he says Mr. Hoy is "not the same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Mr. Crump also testified about his own additional employment aside from his job as a firefighter. In his particular case, he used to work for a private rescue company primarily in industrial settings, but he is presently a fire technician at the Maple Ridge campus of the Justice Institute. This involves setting up courses for recruits and the like.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Mr. Crump was not subjected to cross-examination.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Dieter Kulhanek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Mr. Kulhanek is a 49 year old captain with the Port Coquitlam Fire Department. He has been a firefighter for 24 years, and a full captain for the past four years. He started as an acting captain approximately nine to ten years ago.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Captain Kulhanek testified that it was not a job requirement that department members' physical and mental fitness be assessed annually, however supervisory personnel make a point of being aware of their shift members' health and general well-being. In his view a high level of fitness is a priority expected of all department members and while there may be no formal standards or testing as yet, that question is the subject matter of discussion and there may possibly be change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Captain Kulhanek worked on the same shift as the plaintiff and was his supervisor for a number of years before the accident. He described Mr. Hoy as being well above average in terms of fitness and athleticism. He never had concerns about Mr. Hoy's ability to perform the job. He described him as an "excellent firefighter", one who was enthusiastic and who quickly grasped the mechanical and theoretical concepts involved.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Captain Kulhanek says he has observed a "dramatic change" in the plaintiff since the accident. His energy levels have markedly decreased and he appears "drained" and almost as if he was depressed. He complains a lot about his back and his inability to undertake physical activities and sports in particular.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Mr. Hoy is no longer in the gym very much. He no longer lifts heavy weights, nor does he do much cardio work. He doesn't seem to last even ten minutes even with a light workout.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On the job, Captain Kulhanek says Mr. Hoy spends a lot of time avoiding heavy work and getting more junior members to do it for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Captain Kulhanek expressed concern for Mr. Hoy. He worries that sooner or later Mr. Hoy is going to "get caught not doing a job requirement" or that he will perform a demanding task and then "suffer serious consequences because of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Captain Kulhanek observed that there are less physical jobs available in the department, notably in the fire prevention division, but those positions are seniority based. There are only four members in that division, one firefighter, two captains and one deputy chief.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Cross-examination of Captain Kulhanek was brief. He confirmed that Mr. Hoy's ability or status to undertake the course work necessary for promotion to captain has not changed.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 xml:space="preserve">Causation and the Assessment of Damages in a </w:t>
      </w:r>
      <w:r>
        <w:rPr>
          <w:rFonts w:ascii="arial" w:eastAsia="arial" w:hAnsi="arial" w:cs="arial"/>
          <w:b/>
          <w:i/>
          <w:color w:val="000000"/>
          <w:sz w:val="20"/>
          <w:u w:val="single"/>
          <w:lang w:val="en-US" w:eastAsia="en-US" w:bidi="ar-SA"/>
        </w:rPr>
        <w:t>Negligence</w:t>
      </w:r>
      <w:r>
        <w:rPr>
          <w:rFonts w:ascii="arial" w:eastAsia="arial" w:hAnsi="arial" w:cs="arial"/>
          <w:b/>
          <w:color w:val="000000"/>
          <w:sz w:val="20"/>
          <w:u w:val="single"/>
          <w:lang w:val="en-US" w:eastAsia="en-US" w:bidi="ar-SA"/>
        </w:rPr>
        <w:t xml:space="preserv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xml:space="preserve">  Much judicial ink has been spilled on this subject. Fortunately, a very useful and recent summary of the law in this area can be found in </w:t>
      </w:r>
      <w:r>
        <w:rPr>
          <w:rFonts w:ascii="arial" w:eastAsia="arial" w:hAnsi="arial" w:cs="arial"/>
          <w:i/>
          <w:color w:val="000000"/>
          <w:sz w:val="20"/>
          <w:lang w:val="en-US" w:eastAsia="en-US" w:bidi="ar-SA"/>
        </w:rPr>
        <w:t>Brewster</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v. Li</w:t>
      </w:r>
      <w:r>
        <w:rPr>
          <w:rFonts w:ascii="arial" w:eastAsia="arial" w:hAnsi="arial" w:cs="arial"/>
          <w:color w:val="000000"/>
          <w:sz w:val="20"/>
          <w:lang w:val="en-US" w:eastAsia="en-US" w:bidi="ar-SA"/>
        </w:rPr>
        <w:t xml:space="preserve">, </w:t>
      </w:r>
      <w:hyperlink r:id="rId684" w:history="1">
        <w:r>
          <w:rPr>
            <w:rFonts w:ascii="arial" w:eastAsia="arial" w:hAnsi="arial" w:cs="arial"/>
            <w:i/>
            <w:color w:val="0077CC"/>
            <w:sz w:val="20"/>
            <w:u w:val="single"/>
            <w:shd w:val="clear" w:color="auto" w:fill="FFFFFF"/>
            <w:lang w:val="en-US" w:eastAsia="en-US" w:bidi="ar-SA"/>
          </w:rPr>
          <w:t>2013 BCSC 774</w:t>
        </w:r>
      </w:hyperlink>
      <w:r>
        <w:rPr>
          <w:rFonts w:ascii="arial" w:eastAsia="arial" w:hAnsi="arial" w:cs="arial"/>
          <w:color w:val="000000"/>
          <w:sz w:val="20"/>
          <w:lang w:val="en-US" w:eastAsia="en-US" w:bidi="ar-SA"/>
        </w:rPr>
        <w:t xml:space="preserv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[77] In cases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plaintiff must establish: (1) that the defendant was the "cause in fact" of the damage suffered and (2) that the defendant was a "proximate cause" of the damage, "in other words, that the damage was not too remote from the factual cause. ... The remoteness inquiry assumes that but for the defendant's wrongful act, the plaintiff's loss would not have occurred, but places legal limits on the defendant's liability" (</w:t>
      </w:r>
      <w:r>
        <w:rPr>
          <w:rFonts w:ascii="arial" w:eastAsia="arial" w:hAnsi="arial" w:cs="arial"/>
          <w:i/>
          <w:color w:val="000000"/>
          <w:sz w:val="20"/>
          <w:lang w:val="en-US" w:eastAsia="en-US" w:bidi="ar-SA"/>
        </w:rPr>
        <w:t>Hussack v. Chilliwack School District No. 33</w:t>
      </w:r>
      <w:r>
        <w:rPr>
          <w:rFonts w:ascii="arial" w:eastAsia="arial" w:hAnsi="arial" w:cs="arial"/>
          <w:color w:val="000000"/>
          <w:sz w:val="20"/>
          <w:lang w:val="en-US" w:eastAsia="en-US" w:bidi="ar-SA"/>
        </w:rPr>
        <w:t xml:space="preserve">, </w:t>
      </w:r>
      <w:hyperlink r:id="rId685" w:history="1">
        <w:r>
          <w:rPr>
            <w:rFonts w:ascii="arial" w:eastAsia="arial" w:hAnsi="arial" w:cs="arial"/>
            <w:i/>
            <w:color w:val="0077CC"/>
            <w:sz w:val="20"/>
            <w:u w:val="single"/>
            <w:shd w:val="clear" w:color="auto" w:fill="FFFFFF"/>
            <w:lang w:val="en-US" w:eastAsia="en-US" w:bidi="ar-SA"/>
          </w:rPr>
          <w:t>2011 BCCA 258</w:t>
        </w:r>
      </w:hyperlink>
      <w:r>
        <w:rPr>
          <w:rFonts w:ascii="arial" w:eastAsia="arial" w:hAnsi="arial" w:cs="arial"/>
          <w:color w:val="000000"/>
          <w:sz w:val="20"/>
          <w:lang w:val="en-US" w:eastAsia="en-US" w:bidi="ar-SA"/>
        </w:rPr>
        <w:t xml:space="preserve"> at para. 54, </w:t>
      </w:r>
      <w:hyperlink r:id="rId685" w:history="1">
        <w:r>
          <w:rPr>
            <w:rFonts w:ascii="arial" w:eastAsia="arial" w:hAnsi="arial" w:cs="arial"/>
            <w:i/>
            <w:color w:val="0077CC"/>
            <w:sz w:val="20"/>
            <w:u w:val="single"/>
            <w:shd w:val="clear" w:color="auto" w:fill="FFFFFF"/>
            <w:lang w:val="en-US" w:eastAsia="en-US" w:bidi="ar-SA"/>
          </w:rPr>
          <w:t>19 B.C.L.R. (5th) 257</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[78] The plaintiff must establish causation for both injury </w:t>
      </w:r>
      <w:r>
        <w:rPr>
          <w:rFonts w:ascii="arial" w:eastAsia="arial" w:hAnsi="arial" w:cs="arial"/>
          <w:i/>
          <w:color w:val="000000"/>
          <w:sz w:val="20"/>
          <w:lang w:val="en-US" w:eastAsia="en-US" w:bidi="ar-SA"/>
        </w:rPr>
        <w:t>and</w:t>
      </w:r>
      <w:r>
        <w:rPr>
          <w:rFonts w:ascii="arial" w:eastAsia="arial" w:hAnsi="arial" w:cs="arial"/>
          <w:color w:val="000000"/>
          <w:sz w:val="20"/>
          <w:lang w:val="en-US" w:eastAsia="en-US" w:bidi="ar-SA"/>
        </w:rPr>
        <w:t xml:space="preserve"> loss. If a defendant did not cause an injury, (s)he is not liable for the losses flowing from that injury. Even if a defendant did cause an injury, (s)he is not liable for any losses or damages that were not caused by the injury. In </w:t>
      </w:r>
      <w:r>
        <w:rPr>
          <w:rFonts w:ascii="arial" w:eastAsia="arial" w:hAnsi="arial" w:cs="arial"/>
          <w:i/>
          <w:color w:val="000000"/>
          <w:sz w:val="20"/>
          <w:lang w:val="en-US" w:eastAsia="en-US" w:bidi="ar-SA"/>
        </w:rPr>
        <w:t>Blackwater v. Plint</w:t>
      </w:r>
      <w:r>
        <w:rPr>
          <w:rFonts w:ascii="arial" w:eastAsia="arial" w:hAnsi="arial" w:cs="arial"/>
          <w:color w:val="000000"/>
          <w:sz w:val="20"/>
          <w:lang w:val="en-US" w:eastAsia="en-US" w:bidi="ar-SA"/>
        </w:rPr>
        <w:t xml:space="preserve">, </w:t>
      </w:r>
      <w:hyperlink r:id="rId686" w:history="1">
        <w:r>
          <w:rPr>
            <w:rFonts w:ascii="arial" w:eastAsia="arial" w:hAnsi="arial" w:cs="arial"/>
            <w:i/>
            <w:color w:val="0077CC"/>
            <w:sz w:val="20"/>
            <w:u w:val="single"/>
            <w:shd w:val="clear" w:color="auto" w:fill="FFFFFF"/>
            <w:lang w:val="en-US" w:eastAsia="en-US" w:bidi="ar-SA"/>
          </w:rPr>
          <w:t>2001 BCSC 997</w:t>
        </w:r>
      </w:hyperlink>
      <w:r>
        <w:rPr>
          <w:rFonts w:ascii="arial" w:eastAsia="arial" w:hAnsi="arial" w:cs="arial"/>
          <w:color w:val="000000"/>
          <w:sz w:val="20"/>
          <w:lang w:val="en-US" w:eastAsia="en-US" w:bidi="ar-SA"/>
        </w:rPr>
        <w:t xml:space="preserve"> at para. 364, </w:t>
      </w:r>
      <w:hyperlink r:id="rId686" w:history="1">
        <w:r>
          <w:rPr>
            <w:rFonts w:ascii="arial" w:eastAsia="arial" w:hAnsi="arial" w:cs="arial"/>
            <w:i/>
            <w:color w:val="0077CC"/>
            <w:sz w:val="20"/>
            <w:u w:val="single"/>
            <w:shd w:val="clear" w:color="auto" w:fill="FFFFFF"/>
            <w:lang w:val="en-US" w:eastAsia="en-US" w:bidi="ar-SA"/>
          </w:rPr>
          <w:t>93 B.C.L.R. (3d) 228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Blackwater BCSC</w:t>
      </w:r>
      <w:r>
        <w:rPr>
          <w:rFonts w:ascii="arial" w:eastAsia="arial" w:hAnsi="arial" w:cs="arial"/>
          <w:color w:val="000000"/>
          <w:sz w:val="20"/>
          <w:lang w:val="en-US" w:eastAsia="en-US" w:bidi="ar-SA"/>
        </w:rPr>
        <w:t>], Chief Justice Brenner, as he then was, adopted the following dichotomy between "injury" and "loss":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"injury" refers to the initial physical or mental impairment of the plaintiff's person as a result of the [defendant's act], while "loss" refers to the pecuniary or non-pecuniary consequences of that impairment.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[79] The basic principle of tort law is that the defendant must put the plaintiff back in the position she would have been in had the defendant's tortious act not occurred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505"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 32). The corollary of this principle is that the defendant need not compensate the plaintiff for any loss not caused by his/her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for "debilitating effects of [a] pre-existing condition which the plaintiff would have experienced anyway"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35).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[80] Since the burden is on the plaintiff to prove causation, she must establish that the defendant's tortious act caused </w:t>
      </w:r>
      <w:r>
        <w:rPr>
          <w:rFonts w:ascii="arial" w:eastAsia="arial" w:hAnsi="arial" w:cs="arial"/>
          <w:i/>
          <w:color w:val="000000"/>
          <w:sz w:val="20"/>
          <w:lang w:val="en-US" w:eastAsia="en-US" w:bidi="ar-SA"/>
        </w:rPr>
        <w:t>both</w:t>
      </w:r>
      <w:r>
        <w:rPr>
          <w:rFonts w:ascii="arial" w:eastAsia="arial" w:hAnsi="arial" w:cs="arial"/>
          <w:color w:val="000000"/>
          <w:sz w:val="20"/>
          <w:lang w:val="en-US" w:eastAsia="en-US" w:bidi="ar-SA"/>
        </w:rPr>
        <w:t xml:space="preserve"> an injury (</w:t>
      </w:r>
      <w:r>
        <w:rPr>
          <w:rFonts w:ascii="arial" w:eastAsia="arial" w:hAnsi="arial" w:cs="arial"/>
          <w:i/>
          <w:color w:val="000000"/>
          <w:sz w:val="20"/>
          <w:lang w:val="en-US" w:eastAsia="en-US" w:bidi="ar-SA"/>
        </w:rPr>
        <w:t>i.e.</w:t>
      </w:r>
      <w:r>
        <w:rPr>
          <w:rFonts w:ascii="arial" w:eastAsia="arial" w:hAnsi="arial" w:cs="arial"/>
          <w:color w:val="000000"/>
          <w:sz w:val="20"/>
          <w:lang w:val="en-US" w:eastAsia="en-US" w:bidi="ar-SA"/>
        </w:rPr>
        <w:t xml:space="preserve"> her pain disorder and/or her depression) and a resulting loss (</w:t>
      </w:r>
      <w:r>
        <w:rPr>
          <w:rFonts w:ascii="arial" w:eastAsia="arial" w:hAnsi="arial" w:cs="arial"/>
          <w:i/>
          <w:color w:val="000000"/>
          <w:sz w:val="20"/>
          <w:lang w:val="en-US" w:eastAsia="en-US" w:bidi="ar-SA"/>
        </w:rPr>
        <w:t>e.g.</w:t>
      </w:r>
      <w:r>
        <w:rPr>
          <w:rFonts w:ascii="arial" w:eastAsia="arial" w:hAnsi="arial" w:cs="arial"/>
          <w:color w:val="000000"/>
          <w:sz w:val="20"/>
          <w:lang w:val="en-US" w:eastAsia="en-US" w:bidi="ar-SA"/>
        </w:rPr>
        <w:t xml:space="preserve"> non-pecuniary loss or lost wages). "The former is concerned with establishing the existence of liability; the latter with the extent of that liability" (</w:t>
      </w:r>
      <w:r>
        <w:rPr>
          <w:rFonts w:ascii="arial" w:eastAsia="arial" w:hAnsi="arial" w:cs="arial"/>
          <w:i/>
          <w:color w:val="000000"/>
          <w:sz w:val="20"/>
          <w:lang w:val="en-US" w:eastAsia="en-US" w:bidi="ar-SA"/>
        </w:rPr>
        <w:t>Blackwater BCSC</w:t>
      </w:r>
      <w:r>
        <w:rPr>
          <w:rFonts w:ascii="arial" w:eastAsia="arial" w:hAnsi="arial" w:cs="arial"/>
          <w:color w:val="000000"/>
          <w:sz w:val="20"/>
          <w:lang w:val="en-US" w:eastAsia="en-US" w:bidi="ar-SA"/>
        </w:rPr>
        <w:t xml:space="preserve"> at para. 363). In the case at hand, if the plaintiff cannot establish that one of her injuries was </w:t>
      </w:r>
      <w:r>
        <w:rPr>
          <w:rFonts w:ascii="arial" w:eastAsia="arial" w:hAnsi="arial" w:cs="arial"/>
          <w:i/>
          <w:color w:val="000000"/>
          <w:sz w:val="20"/>
          <w:lang w:val="en-US" w:eastAsia="en-US" w:bidi="ar-SA"/>
        </w:rPr>
        <w:t>caused</w:t>
      </w:r>
      <w:r>
        <w:rPr>
          <w:rFonts w:ascii="arial" w:eastAsia="arial" w:hAnsi="arial" w:cs="arial"/>
          <w:color w:val="000000"/>
          <w:sz w:val="20"/>
          <w:lang w:val="en-US" w:eastAsia="en-US" w:bidi="ar-SA"/>
        </w:rPr>
        <w:t xml:space="preserve"> by the MVA, then she cannot recover from the defendant for the losses that flowed from that injury. Additionally, if the plaintiff cannot establish that the injury caused by the defendant, in turn, caused a certain loss, then she cannot recover from the defendant for that loss.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[81] The test for causation in Canada is the "but-for" test (</w:t>
      </w:r>
      <w:r>
        <w:rPr>
          <w:rFonts w:ascii="arial" w:eastAsia="arial" w:hAnsi="arial" w:cs="arial"/>
          <w:i/>
          <w:color w:val="000000"/>
          <w:sz w:val="20"/>
          <w:lang w:val="en-US" w:eastAsia="en-US" w:bidi="ar-SA"/>
        </w:rPr>
        <w:t>Bradley v. Groves</w:t>
      </w:r>
      <w:r>
        <w:rPr>
          <w:rFonts w:ascii="arial" w:eastAsia="arial" w:hAnsi="arial" w:cs="arial"/>
          <w:color w:val="000000"/>
          <w:sz w:val="20"/>
          <w:lang w:val="en-US" w:eastAsia="en-US" w:bidi="ar-SA"/>
        </w:rPr>
        <w:t xml:space="preserve">, </w:t>
      </w:r>
      <w:hyperlink r:id="rId618" w:history="1">
        <w:r>
          <w:rPr>
            <w:rFonts w:ascii="arial" w:eastAsia="arial" w:hAnsi="arial" w:cs="arial"/>
            <w:i/>
            <w:color w:val="0077CC"/>
            <w:sz w:val="20"/>
            <w:u w:val="single"/>
            <w:shd w:val="clear" w:color="auto" w:fill="FFFFFF"/>
            <w:lang w:val="en-US" w:eastAsia="en-US" w:bidi="ar-SA"/>
          </w:rPr>
          <w:t>2010 BCCA 361</w:t>
        </w:r>
      </w:hyperlink>
      <w:r>
        <w:rPr>
          <w:rFonts w:ascii="arial" w:eastAsia="arial" w:hAnsi="arial" w:cs="arial"/>
          <w:color w:val="000000"/>
          <w:sz w:val="20"/>
          <w:lang w:val="en-US" w:eastAsia="en-US" w:bidi="ar-SA"/>
        </w:rPr>
        <w:t xml:space="preserve"> at para. 37, </w:t>
      </w:r>
      <w:hyperlink r:id="rId618" w:history="1">
        <w:r>
          <w:rPr>
            <w:rFonts w:ascii="arial" w:eastAsia="arial" w:hAnsi="arial" w:cs="arial"/>
            <w:i/>
            <w:color w:val="0077CC"/>
            <w:sz w:val="20"/>
            <w:u w:val="single"/>
            <w:shd w:val="clear" w:color="auto" w:fill="FFFFFF"/>
            <w:lang w:val="en-US" w:eastAsia="en-US" w:bidi="ar-SA"/>
          </w:rPr>
          <w:t>8 B.C.L.R. (5th) 247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504" w:history="1">
        <w:r>
          <w:rPr>
            <w:rFonts w:ascii="arial" w:eastAsia="arial" w:hAnsi="arial" w:cs="arial"/>
            <w:i/>
            <w:color w:val="0077CC"/>
            <w:sz w:val="20"/>
            <w:u w:val="single"/>
            <w:shd w:val="clear" w:color="auto" w:fill="FFFFFF"/>
            <w:lang w:val="en-US" w:eastAsia="en-US" w:bidi="ar-SA"/>
          </w:rPr>
          <w:t>2007 SCC 7</w:t>
        </w:r>
      </w:hyperlink>
      <w:r>
        <w:rPr>
          <w:rFonts w:ascii="arial" w:eastAsia="arial" w:hAnsi="arial" w:cs="arial"/>
          <w:color w:val="000000"/>
          <w:sz w:val="20"/>
          <w:lang w:val="en-US" w:eastAsia="en-US" w:bidi="ar-SA"/>
        </w:rPr>
        <w:t xml:space="preserve"> at paras. 21-22, </w:t>
      </w:r>
      <w:hyperlink r:id="rId504" w:history="1">
        <w:r>
          <w:rPr>
            <w:rFonts w:ascii="arial" w:eastAsia="arial" w:hAnsi="arial" w:cs="arial"/>
            <w:i/>
            <w:color w:val="0077CC"/>
            <w:sz w:val="20"/>
            <w:u w:val="single"/>
            <w:shd w:val="clear" w:color="auto" w:fill="FFFFFF"/>
            <w:lang w:val="en-US" w:eastAsia="en-US" w:bidi="ar-SA"/>
          </w:rPr>
          <w:t>[2007] 1 S.C.R. 333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Blackwater v. Plint</w:t>
      </w:r>
      <w:r>
        <w:rPr>
          <w:rFonts w:ascii="arial" w:eastAsia="arial" w:hAnsi="arial" w:cs="arial"/>
          <w:color w:val="000000"/>
          <w:sz w:val="20"/>
          <w:lang w:val="en-US" w:eastAsia="en-US" w:bidi="ar-SA"/>
        </w:rPr>
        <w:t xml:space="preserve">, </w:t>
      </w:r>
      <w:hyperlink r:id="rId506" w:history="1">
        <w:r>
          <w:rPr>
            <w:rFonts w:ascii="arial" w:eastAsia="arial" w:hAnsi="arial" w:cs="arial"/>
            <w:i/>
            <w:color w:val="0077CC"/>
            <w:sz w:val="20"/>
            <w:u w:val="single"/>
            <w:shd w:val="clear" w:color="auto" w:fill="FFFFFF"/>
            <w:lang w:val="en-US" w:eastAsia="en-US" w:bidi="ar-SA"/>
          </w:rPr>
          <w:t>2005 SCC 58</w:t>
        </w:r>
      </w:hyperlink>
      <w:r>
        <w:rPr>
          <w:rFonts w:ascii="arial" w:eastAsia="arial" w:hAnsi="arial" w:cs="arial"/>
          <w:color w:val="000000"/>
          <w:sz w:val="20"/>
          <w:lang w:val="en-US" w:eastAsia="en-US" w:bidi="ar-SA"/>
        </w:rPr>
        <w:t xml:space="preserve"> at para. 78, </w:t>
      </w:r>
      <w:hyperlink r:id="rId506" w:history="1">
        <w:r>
          <w:rPr>
            <w:rFonts w:ascii="arial" w:eastAsia="arial" w:hAnsi="arial" w:cs="arial"/>
            <w:i/>
            <w:color w:val="0077CC"/>
            <w:sz w:val="20"/>
            <w:u w:val="single"/>
            <w:shd w:val="clear" w:color="auto" w:fill="FFFFFF"/>
            <w:lang w:val="en-US" w:eastAsia="en-US" w:bidi="ar-SA"/>
          </w:rPr>
          <w:t>[2005] 3 S.C.R. 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Blackwater SCC</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Clements v. Clements</w:t>
      </w:r>
      <w:r>
        <w:rPr>
          <w:rFonts w:ascii="arial" w:eastAsia="arial" w:hAnsi="arial" w:cs="arial"/>
          <w:color w:val="000000"/>
          <w:sz w:val="20"/>
          <w:lang w:val="en-US" w:eastAsia="en-US" w:bidi="ar-SA"/>
        </w:rPr>
        <w:t xml:space="preserve">, </w:t>
      </w:r>
      <w:hyperlink r:id="rId607" w:history="1">
        <w:r>
          <w:rPr>
            <w:rFonts w:ascii="arial" w:eastAsia="arial" w:hAnsi="arial" w:cs="arial"/>
            <w:i/>
            <w:color w:val="0077CC"/>
            <w:sz w:val="20"/>
            <w:u w:val="single"/>
            <w:shd w:val="clear" w:color="auto" w:fill="FFFFFF"/>
            <w:lang w:val="en-US" w:eastAsia="en-US" w:bidi="ar-SA"/>
          </w:rPr>
          <w:t>2012 SCC 32</w:t>
        </w:r>
      </w:hyperlink>
      <w:r>
        <w:rPr>
          <w:rFonts w:ascii="arial" w:eastAsia="arial" w:hAnsi="arial" w:cs="arial"/>
          <w:color w:val="000000"/>
          <w:sz w:val="20"/>
          <w:lang w:val="en-US" w:eastAsia="en-US" w:bidi="ar-SA"/>
        </w:rPr>
        <w:t xml:space="preserve"> at para. 8, </w:t>
      </w:r>
      <w:hyperlink r:id="rId607" w:history="1">
        <w:r>
          <w:rPr>
            <w:rFonts w:ascii="arial" w:eastAsia="arial" w:hAnsi="arial" w:cs="arial"/>
            <w:i/>
            <w:color w:val="0077CC"/>
            <w:sz w:val="20"/>
            <w:u w:val="single"/>
            <w:shd w:val="clear" w:color="auto" w:fill="FFFFFF"/>
            <w:lang w:val="en-US" w:eastAsia="en-US" w:bidi="ar-SA"/>
          </w:rPr>
          <w:t>[2012] 2 S.C.R. 181</w:t>
        </w:r>
      </w:hyperlink>
      <w:r>
        <w:rPr>
          <w:rFonts w:ascii="arial" w:eastAsia="arial" w:hAnsi="arial" w:cs="arial"/>
          <w:color w:val="000000"/>
          <w:sz w:val="20"/>
          <w:lang w:val="en-US" w:eastAsia="en-US" w:bidi="ar-SA"/>
        </w:rPr>
        <w:t>). To assess whether the defendant caused an injury, the trial judge asks if, without the defendant's tortious act, the injury would have resulted. If the answer is "yes", the defendant is not liable for the injury or the losses flowing from it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41). If the answer is "no", the defendant is liable to the plaintiff for the </w:t>
      </w:r>
      <w:r>
        <w:rPr>
          <w:rFonts w:ascii="arial" w:eastAsia="arial" w:hAnsi="arial" w:cs="arial"/>
          <w:i/>
          <w:color w:val="000000"/>
          <w:sz w:val="20"/>
          <w:lang w:val="en-US" w:eastAsia="en-US" w:bidi="ar-SA"/>
        </w:rPr>
        <w:t>whole</w:t>
      </w:r>
      <w:r>
        <w:rPr>
          <w:rFonts w:ascii="arial" w:eastAsia="arial" w:hAnsi="arial" w:cs="arial"/>
          <w:color w:val="000000"/>
          <w:sz w:val="20"/>
          <w:lang w:val="en-US" w:eastAsia="en-US" w:bidi="ar-SA"/>
        </w:rPr>
        <w:t xml:space="preserve"> of the losses flowing from the injury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paras. 22 and 41).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[82] Once causation for an injury is established, the defendant is liable to the plaintiff for </w:t>
      </w:r>
      <w:r>
        <w:rPr>
          <w:rFonts w:ascii="arial" w:eastAsia="arial" w:hAnsi="arial" w:cs="arial"/>
          <w:i/>
          <w:color w:val="000000"/>
          <w:sz w:val="20"/>
          <w:lang w:val="en-US" w:eastAsia="en-US" w:bidi="ar-SA"/>
        </w:rPr>
        <w:t>all</w:t>
      </w:r>
      <w:r>
        <w:rPr>
          <w:rFonts w:ascii="arial" w:eastAsia="arial" w:hAnsi="arial" w:cs="arial"/>
          <w:color w:val="000000"/>
          <w:sz w:val="20"/>
          <w:lang w:val="en-US" w:eastAsia="en-US" w:bidi="ar-SA"/>
        </w:rPr>
        <w:t xml:space="preserve"> of the loss(es) flowing from that injury. The losses "flowing" from an injury are those losses which the plaintiff proves, on a balance of probabilities, would not have occurred "but-for" the defendant's act (</w:t>
      </w:r>
      <w:r>
        <w:rPr>
          <w:rFonts w:ascii="arial" w:eastAsia="arial" w:hAnsi="arial" w:cs="arial"/>
          <w:i/>
          <w:color w:val="000000"/>
          <w:sz w:val="20"/>
          <w:lang w:val="en-US" w:eastAsia="en-US" w:bidi="ar-SA"/>
        </w:rPr>
        <w:t>Blackwater SCC</w:t>
      </w:r>
      <w:r>
        <w:rPr>
          <w:rFonts w:ascii="arial" w:eastAsia="arial" w:hAnsi="arial" w:cs="arial"/>
          <w:color w:val="000000"/>
          <w:sz w:val="20"/>
          <w:lang w:val="en-US" w:eastAsia="en-US" w:bidi="ar-SA"/>
        </w:rPr>
        <w:t xml:space="preserve"> at para. 78;</w:t>
      </w:r>
      <w:r>
        <w:rPr>
          <w:rFonts w:ascii="arial" w:eastAsia="arial" w:hAnsi="arial" w:cs="arial"/>
          <w:i/>
          <w:color w:val="000000"/>
          <w:sz w:val="20"/>
          <w:lang w:val="en-US" w:eastAsia="en-US" w:bidi="ar-SA"/>
        </w:rPr>
        <w:t xml:space="preserve"> Smith v. Knudsen</w:t>
      </w:r>
      <w:r>
        <w:rPr>
          <w:rFonts w:ascii="arial" w:eastAsia="arial" w:hAnsi="arial" w:cs="arial"/>
          <w:color w:val="000000"/>
          <w:sz w:val="20"/>
          <w:lang w:val="en-US" w:eastAsia="en-US" w:bidi="ar-SA"/>
        </w:rPr>
        <w:t xml:space="preserve">, </w:t>
      </w:r>
      <w:hyperlink r:id="rId528" w:history="1">
        <w:r>
          <w:rPr>
            <w:rFonts w:ascii="arial" w:eastAsia="arial" w:hAnsi="arial" w:cs="arial"/>
            <w:i/>
            <w:color w:val="0077CC"/>
            <w:sz w:val="20"/>
            <w:u w:val="single"/>
            <w:shd w:val="clear" w:color="auto" w:fill="FFFFFF"/>
            <w:lang w:val="en-US" w:eastAsia="en-US" w:bidi="ar-SA"/>
          </w:rPr>
          <w:t>2004 BCCA 613</w:t>
        </w:r>
      </w:hyperlink>
      <w:r>
        <w:rPr>
          <w:rFonts w:ascii="arial" w:eastAsia="arial" w:hAnsi="arial" w:cs="arial"/>
          <w:color w:val="000000"/>
          <w:sz w:val="20"/>
          <w:lang w:val="en-US" w:eastAsia="en-US" w:bidi="ar-SA"/>
        </w:rPr>
        <w:t xml:space="preserve"> at para. 26, </w:t>
      </w:r>
      <w:hyperlink r:id="rId528" w:history="1">
        <w:r>
          <w:rPr>
            <w:rFonts w:ascii="arial" w:eastAsia="arial" w:hAnsi="arial" w:cs="arial"/>
            <w:i/>
            <w:color w:val="0077CC"/>
            <w:sz w:val="20"/>
            <w:u w:val="single"/>
            <w:shd w:val="clear" w:color="auto" w:fill="FFFFFF"/>
            <w:lang w:val="en-US" w:eastAsia="en-US" w:bidi="ar-SA"/>
          </w:rPr>
          <w:t>33 B.C.L.R. (4th) 76</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[83] It is also necessary to recognize that this case engages both "thin skull" and "crumbling skull" principles. Both these principles were succinctly summarized in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[34] ... The "crumbling skull" doctrine is an awkward label for a fairly simple idea. It is named after the well-known "thin skull" rule, which makes the tortfeasor liable for the plaintiff's injuries even if the injuries are unexpectedly severe owing to a pre-existing condition. The tortfeasor must take his or her victim as the tortfeasor finds the victim, and is therefore liable even though the plaintiff's losses are more dramatic than they would be for the average person.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[35] The so-called "crumbling skull" rule simply recognizes that the pre-existing condition was inherent in the plaintiff's "original position". The defendant need not put the plaintiff in a position </w:t>
      </w:r>
      <w:r>
        <w:rPr>
          <w:rFonts w:ascii="arial" w:eastAsia="arial" w:hAnsi="arial" w:cs="arial"/>
          <w:color w:val="000000"/>
          <w:sz w:val="20"/>
          <w:u w:val="single"/>
          <w:lang w:val="en-US" w:eastAsia="en-US" w:bidi="ar-SA"/>
        </w:rPr>
        <w:t>better</w:t>
      </w:r>
      <w:r>
        <w:rPr>
          <w:rFonts w:ascii="arial" w:eastAsia="arial" w:hAnsi="arial" w:cs="arial"/>
          <w:color w:val="000000"/>
          <w:sz w:val="20"/>
          <w:lang w:val="en-US" w:eastAsia="en-US" w:bidi="ar-SA"/>
        </w:rPr>
        <w:t xml:space="preserve"> than his or her original position. The defendant is liable for the injuries caused, even if they are extreme, but reed not compensate the plaintiff for any debilitating effects of the pre-existing condition which the plaintiff would have experienced anyway. The defendant is liable for the additional damage but not the pre-existing damage: Cooper-Stephenson,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at pp. 779-780 and John Munkman, </w:t>
      </w:r>
      <w:r>
        <w:rPr>
          <w:rFonts w:ascii="arial" w:eastAsia="arial" w:hAnsi="arial" w:cs="arial"/>
          <w:i/>
          <w:color w:val="000000"/>
          <w:sz w:val="20"/>
          <w:lang w:val="en-US" w:eastAsia="en-US" w:bidi="ar-SA"/>
        </w:rPr>
        <w:t>Damages for Personal Injuries and Death</w:t>
      </w:r>
      <w:r>
        <w:rPr>
          <w:rFonts w:ascii="arial" w:eastAsia="arial" w:hAnsi="arial" w:cs="arial"/>
          <w:color w:val="000000"/>
          <w:sz w:val="20"/>
          <w:lang w:val="en-US" w:eastAsia="en-US" w:bidi="ar-SA"/>
        </w:rPr>
        <w:t xml:space="preserve"> (9th ed. 1993), at pp. 39-40. Likewise, if there is a measurable risk that the pre-existing condition would have detrimentally affected the plaintiff in the future, regardless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then this can be taken into account in reducing the overall award: </w:t>
      </w:r>
      <w:r>
        <w:rPr>
          <w:rFonts w:ascii="arial" w:eastAsia="arial" w:hAnsi="arial" w:cs="arial"/>
          <w:i/>
          <w:color w:val="000000"/>
          <w:sz w:val="20"/>
          <w:lang w:val="en-US" w:eastAsia="en-US" w:bidi="ar-SA"/>
        </w:rPr>
        <w:t>Graham v. Rourke</w:t>
      </w:r>
      <w:r>
        <w:rPr>
          <w:rFonts w:ascii="arial" w:eastAsia="arial" w:hAnsi="arial" w:cs="arial"/>
          <w:color w:val="000000"/>
          <w:sz w:val="20"/>
          <w:lang w:val="en-US" w:eastAsia="en-US" w:bidi="ar-SA"/>
        </w:rPr>
        <w:t xml:space="preserve">, </w:t>
      </w:r>
      <w:hyperlink r:id="rId687" w:history="1">
        <w:r>
          <w:rPr>
            <w:rFonts w:ascii="arial" w:eastAsia="arial" w:hAnsi="arial" w:cs="arial"/>
            <w:i/>
            <w:color w:val="0077CC"/>
            <w:sz w:val="20"/>
            <w:u w:val="single"/>
            <w:shd w:val="clear" w:color="auto" w:fill="FFFFFF"/>
            <w:lang w:val="en-US" w:eastAsia="en-US" w:bidi="ar-SA"/>
          </w:rPr>
          <w:t>[1990] O.J. No. 2314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Malec v. J.C. Hutton Proprietary Ltd</w:t>
      </w:r>
      <w:r>
        <w:rPr>
          <w:rFonts w:ascii="arial" w:eastAsia="arial" w:hAnsi="arial" w:cs="arial"/>
          <w:color w:val="000000"/>
          <w:sz w:val="20"/>
          <w:lang w:val="en-US" w:eastAsia="en-US" w:bidi="ar-SA"/>
        </w:rPr>
        <w:t xml:space="preserve">., 169 C.L.R. 638,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Cooper-Stephenson,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at pp. 851-852. This is consistent with the general rule that the plaintiff must be returned to the position he would have been in, with all of its attendant risks and shortcomings, and not a better position. [Emphasis in original.]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[84] Recent cases from both the B.C. Court of Appeal and B.C. Supreme Court continue to paraphrase this language. Some examples include: </w:t>
      </w:r>
      <w:r>
        <w:rPr>
          <w:rFonts w:ascii="arial" w:eastAsia="arial" w:hAnsi="arial" w:cs="arial"/>
          <w:i/>
          <w:color w:val="000000"/>
          <w:sz w:val="20"/>
          <w:lang w:val="en-US" w:eastAsia="en-US" w:bidi="ar-SA"/>
        </w:rPr>
        <w:t>T.W.N.A. v. Canada (Ministry of Indian Affairs)</w:t>
      </w:r>
      <w:r>
        <w:rPr>
          <w:rFonts w:ascii="arial" w:eastAsia="arial" w:hAnsi="arial" w:cs="arial"/>
          <w:color w:val="000000"/>
          <w:sz w:val="20"/>
          <w:lang w:val="en-US" w:eastAsia="en-US" w:bidi="ar-SA"/>
        </w:rPr>
        <w:t xml:space="preserve">, </w:t>
      </w:r>
      <w:hyperlink r:id="rId688" w:history="1">
        <w:r>
          <w:rPr>
            <w:rFonts w:ascii="arial" w:eastAsia="arial" w:hAnsi="arial" w:cs="arial"/>
            <w:i/>
            <w:color w:val="0077CC"/>
            <w:sz w:val="20"/>
            <w:u w:val="single"/>
            <w:shd w:val="clear" w:color="auto" w:fill="FFFFFF"/>
            <w:lang w:val="en-US" w:eastAsia="en-US" w:bidi="ar-SA"/>
          </w:rPr>
          <w:t>2003 BCCA 670</w:t>
        </w:r>
      </w:hyperlink>
      <w:r>
        <w:rPr>
          <w:rFonts w:ascii="arial" w:eastAsia="arial" w:hAnsi="arial" w:cs="arial"/>
          <w:color w:val="000000"/>
          <w:sz w:val="20"/>
          <w:lang w:val="en-US" w:eastAsia="en-US" w:bidi="ar-SA"/>
        </w:rPr>
        <w:t xml:space="preserve"> at paras. 26-37, </w:t>
      </w:r>
      <w:hyperlink r:id="rId688" w:history="1">
        <w:r>
          <w:rPr>
            <w:rFonts w:ascii="arial" w:eastAsia="arial" w:hAnsi="arial" w:cs="arial"/>
            <w:i/>
            <w:color w:val="0077CC"/>
            <w:sz w:val="20"/>
            <w:u w:val="single"/>
            <w:shd w:val="clear" w:color="auto" w:fill="FFFFFF"/>
            <w:lang w:val="en-US" w:eastAsia="en-US" w:bidi="ar-SA"/>
          </w:rPr>
          <w:t>22 B.C.L.R. (4th) 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Zacharias v. Leys</w:t>
      </w:r>
      <w:r>
        <w:rPr>
          <w:rFonts w:ascii="arial" w:eastAsia="arial" w:hAnsi="arial" w:cs="arial"/>
          <w:color w:val="000000"/>
          <w:sz w:val="20"/>
          <w:lang w:val="en-US" w:eastAsia="en-US" w:bidi="ar-SA"/>
        </w:rPr>
        <w:t xml:space="preserve">, </w:t>
      </w:r>
      <w:hyperlink r:id="rId689" w:history="1">
        <w:r>
          <w:rPr>
            <w:rFonts w:ascii="arial" w:eastAsia="arial" w:hAnsi="arial" w:cs="arial"/>
            <w:i/>
            <w:color w:val="0077CC"/>
            <w:sz w:val="20"/>
            <w:u w:val="single"/>
            <w:shd w:val="clear" w:color="auto" w:fill="FFFFFF"/>
            <w:lang w:val="en-US" w:eastAsia="en-US" w:bidi="ar-SA"/>
          </w:rPr>
          <w:t>2005 BCCA 560</w:t>
        </w:r>
      </w:hyperlink>
      <w:r>
        <w:rPr>
          <w:rFonts w:ascii="arial" w:eastAsia="arial" w:hAnsi="arial" w:cs="arial"/>
          <w:color w:val="000000"/>
          <w:sz w:val="20"/>
          <w:lang w:val="en-US" w:eastAsia="en-US" w:bidi="ar-SA"/>
        </w:rPr>
        <w:t xml:space="preserve"> at paras. 13-21, </w:t>
      </w:r>
      <w:hyperlink r:id="rId689" w:history="1">
        <w:r>
          <w:rPr>
            <w:rFonts w:ascii="arial" w:eastAsia="arial" w:hAnsi="arial" w:cs="arial"/>
            <w:i/>
            <w:color w:val="0077CC"/>
            <w:sz w:val="20"/>
            <w:u w:val="single"/>
            <w:shd w:val="clear" w:color="auto" w:fill="FFFFFF"/>
            <w:lang w:val="en-US" w:eastAsia="en-US" w:bidi="ar-SA"/>
          </w:rPr>
          <w:t>219 B.C.A.C. 88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Penland v. Lofting</w:t>
      </w:r>
      <w:r>
        <w:rPr>
          <w:rFonts w:ascii="arial" w:eastAsia="arial" w:hAnsi="arial" w:cs="arial"/>
          <w:color w:val="000000"/>
          <w:sz w:val="20"/>
          <w:lang w:val="en-US" w:eastAsia="en-US" w:bidi="ar-SA"/>
        </w:rPr>
        <w:t xml:space="preserve">, </w:t>
      </w:r>
      <w:hyperlink r:id="rId690" w:history="1">
        <w:r>
          <w:rPr>
            <w:rFonts w:ascii="arial" w:eastAsia="arial" w:hAnsi="arial" w:cs="arial"/>
            <w:i/>
            <w:color w:val="0077CC"/>
            <w:sz w:val="20"/>
            <w:u w:val="single"/>
            <w:shd w:val="clear" w:color="auto" w:fill="FFFFFF"/>
            <w:lang w:val="en-US" w:eastAsia="en-US" w:bidi="ar-SA"/>
          </w:rPr>
          <w:t>2008 BCSC 507</w:t>
        </w:r>
      </w:hyperlink>
      <w:r>
        <w:rPr>
          <w:rFonts w:ascii="arial" w:eastAsia="arial" w:hAnsi="arial" w:cs="arial"/>
          <w:color w:val="000000"/>
          <w:sz w:val="20"/>
          <w:lang w:val="en-US" w:eastAsia="en-US" w:bidi="ar-SA"/>
        </w:rPr>
        <w:t xml:space="preserve"> at paras. 93-97, </w:t>
      </w:r>
      <w:hyperlink r:id="rId690" w:history="1">
        <w:r>
          <w:rPr>
            <w:rFonts w:ascii="arial" w:eastAsia="arial" w:hAnsi="arial" w:cs="arial"/>
            <w:i/>
            <w:color w:val="0077CC"/>
            <w:sz w:val="20"/>
            <w:u w:val="single"/>
            <w:shd w:val="clear" w:color="auto" w:fill="FFFFFF"/>
            <w:lang w:val="en-US" w:eastAsia="en-US" w:bidi="ar-SA"/>
          </w:rPr>
          <w:t>60 C.C.L.T. (3d) 265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Carr v. Simpson</w:t>
      </w:r>
      <w:r>
        <w:rPr>
          <w:rFonts w:ascii="arial" w:eastAsia="arial" w:hAnsi="arial" w:cs="arial"/>
          <w:color w:val="000000"/>
          <w:sz w:val="20"/>
          <w:lang w:val="en-US" w:eastAsia="en-US" w:bidi="ar-SA"/>
        </w:rPr>
        <w:t xml:space="preserve">, </w:t>
      </w:r>
      <w:hyperlink r:id="rId691" w:history="1">
        <w:r>
          <w:rPr>
            <w:rFonts w:ascii="arial" w:eastAsia="arial" w:hAnsi="arial" w:cs="arial"/>
            <w:i/>
            <w:color w:val="0077CC"/>
            <w:sz w:val="20"/>
            <w:u w:val="single"/>
            <w:shd w:val="clear" w:color="auto" w:fill="FFFFFF"/>
            <w:lang w:val="en-US" w:eastAsia="en-US" w:bidi="ar-SA"/>
          </w:rPr>
          <w:t>2010 BCSC 1511</w:t>
        </w:r>
      </w:hyperlink>
      <w:r>
        <w:rPr>
          <w:rFonts w:ascii="arial" w:eastAsia="arial" w:hAnsi="arial" w:cs="arial"/>
          <w:color w:val="000000"/>
          <w:sz w:val="20"/>
          <w:lang w:val="en-US" w:eastAsia="en-US" w:bidi="ar-SA"/>
        </w:rPr>
        <w:t xml:space="preserve"> at paras. 113-117.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T.W.N.A. v. Canada</w:t>
      </w:r>
      <w:r>
        <w:rPr>
          <w:rFonts w:ascii="arial" w:eastAsia="arial" w:hAnsi="arial" w:cs="arial"/>
          <w:color w:val="000000"/>
          <w:sz w:val="20"/>
          <w:lang w:val="en-US" w:eastAsia="en-US" w:bidi="ar-SA"/>
        </w:rPr>
        <w:t xml:space="preserve"> case referred to above was a unanimous decision from a five member panel of the Court of Appeal. It reviewed the principles outlined in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and addressed pre-existing medical conditions and how they affect the assessment of damages. The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case articulated the notion of a "measurable risk" or "realistic chance" of a subsequent medical problem occurring at some point in the future even without the accident that is the subject matter of the lawsuit, noting on that account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 reduction of the overall damage award may [be] considered. This is because the plaintiff is to be returned to his "original position", which might have included a risk of spontaneous disc herniation in the future [in any event].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48, </w:t>
      </w:r>
      <w:r>
        <w:rPr>
          <w:rFonts w:ascii="arial" w:eastAsia="arial" w:hAnsi="arial" w:cs="arial"/>
          <w:i/>
          <w:color w:val="000000"/>
          <w:sz w:val="20"/>
          <w:lang w:val="en-US" w:eastAsia="en-US" w:bidi="ar-SA"/>
        </w:rPr>
        <w:t>T.W.N.A.</w:t>
      </w:r>
      <w:r>
        <w:rPr>
          <w:rFonts w:ascii="arial" w:eastAsia="arial" w:hAnsi="arial" w:cs="arial"/>
          <w:color w:val="000000"/>
          <w:sz w:val="20"/>
          <w:lang w:val="en-US" w:eastAsia="en-US" w:bidi="ar-SA"/>
        </w:rPr>
        <w:t xml:space="preserve"> at para. 34-35)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xml:space="preserve">  The court in </w:t>
      </w:r>
      <w:r>
        <w:rPr>
          <w:rFonts w:ascii="arial" w:eastAsia="arial" w:hAnsi="arial" w:cs="arial"/>
          <w:i/>
          <w:color w:val="000000"/>
          <w:sz w:val="20"/>
          <w:lang w:val="en-US" w:eastAsia="en-US" w:bidi="ar-SA"/>
        </w:rPr>
        <w:t>T.W.N.A.</w:t>
      </w:r>
      <w:r>
        <w:rPr>
          <w:rFonts w:ascii="arial" w:eastAsia="arial" w:hAnsi="arial" w:cs="arial"/>
          <w:color w:val="000000"/>
          <w:sz w:val="20"/>
          <w:lang w:val="en-US" w:eastAsia="en-US" w:bidi="ar-SA"/>
        </w:rPr>
        <w:t xml:space="preserve"> held that a defendant need not prove on the balance of probabilities that the pre-existing condition would have actually caused the subsequent loss regardless of the accident. It noted: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 weakness inherent in a plaintiff that </w:t>
      </w:r>
      <w:r>
        <w:rPr>
          <w:rFonts w:ascii="arial" w:eastAsia="arial" w:hAnsi="arial" w:cs="arial"/>
          <w:color w:val="000000"/>
          <w:sz w:val="20"/>
          <w:u w:val="single"/>
          <w:lang w:val="en-US" w:eastAsia="en-US" w:bidi="ar-SA"/>
        </w:rPr>
        <w:t>might realistically cause or contribute</w:t>
      </w:r>
      <w:r>
        <w:rPr>
          <w:rFonts w:ascii="arial" w:eastAsia="arial" w:hAnsi="arial" w:cs="arial"/>
          <w:color w:val="000000"/>
          <w:sz w:val="20"/>
          <w:lang w:val="en-US" w:eastAsia="en-US" w:bidi="ar-SA"/>
        </w:rPr>
        <w:t xml:space="preserve"> to the loss claimed regardless of the tort is relevant to the assessment of damages. It is a contingency that should be accounted for in the award. Moreover, such a contingency does not have to be proven to a certainty. Rather, it should be </w:t>
      </w:r>
      <w:r>
        <w:rPr>
          <w:rFonts w:ascii="arial" w:eastAsia="arial" w:hAnsi="arial" w:cs="arial"/>
          <w:color w:val="000000"/>
          <w:sz w:val="20"/>
          <w:u w:val="single"/>
          <w:lang w:val="en-US" w:eastAsia="en-US" w:bidi="ar-SA"/>
        </w:rPr>
        <w:t>given weight according to its relative likelihood</w:t>
      </w:r>
      <w:r>
        <w:rPr>
          <w:rFonts w:ascii="arial" w:eastAsia="arial" w:hAnsi="arial" w:cs="arial"/>
          <w:color w:val="000000"/>
          <w:sz w:val="20"/>
          <w:lang w:val="en-US" w:eastAsia="en-US" w:bidi="ar-SA"/>
        </w:rPr>
        <w:t>. (para. 48)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[Underline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If the said "measurable risk" or "realistic chance" can be demonstrated on the evidence, then "the net loss attributable to the tort will not be as great and damages will be reduced proportionately" (</w:t>
      </w:r>
      <w:r>
        <w:rPr>
          <w:rFonts w:ascii="arial" w:eastAsia="arial" w:hAnsi="arial" w:cs="arial"/>
          <w:i/>
          <w:color w:val="000000"/>
          <w:sz w:val="20"/>
          <w:lang w:val="en-US" w:eastAsia="en-US" w:bidi="ar-SA"/>
        </w:rPr>
        <w:t>T.W.N.A.</w:t>
      </w:r>
      <w:r>
        <w:rPr>
          <w:rFonts w:ascii="arial" w:eastAsia="arial" w:hAnsi="arial" w:cs="arial"/>
          <w:color w:val="000000"/>
          <w:sz w:val="20"/>
          <w:lang w:val="en-US" w:eastAsia="en-US" w:bidi="ar-SA"/>
        </w:rPr>
        <w:t xml:space="preserve"> at para. 36 citing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paras. 31 - 32).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xml:space="preserve">  Similar principles are articulated in </w:t>
      </w:r>
      <w:r>
        <w:rPr>
          <w:rFonts w:ascii="arial" w:eastAsia="arial" w:hAnsi="arial" w:cs="arial"/>
          <w:i/>
          <w:color w:val="000000"/>
          <w:sz w:val="20"/>
          <w:lang w:val="en-US" w:eastAsia="en-US" w:bidi="ar-SA"/>
        </w:rPr>
        <w:t>Moore v. Kyba</w:t>
      </w:r>
      <w:r>
        <w:rPr>
          <w:rFonts w:ascii="arial" w:eastAsia="arial" w:hAnsi="arial" w:cs="arial"/>
          <w:color w:val="000000"/>
          <w:sz w:val="20"/>
          <w:lang w:val="en-US" w:eastAsia="en-US" w:bidi="ar-SA"/>
        </w:rPr>
        <w:t xml:space="preserve">, </w:t>
      </w:r>
      <w:hyperlink r:id="rId617" w:history="1">
        <w:r>
          <w:rPr>
            <w:rFonts w:ascii="arial" w:eastAsia="arial" w:hAnsi="arial" w:cs="arial"/>
            <w:i/>
            <w:color w:val="0077CC"/>
            <w:sz w:val="20"/>
            <w:u w:val="single"/>
            <w:shd w:val="clear" w:color="auto" w:fill="FFFFFF"/>
            <w:lang w:val="en-US" w:eastAsia="en-US" w:bidi="ar-SA"/>
          </w:rPr>
          <w:t>2012 BCCA 361</w:t>
        </w:r>
      </w:hyperlink>
      <w:r>
        <w:rPr>
          <w:rFonts w:ascii="arial" w:eastAsia="arial" w:hAnsi="arial" w:cs="arial"/>
          <w:color w:val="000000"/>
          <w:sz w:val="20"/>
          <w:lang w:val="en-US" w:eastAsia="en-US" w:bidi="ar-SA"/>
        </w:rPr>
        <w:t xml:space="preserve"> at paras. 32 - 37 and where the court also described the operation of the "crumbling skull" rule as follows at para. 43: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if the plaintiff had a pre-existing condition and there was a measurable risk that that condition would have resulted in a loss anyway, then that pre-existing risk of loss is taken into account in assessing the damages flowing from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xml:space="preserve">  A recent example of how pre-existing risk of loss was taken into account by the Court of Appeal in assessing damages is </w:t>
      </w:r>
      <w:r>
        <w:rPr>
          <w:rFonts w:ascii="arial" w:eastAsia="arial" w:hAnsi="arial" w:cs="arial"/>
          <w:i/>
          <w:color w:val="000000"/>
          <w:sz w:val="20"/>
          <w:lang w:val="en-US" w:eastAsia="en-US" w:bidi="ar-SA"/>
        </w:rPr>
        <w:t>Bouchard v. Brown Bros. Motor Lease Canada Ltd.</w:t>
      </w:r>
      <w:r>
        <w:rPr>
          <w:rFonts w:ascii="arial" w:eastAsia="arial" w:hAnsi="arial" w:cs="arial"/>
          <w:color w:val="000000"/>
          <w:sz w:val="20"/>
          <w:lang w:val="en-US" w:eastAsia="en-US" w:bidi="ar-SA"/>
        </w:rPr>
        <w:t xml:space="preserve">, </w:t>
      </w:r>
      <w:hyperlink r:id="rId692" w:history="1">
        <w:r>
          <w:rPr>
            <w:rFonts w:ascii="arial" w:eastAsia="arial" w:hAnsi="arial" w:cs="arial"/>
            <w:i/>
            <w:color w:val="0077CC"/>
            <w:sz w:val="20"/>
            <w:u w:val="single"/>
            <w:shd w:val="clear" w:color="auto" w:fill="FFFFFF"/>
            <w:lang w:val="en-US" w:eastAsia="en-US" w:bidi="ar-SA"/>
          </w:rPr>
          <w:t>2012 BCCA 331</w:t>
        </w:r>
      </w:hyperlink>
      <w:r>
        <w:rPr>
          <w:rFonts w:ascii="arial" w:eastAsia="arial" w:hAnsi="arial" w:cs="arial"/>
          <w:color w:val="000000"/>
          <w:sz w:val="20"/>
          <w:lang w:val="en-US" w:eastAsia="en-US" w:bidi="ar-SA"/>
        </w:rPr>
        <w:t>. In that case the trial judge found that the accident was a significant factor in the weakening and ultimate herniation of the plaintiff's L4-5 disc in his lumbar spine. The trial judge had reduced the damages by 40% to account for the measurable risk that the plaintiff's pre-existing degenerative condition would have affected him even without the accident injury but the Court of Appeal substituted a 20% reduction on that account emphasizing,</w:t>
      </w:r>
      <w:r>
        <w:rPr>
          <w:rFonts w:ascii="arial" w:eastAsia="arial" w:hAnsi="arial" w:cs="arial"/>
          <w:sz w:val="20"/>
          <w:lang w:val="en-US" w:eastAsia="en-US" w:bidi="ar-SA"/>
        </w:rPr>
        <w:cr/>
      </w:r>
    </w:p>
    <w:p>
      <w:pPr>
        <w:numPr>
          <w:numId w:val="1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one cannot predict with certainty at what age disc degeneration would (or might) have become symptomatic and disabling;</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while the process cannot be projected with exactitude, logic requires that any notion of gradual deterioration over many years should be reflected in only a modest percentage by which damages are reduced; and</w:t>
      </w:r>
    </w:p>
    <w:p>
      <w:pPr>
        <w:numPr>
          <w:numId w:val="1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substantial reduction in damages on that account (40% in that case) would only be warranted where the evidence supported a conclusion of a more rapid deterioration in the nearer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Findings as to Injury and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The medical consensus is that the plaintiff had pre-existing degenerative changes at the L5-S1 level of the lumbar spine which pre-dated the motor vehicle accidents. The weight of medical opinion is to the effect that the plaintiff's disc herniation has not triggered any neurological compromise and that the ongoing pain symptomology is discogenic in 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As indicated above, the plaintiff is a credible witness and I accept without reservation his testimony as to the onset and persistence of pain symptomology following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I find, as several of the physicians have diagnosed, that the motor vehicle accident, which involved a very substantial impact, aggravated a pre-existing intermittent, occasionally painful low back condition and further injured the low back disc structure, all of which has in turn caused the persistent low back and left leg pain experienced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I accept the opinion of the physiatrist Dr. O'connor, as to the nature and extent of plaintiff's disability as well as his prognosis for the future. I find that the plaintiff's pain condition is chronic and it is not likely the symptomology will improve with the passage of time. Indeed, the plaintiff is at increased risk of re-injury and further deterioration. He has reduced tolerance for prolonged sitting, repetitive bending, twisting or loading of the low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I also accept the testimony of the plaintiff, his wife and co-workers as to the plaintiff's persistently depressed mood, irritability, and fatigue. Although the plaintiff appears to be doing the best he can to modify workouts and increase core strength with a view to protecting his back, I accept the evidence of Captain Kulhanek and the plaintiff's wife as to dramatic change in energy levels, physical activity and emotional engagement.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It is clear that the plaintiff's chronic pain condition is taking its toll, and likely will continue to do so. I do not fault the plaintiff for continuing take the narcotic medication prescribed for him by his family doctor. Both the orthopedic surgeon, Dr. Arthur, and the physiatrist, Dr. O'connor, were critical of the prescription and expressed grave concern for potential dependency and abuse. Dr. Arthur confirmed such medication was "risky" for a firefighter. Because the narcotics are not only addictive, but also have depressant qualities, Dr. O'connor "strongly discourages him from continuing on with his medication", a recommendation that the plaintiff would do well to accept as best he can.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While I have found that the car accidents were a significant cause, if not the sole cause, of the plaintiff's chronic discogenic back pain and related disability, I must also address the manner in which the plaintiff's pre-existing condition, notably degenerative changes in the spine and the previously intermittent episodes of related pain, must be taken into account in the assessment of damages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In his opinion, Dr. Connell pointed out that degenerative disc disease within the lumbar spine is extremely common but it is also common for individuals with such disease to be completely asymptomatic. In other words, it might have been possible, but for the accident, for the plaintiff to live out the rest of his life without experiencing any further back problems. The plaintiff submits the evidence does not establish that any sort of chronic low back pain symptomology, whether discogenic in nature or otherwise, was inevitable such that the so-called "crumbling skull" rule should be engaged in this case. The plaintiff therefore suggests there should be no reduction of damages on an account of any pre-existing back pain symptomology.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The defendants submit actual proof that chronic back pain would have occurred in the absence of the accidents is not required in order for the assessment of damages to be reduced. They submit it is enough that there is evidence ("ample evidence") of intermittent, episodic back pain problems and pre-existing degenerative disc disease in the lumbar spine. The plaintiff in this case had in fact experienced several episodes of low back problems as a result of his gym activities, his hockey, bending over in an awkward position in the crawl space, and even for undiagnosed triggers which were treated by a chiropractor and which were made worse by activities such as sneezing, bending, and stooping.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I agree with the defendants on this point. There is enough of a history of low back pain incidents to establish a "measurable risk" or a "realistic chance" that the plaintiff would have experienced further symptomology and that he was subject to the risk of future re-injury, whether triggered by incidents in his work, recreational activities or otherwise. Dr. Leung admitted on cross-examination that the risk of disc rupture was present even without the motor vehicle accidents. Dr. O'connor likewise opined that the plaintiff "was still at increased risk of re-injury even had the accident not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I therefore find the evidence establishes a realistic chance that the plaintiff would have suffered further intermittent episodes of back injury had the accidents not occurred and, indeed, there was similar realistic chance that any such back pain symptomology might have become chronic. A more difficult question is the amount by which the assessment of the plaintiff's damages should be reduced on that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xml:space="preserve">  The defendant submits the appropriate damages reduction on account of the plaintiff's pre-existing back condition should be 25% and rely in particular on the case </w:t>
      </w:r>
      <w:r>
        <w:rPr>
          <w:rFonts w:ascii="arial" w:eastAsia="arial" w:hAnsi="arial" w:cs="arial"/>
          <w:i/>
          <w:color w:val="000000"/>
          <w:sz w:val="20"/>
          <w:lang w:val="en-US" w:eastAsia="en-US" w:bidi="ar-SA"/>
        </w:rPr>
        <w:t>Hooiveld v. Van Biert</w:t>
      </w:r>
      <w:r>
        <w:rPr>
          <w:rFonts w:ascii="arial" w:eastAsia="arial" w:hAnsi="arial" w:cs="arial"/>
          <w:color w:val="000000"/>
          <w:sz w:val="20"/>
          <w:lang w:val="en-US" w:eastAsia="en-US" w:bidi="ar-SA"/>
        </w:rPr>
        <w:t xml:space="preserve">, </w:t>
      </w:r>
      <w:hyperlink r:id="rId693" w:history="1">
        <w:r>
          <w:rPr>
            <w:rFonts w:ascii="arial" w:eastAsia="arial" w:hAnsi="arial" w:cs="arial"/>
            <w:i/>
            <w:color w:val="0077CC"/>
            <w:sz w:val="20"/>
            <w:u w:val="single"/>
            <w:shd w:val="clear" w:color="auto" w:fill="FFFFFF"/>
            <w:lang w:val="en-US" w:eastAsia="en-US" w:bidi="ar-SA"/>
          </w:rPr>
          <w:t>1993 CanLII 1753</w:t>
        </w:r>
      </w:hyperlink>
      <w:r>
        <w:rPr>
          <w:rFonts w:ascii="arial" w:eastAsia="arial" w:hAnsi="arial" w:cs="arial"/>
          <w:color w:val="000000"/>
          <w:sz w:val="20"/>
          <w:lang w:val="en-US" w:eastAsia="en-US" w:bidi="ar-SA"/>
        </w:rPr>
        <w:t xml:space="preserve"> where the Court of Appeal imposed such a reduction in a case where the accident transformed a condition of previous intermittent back problems into one causing constant pain. Reference was also made to the discounts in </w:t>
      </w:r>
      <w:r>
        <w:rPr>
          <w:rFonts w:ascii="arial" w:eastAsia="arial" w:hAnsi="arial" w:cs="arial"/>
          <w:i/>
          <w:color w:val="000000"/>
          <w:sz w:val="20"/>
          <w:lang w:val="en-US" w:eastAsia="en-US" w:bidi="ar-SA"/>
        </w:rPr>
        <w:t>Bouchard v. Brown Bros.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(20%); </w:t>
      </w:r>
      <w:r>
        <w:rPr>
          <w:rFonts w:ascii="arial" w:eastAsia="arial" w:hAnsi="arial" w:cs="arial"/>
          <w:i/>
          <w:color w:val="000000"/>
          <w:sz w:val="20"/>
          <w:lang w:val="en-US" w:eastAsia="en-US" w:bidi="ar-SA"/>
        </w:rPr>
        <w:t>Zacharias v. Leys</w:t>
      </w:r>
      <w:r>
        <w:rPr>
          <w:rFonts w:ascii="arial" w:eastAsia="arial" w:hAnsi="arial" w:cs="arial"/>
          <w:color w:val="000000"/>
          <w:sz w:val="20"/>
          <w:lang w:val="en-US" w:eastAsia="en-US" w:bidi="ar-SA"/>
        </w:rPr>
        <w:t xml:space="preserve">, </w:t>
      </w:r>
      <w:hyperlink r:id="rId689" w:history="1">
        <w:r>
          <w:rPr>
            <w:rFonts w:ascii="arial" w:eastAsia="arial" w:hAnsi="arial" w:cs="arial"/>
            <w:i/>
            <w:color w:val="0077CC"/>
            <w:sz w:val="20"/>
            <w:u w:val="single"/>
            <w:shd w:val="clear" w:color="auto" w:fill="FFFFFF"/>
            <w:lang w:val="en-US" w:eastAsia="en-US" w:bidi="ar-SA"/>
          </w:rPr>
          <w:t>2005 BCCA 560</w:t>
        </w:r>
      </w:hyperlink>
      <w:r>
        <w:rPr>
          <w:rFonts w:ascii="arial" w:eastAsia="arial" w:hAnsi="arial" w:cs="arial"/>
          <w:color w:val="000000"/>
          <w:sz w:val="20"/>
          <w:lang w:val="en-US" w:eastAsia="en-US" w:bidi="ar-SA"/>
        </w:rPr>
        <w:t xml:space="preserve"> (25%); and </w:t>
      </w:r>
      <w:r>
        <w:rPr>
          <w:rFonts w:ascii="arial" w:eastAsia="arial" w:hAnsi="arial" w:cs="arial"/>
          <w:i/>
          <w:color w:val="000000"/>
          <w:sz w:val="20"/>
          <w:lang w:val="en-US" w:eastAsia="en-US" w:bidi="ar-SA"/>
        </w:rPr>
        <w:t>Fuchser v. Willson</w:t>
      </w:r>
      <w:r>
        <w:rPr>
          <w:rFonts w:ascii="arial" w:eastAsia="arial" w:hAnsi="arial" w:cs="arial"/>
          <w:color w:val="000000"/>
          <w:sz w:val="20"/>
          <w:lang w:val="en-US" w:eastAsia="en-US" w:bidi="ar-SA"/>
        </w:rPr>
        <w:t xml:space="preserve">, </w:t>
      </w:r>
      <w:hyperlink r:id="rId694" w:history="1">
        <w:r>
          <w:rPr>
            <w:rFonts w:ascii="arial" w:eastAsia="arial" w:hAnsi="arial" w:cs="arial"/>
            <w:i/>
            <w:color w:val="0077CC"/>
            <w:sz w:val="20"/>
            <w:u w:val="single"/>
            <w:shd w:val="clear" w:color="auto" w:fill="FFFFFF"/>
            <w:lang w:val="en-US" w:eastAsia="en-US" w:bidi="ar-SA"/>
          </w:rPr>
          <w:t>2012 BCSC 176</w:t>
        </w:r>
      </w:hyperlink>
      <w:r>
        <w:rPr>
          <w:rFonts w:ascii="arial" w:eastAsia="arial" w:hAnsi="arial" w:cs="arial"/>
          <w:color w:val="000000"/>
          <w:sz w:val="20"/>
          <w:lang w:val="en-US" w:eastAsia="en-US" w:bidi="ar-SA"/>
        </w:rPr>
        <w:t xml:space="preserve"> (15%).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xml:space="preserve">  The plaintiff points to </w:t>
      </w:r>
      <w:r>
        <w:rPr>
          <w:rFonts w:ascii="arial" w:eastAsia="arial" w:hAnsi="arial" w:cs="arial"/>
          <w:i/>
          <w:color w:val="000000"/>
          <w:sz w:val="20"/>
          <w:lang w:val="en-US" w:eastAsia="en-US" w:bidi="ar-SA"/>
        </w:rPr>
        <w:t>Johal v. Meyede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and also </w:t>
      </w:r>
      <w:r>
        <w:rPr>
          <w:rFonts w:ascii="arial" w:eastAsia="arial" w:hAnsi="arial" w:cs="arial"/>
          <w:i/>
          <w:color w:val="000000"/>
          <w:sz w:val="20"/>
          <w:lang w:val="en-US" w:eastAsia="en-US" w:bidi="ar-SA"/>
        </w:rPr>
        <w:t>Eblaghie v. Lee</w:t>
      </w:r>
      <w:r>
        <w:rPr>
          <w:rFonts w:ascii="arial" w:eastAsia="arial" w:hAnsi="arial" w:cs="arial"/>
          <w:color w:val="000000"/>
          <w:sz w:val="20"/>
          <w:lang w:val="en-US" w:eastAsia="en-US" w:bidi="ar-SA"/>
        </w:rPr>
        <w:t xml:space="preserve">, </w:t>
      </w:r>
      <w:hyperlink r:id="rId695" w:history="1">
        <w:r>
          <w:rPr>
            <w:rFonts w:ascii="arial" w:eastAsia="arial" w:hAnsi="arial" w:cs="arial"/>
            <w:i/>
            <w:color w:val="0077CC"/>
            <w:sz w:val="20"/>
            <w:u w:val="single"/>
            <w:shd w:val="clear" w:color="auto" w:fill="FFFFFF"/>
            <w:lang w:val="en-US" w:eastAsia="en-US" w:bidi="ar-SA"/>
          </w:rPr>
          <w:t>2010 BCSC 703</w:t>
        </w:r>
      </w:hyperlink>
      <w:r>
        <w:rPr>
          <w:rFonts w:ascii="arial" w:eastAsia="arial" w:hAnsi="arial" w:cs="arial"/>
          <w:color w:val="000000"/>
          <w:sz w:val="20"/>
          <w:lang w:val="en-US" w:eastAsia="en-US" w:bidi="ar-SA"/>
        </w:rPr>
        <w:t xml:space="preserve"> as examples where the medical evidence did not support that the plaintiff's pre-accident degenerative changes would worsen or be anything other than asymptomatic until well until old age. In both cases no discount was made. The plaintiff also refers to </w:t>
      </w:r>
      <w:r>
        <w:rPr>
          <w:rFonts w:ascii="arial" w:eastAsia="arial" w:hAnsi="arial" w:cs="arial"/>
          <w:i/>
          <w:color w:val="000000"/>
          <w:sz w:val="20"/>
          <w:lang w:val="en-US" w:eastAsia="en-US" w:bidi="ar-SA"/>
        </w:rPr>
        <w:t>Bouchard v. Brown Bros.</w:t>
      </w:r>
      <w:r>
        <w:rPr>
          <w:rFonts w:ascii="arial" w:eastAsia="arial" w:hAnsi="arial" w:cs="arial"/>
          <w:color w:val="000000"/>
          <w:sz w:val="20"/>
          <w:lang w:val="en-US" w:eastAsia="en-US" w:bidi="ar-SA"/>
        </w:rPr>
        <w:t xml:space="preserve"> where the Court of Appeal made a 20% reduction, but distinguishes that case on the basis that there has been no evidence of further deterioration in Mr. Hoy's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xml:space="preserve">  I have already found that there was a realistic chance Mr. Hoy would have suffered ongoing episodes of back pain and that he was at risk of re-injury such that the development of possibly chronic pain symptomology might have occurred. A reduction in the damages to be assessed is therefore warranted. Bearing in mind the plaintiff's excellent physical conditioning before the accidents and also bearing in mind the caution urged by the Court of Appeal in the </w:t>
      </w:r>
      <w:r>
        <w:rPr>
          <w:rFonts w:ascii="arial" w:eastAsia="arial" w:hAnsi="arial" w:cs="arial"/>
          <w:i/>
          <w:color w:val="000000"/>
          <w:sz w:val="20"/>
          <w:lang w:val="en-US" w:eastAsia="en-US" w:bidi="ar-SA"/>
        </w:rPr>
        <w:t>Bouchard v. Brown Bros.</w:t>
      </w:r>
      <w:r>
        <w:rPr>
          <w:rFonts w:ascii="arial" w:eastAsia="arial" w:hAnsi="arial" w:cs="arial"/>
          <w:color w:val="000000"/>
          <w:sz w:val="20"/>
          <w:lang w:val="en-US" w:eastAsia="en-US" w:bidi="ar-SA"/>
        </w:rPr>
        <w:t xml:space="preserve"> case,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(more specifically discussed at para. 117 above), I find on all of the evidence that a fair and appropriate reduction in the plaintiff's damages to reflect his pre-existing low back problems would be 15%. The parties are agreed that this discount applies only to any awards of general non-pecuniary damages, as well as damages for future loss of income earning capacity and the 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Non-Pecuniary General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Non-pecuniary general damages are intended to compensate the injured party for pain and suffering, loss of enjoyment of life, loss of amenities. The compensation awarded should be fair to all parties, and fairness is often measured against awards made in comparable cases. Such cases, though helpful, serve only as a rough guide as each case depends on its own unique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xml:space="preserve">  A useful, often cited, list of factors that may influence an award of this type of damages can be found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512"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and includes:</w:t>
      </w:r>
      <w:r>
        <w:rPr>
          <w:rFonts w:ascii="arial" w:eastAsia="arial" w:hAnsi="arial" w:cs="arial"/>
          <w:sz w:val="20"/>
          <w:lang w:val="en-US" w:eastAsia="en-US" w:bidi="ar-SA"/>
        </w:rPr>
        <w:cr/>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age of the plaintiff;</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nature of the injury;</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severity and duration of pain;</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disability;</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emotional suffering; and</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or impairment of life;</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family, marital and social relationships;</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physical and mental abilities;</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lifestyle; and</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stoicism (as a factor that should not, generally speaking, penalize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xml:space="preserve">  In the present case, the plaintiff seeks non-pecuniary damages of $85,000 to $95,000 and relies on the following cases: </w:t>
      </w:r>
      <w:r>
        <w:rPr>
          <w:rFonts w:ascii="arial" w:eastAsia="arial" w:hAnsi="arial" w:cs="arial"/>
          <w:i/>
          <w:color w:val="000000"/>
          <w:sz w:val="20"/>
          <w:lang w:val="en-US" w:eastAsia="en-US" w:bidi="ar-SA"/>
        </w:rPr>
        <w:t>Clark v. Kouba</w:t>
      </w:r>
      <w:r>
        <w:rPr>
          <w:rFonts w:ascii="arial" w:eastAsia="arial" w:hAnsi="arial" w:cs="arial"/>
          <w:color w:val="000000"/>
          <w:sz w:val="20"/>
          <w:lang w:val="en-US" w:eastAsia="en-US" w:bidi="ar-SA"/>
        </w:rPr>
        <w:t xml:space="preserve">, </w:t>
      </w:r>
      <w:hyperlink r:id="rId696" w:history="1">
        <w:r>
          <w:rPr>
            <w:rFonts w:ascii="arial" w:eastAsia="arial" w:hAnsi="arial" w:cs="arial"/>
            <w:i/>
            <w:color w:val="0077CC"/>
            <w:sz w:val="20"/>
            <w:u w:val="single"/>
            <w:shd w:val="clear" w:color="auto" w:fill="FFFFFF"/>
            <w:lang w:val="en-US" w:eastAsia="en-US" w:bidi="ar-SA"/>
          </w:rPr>
          <w:t>2012 BCSC 1607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Paller v. Regan</w:t>
      </w:r>
      <w:r>
        <w:rPr>
          <w:rFonts w:ascii="arial" w:eastAsia="arial" w:hAnsi="arial" w:cs="arial"/>
          <w:color w:val="000000"/>
          <w:sz w:val="20"/>
          <w:lang w:val="en-US" w:eastAsia="en-US" w:bidi="ar-SA"/>
        </w:rPr>
        <w:t xml:space="preserve">, </w:t>
      </w:r>
      <w:hyperlink r:id="rId697" w:history="1">
        <w:r>
          <w:rPr>
            <w:rFonts w:ascii="arial" w:eastAsia="arial" w:hAnsi="arial" w:cs="arial"/>
            <w:i/>
            <w:color w:val="0077CC"/>
            <w:sz w:val="20"/>
            <w:u w:val="single"/>
            <w:shd w:val="clear" w:color="auto" w:fill="FFFFFF"/>
            <w:lang w:val="en-US" w:eastAsia="en-US" w:bidi="ar-SA"/>
          </w:rPr>
          <w:t>2013 BCSC 1672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Johal v. Meyede</w:t>
      </w:r>
      <w:r>
        <w:rPr>
          <w:rFonts w:ascii="arial" w:eastAsia="arial" w:hAnsi="arial" w:cs="arial"/>
          <w:color w:val="000000"/>
          <w:sz w:val="20"/>
          <w:lang w:val="en-US" w:eastAsia="en-US" w:bidi="ar-SA"/>
        </w:rPr>
        <w:t xml:space="preserve">, </w:t>
      </w:r>
      <w:hyperlink r:id="rId698" w:history="1">
        <w:r>
          <w:rPr>
            <w:rFonts w:ascii="arial" w:eastAsia="arial" w:hAnsi="arial" w:cs="arial"/>
            <w:i/>
            <w:color w:val="0077CC"/>
            <w:sz w:val="20"/>
            <w:u w:val="single"/>
            <w:shd w:val="clear" w:color="auto" w:fill="FFFFFF"/>
            <w:lang w:val="en-US" w:eastAsia="en-US" w:bidi="ar-SA"/>
          </w:rPr>
          <w:t>2013 BCSC 2381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Grigor v. Johal</w:t>
      </w:r>
      <w:r>
        <w:rPr>
          <w:rFonts w:ascii="arial" w:eastAsia="arial" w:hAnsi="arial" w:cs="arial"/>
          <w:color w:val="000000"/>
          <w:sz w:val="20"/>
          <w:lang w:val="en-US" w:eastAsia="en-US" w:bidi="ar-SA"/>
        </w:rPr>
        <w:t xml:space="preserve">, </w:t>
      </w:r>
      <w:hyperlink r:id="rId699" w:history="1">
        <w:r>
          <w:rPr>
            <w:rFonts w:ascii="arial" w:eastAsia="arial" w:hAnsi="arial" w:cs="arial"/>
            <w:i/>
            <w:color w:val="0077CC"/>
            <w:sz w:val="20"/>
            <w:u w:val="single"/>
            <w:shd w:val="clear" w:color="auto" w:fill="FFFFFF"/>
            <w:lang w:val="en-US" w:eastAsia="en-US" w:bidi="ar-SA"/>
          </w:rPr>
          <w:t>2008 BCSC 1823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xml:space="preserve">  The defendants submit that the appropriate assessment of the plaintiff's non-pecuniary damages in this case would be $80,000 before any reduction to account for his pre-existing condition. In addition to the </w:t>
      </w:r>
      <w:r>
        <w:rPr>
          <w:rFonts w:ascii="arial" w:eastAsia="arial" w:hAnsi="arial" w:cs="arial"/>
          <w:i/>
          <w:color w:val="000000"/>
          <w:sz w:val="20"/>
          <w:lang w:val="en-US" w:eastAsia="en-US" w:bidi="ar-SA"/>
        </w:rPr>
        <w:t>Paller v. Regan</w:t>
      </w:r>
      <w:r>
        <w:rPr>
          <w:rFonts w:ascii="arial" w:eastAsia="arial" w:hAnsi="arial" w:cs="arial"/>
          <w:color w:val="000000"/>
          <w:sz w:val="20"/>
          <w:lang w:val="en-US" w:eastAsia="en-US" w:bidi="ar-SA"/>
        </w:rPr>
        <w:t xml:space="preserve"> case,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the defendants cite a number of cases involving adult males with similar injuries including </w:t>
      </w:r>
      <w:r>
        <w:rPr>
          <w:rFonts w:ascii="arial" w:eastAsia="arial" w:hAnsi="arial" w:cs="arial"/>
          <w:i/>
          <w:color w:val="000000"/>
          <w:sz w:val="20"/>
          <w:lang w:val="en-US" w:eastAsia="en-US" w:bidi="ar-SA"/>
        </w:rPr>
        <w:t>Bradshaw v. Matwick</w:t>
      </w:r>
      <w:r>
        <w:rPr>
          <w:rFonts w:ascii="arial" w:eastAsia="arial" w:hAnsi="arial" w:cs="arial"/>
          <w:color w:val="000000"/>
          <w:sz w:val="20"/>
          <w:lang w:val="en-US" w:eastAsia="en-US" w:bidi="ar-SA"/>
        </w:rPr>
        <w:t xml:space="preserve">, </w:t>
      </w:r>
      <w:hyperlink r:id="rId700" w:history="1">
        <w:r>
          <w:rPr>
            <w:rFonts w:ascii="arial" w:eastAsia="arial" w:hAnsi="arial" w:cs="arial"/>
            <w:i/>
            <w:color w:val="0077CC"/>
            <w:sz w:val="20"/>
            <w:u w:val="single"/>
            <w:shd w:val="clear" w:color="auto" w:fill="FFFFFF"/>
            <w:lang w:val="en-US" w:eastAsia="en-US" w:bidi="ar-SA"/>
          </w:rPr>
          <w:t>2009 BCSC 564</w:t>
        </w:r>
      </w:hyperlink>
      <w:r>
        <w:rPr>
          <w:rFonts w:ascii="arial" w:eastAsia="arial" w:hAnsi="arial" w:cs="arial"/>
          <w:color w:val="000000"/>
          <w:sz w:val="20"/>
          <w:lang w:val="en-US" w:eastAsia="en-US" w:bidi="ar-SA"/>
        </w:rPr>
        <w:t xml:space="preserve"> (varied on appeal on other grounds </w:t>
      </w:r>
      <w:hyperlink r:id="rId701" w:history="1">
        <w:r>
          <w:rPr>
            <w:rFonts w:ascii="arial" w:eastAsia="arial" w:hAnsi="arial" w:cs="arial"/>
            <w:i/>
            <w:color w:val="0077CC"/>
            <w:sz w:val="20"/>
            <w:u w:val="single"/>
            <w:shd w:val="clear" w:color="auto" w:fill="FFFFFF"/>
            <w:lang w:val="en-US" w:eastAsia="en-US" w:bidi="ar-SA"/>
          </w:rPr>
          <w:t>2011 BCCA 111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Esau v. Myles</w:t>
      </w:r>
      <w:r>
        <w:rPr>
          <w:rFonts w:ascii="arial" w:eastAsia="arial" w:hAnsi="arial" w:cs="arial"/>
          <w:color w:val="000000"/>
          <w:sz w:val="20"/>
          <w:lang w:val="en-US" w:eastAsia="en-US" w:bidi="ar-SA"/>
        </w:rPr>
        <w:t xml:space="preserve">, </w:t>
      </w:r>
      <w:hyperlink r:id="rId702" w:history="1">
        <w:r>
          <w:rPr>
            <w:rFonts w:ascii="arial" w:eastAsia="arial" w:hAnsi="arial" w:cs="arial"/>
            <w:i/>
            <w:color w:val="0077CC"/>
            <w:sz w:val="20"/>
            <w:u w:val="single"/>
            <w:shd w:val="clear" w:color="auto" w:fill="FFFFFF"/>
            <w:lang w:val="en-US" w:eastAsia="en-US" w:bidi="ar-SA"/>
          </w:rPr>
          <w:t>2010 BCSC 43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Wiener v. Ralla</w:t>
      </w:r>
      <w:r>
        <w:rPr>
          <w:rFonts w:ascii="arial" w:eastAsia="arial" w:hAnsi="arial" w:cs="arial"/>
          <w:color w:val="000000"/>
          <w:sz w:val="20"/>
          <w:lang w:val="en-US" w:eastAsia="en-US" w:bidi="ar-SA"/>
        </w:rPr>
        <w:t xml:space="preserve">, </w:t>
      </w:r>
      <w:hyperlink r:id="rId703" w:history="1">
        <w:r>
          <w:rPr>
            <w:rFonts w:ascii="arial" w:eastAsia="arial" w:hAnsi="arial" w:cs="arial"/>
            <w:i/>
            <w:color w:val="0077CC"/>
            <w:sz w:val="20"/>
            <w:u w:val="single"/>
            <w:shd w:val="clear" w:color="auto" w:fill="FFFFFF"/>
            <w:lang w:val="en-US" w:eastAsia="en-US" w:bidi="ar-SA"/>
          </w:rPr>
          <w:t>2009 BCSC 1743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Trites v. Penner</w:t>
      </w:r>
      <w:r>
        <w:rPr>
          <w:rFonts w:ascii="arial" w:eastAsia="arial" w:hAnsi="arial" w:cs="arial"/>
          <w:color w:val="000000"/>
          <w:sz w:val="20"/>
          <w:lang w:val="en-US" w:eastAsia="en-US" w:bidi="ar-SA"/>
        </w:rPr>
        <w:t xml:space="preserve">, </w:t>
      </w:r>
      <w:hyperlink r:id="rId511" w:history="1">
        <w:r>
          <w:rPr>
            <w:rFonts w:ascii="arial" w:eastAsia="arial" w:hAnsi="arial" w:cs="arial"/>
            <w:i/>
            <w:color w:val="0077CC"/>
            <w:sz w:val="20"/>
            <w:u w:val="single"/>
            <w:shd w:val="clear" w:color="auto" w:fill="FFFFFF"/>
            <w:lang w:val="en-US" w:eastAsia="en-US" w:bidi="ar-SA"/>
          </w:rPr>
          <w:t>2010 BCSC 882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Demarzo v. Michaud</w:t>
      </w:r>
      <w:r>
        <w:rPr>
          <w:rFonts w:ascii="arial" w:eastAsia="arial" w:hAnsi="arial" w:cs="arial"/>
          <w:color w:val="000000"/>
          <w:sz w:val="20"/>
          <w:lang w:val="en-US" w:eastAsia="en-US" w:bidi="ar-SA"/>
        </w:rPr>
        <w:t xml:space="preserve">, </w:t>
      </w:r>
      <w:hyperlink r:id="rId704" w:history="1">
        <w:r>
          <w:rPr>
            <w:rFonts w:ascii="arial" w:eastAsia="arial" w:hAnsi="arial" w:cs="arial"/>
            <w:i/>
            <w:color w:val="0077CC"/>
            <w:sz w:val="20"/>
            <w:u w:val="single"/>
            <w:shd w:val="clear" w:color="auto" w:fill="FFFFFF"/>
            <w:lang w:val="en-US" w:eastAsia="en-US" w:bidi="ar-SA"/>
          </w:rPr>
          <w:t>2010 BCSC 255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Doho v. Melnikova</w:t>
      </w:r>
      <w:r>
        <w:rPr>
          <w:rFonts w:ascii="arial" w:eastAsia="arial" w:hAnsi="arial" w:cs="arial"/>
          <w:color w:val="000000"/>
          <w:sz w:val="20"/>
          <w:lang w:val="en-US" w:eastAsia="en-US" w:bidi="ar-SA"/>
        </w:rPr>
        <w:t xml:space="preserve">, </w:t>
      </w:r>
      <w:hyperlink r:id="rId705" w:history="1">
        <w:r>
          <w:rPr>
            <w:rFonts w:ascii="arial" w:eastAsia="arial" w:hAnsi="arial" w:cs="arial"/>
            <w:i/>
            <w:color w:val="0077CC"/>
            <w:sz w:val="20"/>
            <w:u w:val="single"/>
            <w:shd w:val="clear" w:color="auto" w:fill="FFFFFF"/>
            <w:lang w:val="en-US" w:eastAsia="en-US" w:bidi="ar-SA"/>
          </w:rPr>
          <w:t>2011 BCSC 703</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Ng v. Sarkaria</w:t>
      </w:r>
      <w:r>
        <w:rPr>
          <w:rFonts w:ascii="arial" w:eastAsia="arial" w:hAnsi="arial" w:cs="arial"/>
          <w:color w:val="000000"/>
          <w:sz w:val="20"/>
          <w:lang w:val="en-US" w:eastAsia="en-US" w:bidi="ar-SA"/>
        </w:rPr>
        <w:t xml:space="preserve">, </w:t>
      </w:r>
      <w:hyperlink r:id="rId706" w:history="1">
        <w:r>
          <w:rPr>
            <w:rFonts w:ascii="arial" w:eastAsia="arial" w:hAnsi="arial" w:cs="arial"/>
            <w:i/>
            <w:color w:val="0077CC"/>
            <w:sz w:val="20"/>
            <w:u w:val="single"/>
            <w:shd w:val="clear" w:color="auto" w:fill="FFFFFF"/>
            <w:lang w:val="en-US" w:eastAsia="en-US" w:bidi="ar-SA"/>
          </w:rPr>
          <w:t>2011 BCSC 1643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xml:space="preserve">  I have read each of these cases and noted the similarities with the present case. In this case, rather uniquely, the parties are only $5,000 apart in their respective valuations of this aspect of the claim and there is little point in articulating lengthy reasons for picking one number over another. Suffice it to say in these circumstances that after having read the case law and considered each of the factors mentioned in the </w:t>
      </w:r>
      <w:r>
        <w:rPr>
          <w:rFonts w:ascii="arial" w:eastAsia="arial" w:hAnsi="arial" w:cs="arial"/>
          <w:i/>
          <w:color w:val="000000"/>
          <w:sz w:val="20"/>
          <w:lang w:val="en-US" w:eastAsia="en-US" w:bidi="ar-SA"/>
        </w:rPr>
        <w:t>Stapley</w:t>
      </w:r>
      <w:r>
        <w:rPr>
          <w:rFonts w:ascii="arial" w:eastAsia="arial" w:hAnsi="arial" w:cs="arial"/>
          <w:color w:val="000000"/>
          <w:sz w:val="20"/>
          <w:lang w:val="en-US" w:eastAsia="en-US" w:bidi="ar-SA"/>
        </w:rPr>
        <w:t xml:space="preserve"> case as applied to the plaintiffs particular circumstances, I assess the plaintiff's non-pecuniary general damages in this case in the amount of $85,000 before any reduction to account for his pre-existing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Past Loss of Income and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xml:space="preserve">  The parties have agreed that the plaintiff's past loss of income as a firefighter with the Port Coquitlam Fire Department as a result of this accident is the net amount $16,520. I am also advised that the parties have agreed that other special damages attributable to the accident amount to $2,191.86. I therefore award these amounts as special damages in this case. Neither award is subject to any discount for the plaintiff's pre-existing condition and both will attract interest in accordance with the provisions of the </w:t>
      </w:r>
      <w:r>
        <w:rPr>
          <w:rFonts w:ascii="arial" w:eastAsia="arial" w:hAnsi="arial" w:cs="arial"/>
          <w:i/>
          <w:color w:val="000000"/>
          <w:sz w:val="20"/>
          <w:lang w:val="en-US" w:eastAsia="en-US" w:bidi="ar-SA"/>
        </w:rPr>
        <w:t>Court Order Interest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79</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As noted above, the plaintiff had a side-job as a mortgage broker in addition to his fulltime occupation as a firefighter. The defendants acknowledge liability for the plaintiff's past loss of net income due to his absence from work as a firefighter. However, there is a dispute between the parties as to the existence and quantum of any past loss of income that would otherwise have been derived from the plaintiff's side-job as a mortgage broker.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With respect to claims for future loss of earning capacity, the defendants acknowledge some exposure as it pertains to the plaintiff's firefighting occupation but again dispute liability for any such loss of capacity pertaining to the plaintiff's ability to engage in side-jobs, whether as a mortgage broker or otherwise.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xml:space="preserve">  During argument, the plaintiff accepted that if the plaintiff's medical problems during the accident were at least one factor in the plaintiff's decision to cease his employment as a mortgage broker, then causation/liability is proved under the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test, albeit that the quantum of the loss remains in issue. In that regard, the defendants deny the plaintiff's medical condition had any role in his decision to cease work as a mortgage broker but rather assert the decision was triggered by the demands of the rapidly expanding family as well as the undertaking of additional course work necessary for advancement within the fire department. Even if causation is proved, the defendants' claim these latter two factors mean the plaintiff would have had less time to devote to any activity as a mortgage broker and that any loss of income earning capacity should be substantially discounted on that 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Past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xml:space="preserve">  Compensation for past loss of earning capacity is to be based on what the plaintiff would have, not could have, earned but for the injury that was sustained: </w:t>
      </w:r>
      <w:r>
        <w:rPr>
          <w:rFonts w:ascii="arial" w:eastAsia="arial" w:hAnsi="arial" w:cs="arial"/>
          <w:i/>
          <w:color w:val="000000"/>
          <w:sz w:val="20"/>
          <w:lang w:val="en-US" w:eastAsia="en-US" w:bidi="ar-SA"/>
        </w:rPr>
        <w:t>Rowe v. Bobell Express Ltd.</w:t>
      </w:r>
      <w:r>
        <w:rPr>
          <w:rFonts w:ascii="arial" w:eastAsia="arial" w:hAnsi="arial" w:cs="arial"/>
          <w:color w:val="000000"/>
          <w:sz w:val="20"/>
          <w:lang w:val="en-US" w:eastAsia="en-US" w:bidi="ar-SA"/>
        </w:rPr>
        <w:t xml:space="preserve">, </w:t>
      </w:r>
      <w:hyperlink r:id="rId524" w:history="1">
        <w:r>
          <w:rPr>
            <w:rFonts w:ascii="arial" w:eastAsia="arial" w:hAnsi="arial" w:cs="arial"/>
            <w:i/>
            <w:color w:val="0077CC"/>
            <w:sz w:val="20"/>
            <w:u w:val="single"/>
            <w:shd w:val="clear" w:color="auto" w:fill="FFFFFF"/>
            <w:lang w:val="en-US" w:eastAsia="en-US" w:bidi="ar-SA"/>
          </w:rPr>
          <w:t>2005 BCCA 141</w:t>
        </w:r>
      </w:hyperlink>
      <w:r>
        <w:rPr>
          <w:rFonts w:ascii="arial" w:eastAsia="arial" w:hAnsi="arial" w:cs="arial"/>
          <w:color w:val="000000"/>
          <w:sz w:val="20"/>
          <w:lang w:val="en-US" w:eastAsia="en-US" w:bidi="ar-SA"/>
        </w:rPr>
        <w:t xml:space="preserve"> at para. 30;</w:t>
      </w:r>
      <w:r>
        <w:rPr>
          <w:rFonts w:ascii="arial" w:eastAsia="arial" w:hAnsi="arial" w:cs="arial"/>
          <w:i/>
          <w:color w:val="000000"/>
          <w:sz w:val="20"/>
          <w:lang w:val="en-US" w:eastAsia="en-US" w:bidi="ar-SA"/>
        </w:rPr>
        <w:t xml:space="preserve"> M.B. v. British Columbia</w:t>
      </w:r>
      <w:r>
        <w:rPr>
          <w:rFonts w:ascii="arial" w:eastAsia="arial" w:hAnsi="arial" w:cs="arial"/>
          <w:color w:val="000000"/>
          <w:sz w:val="20"/>
          <w:lang w:val="en-US" w:eastAsia="en-US" w:bidi="ar-SA"/>
        </w:rPr>
        <w:t xml:space="preserve">, </w:t>
      </w:r>
      <w:hyperlink r:id="rId525" w:history="1">
        <w:r>
          <w:rPr>
            <w:rFonts w:ascii="arial" w:eastAsia="arial" w:hAnsi="arial" w:cs="arial"/>
            <w:i/>
            <w:color w:val="0077CC"/>
            <w:sz w:val="20"/>
            <w:u w:val="single"/>
            <w:shd w:val="clear" w:color="auto" w:fill="FFFFFF"/>
            <w:lang w:val="en-US" w:eastAsia="en-US" w:bidi="ar-SA"/>
          </w:rPr>
          <w:t>2003 SCC 53</w:t>
        </w:r>
      </w:hyperlink>
      <w:r>
        <w:rPr>
          <w:rFonts w:ascii="arial" w:eastAsia="arial" w:hAnsi="arial" w:cs="arial"/>
          <w:color w:val="000000"/>
          <w:sz w:val="20"/>
          <w:lang w:val="en-US" w:eastAsia="en-US" w:bidi="ar-SA"/>
        </w:rPr>
        <w:t xml:space="preserve"> at para. 49. The burden of proof of actual past events is a balance of probabilities. An assessment of loss of both past and future earning capacity involves consideration of hypothetical events. The plaintiff is not required to prove these hypothetical events on a balance of probabilities. The future or hypothetical possibility will be taken into consideration as long as it is a real and substantial possibility and not mere speculation: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at para. 27; </w:t>
      </w:r>
      <w:r>
        <w:rPr>
          <w:rFonts w:ascii="arial" w:eastAsia="arial" w:hAnsi="arial" w:cs="arial"/>
          <w:i/>
          <w:color w:val="000000"/>
          <w:sz w:val="20"/>
          <w:lang w:val="en-US" w:eastAsia="en-US" w:bidi="ar-SA"/>
        </w:rPr>
        <w:t>Morlan v. Barrett</w:t>
      </w:r>
      <w:r>
        <w:rPr>
          <w:rFonts w:ascii="arial" w:eastAsia="arial" w:hAnsi="arial" w:cs="arial"/>
          <w:color w:val="000000"/>
          <w:sz w:val="20"/>
          <w:lang w:val="en-US" w:eastAsia="en-US" w:bidi="ar-SA"/>
        </w:rPr>
        <w:t xml:space="preserve">, </w:t>
      </w:r>
      <w:hyperlink r:id="rId707" w:history="1">
        <w:r>
          <w:rPr>
            <w:rFonts w:ascii="arial" w:eastAsia="arial" w:hAnsi="arial" w:cs="arial"/>
            <w:i/>
            <w:color w:val="0077CC"/>
            <w:sz w:val="20"/>
            <w:u w:val="single"/>
            <w:shd w:val="clear" w:color="auto" w:fill="FFFFFF"/>
            <w:lang w:val="en-US" w:eastAsia="en-US" w:bidi="ar-SA"/>
          </w:rPr>
          <w:t>2012 BCCA 66</w:t>
        </w:r>
      </w:hyperlink>
      <w:r>
        <w:rPr>
          <w:rFonts w:ascii="arial" w:eastAsia="arial" w:hAnsi="arial" w:cs="arial"/>
          <w:color w:val="000000"/>
          <w:sz w:val="20"/>
          <w:lang w:val="en-US" w:eastAsia="en-US" w:bidi="ar-SA"/>
        </w:rPr>
        <w:t xml:space="preserve"> at para. 38.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Earlier in these reasons I referred to the plaintiff's testimony as to why he gave up his side-job as a mortgage broker. I accept that testimony and find that although the plaintiff tried to return to that work he was simply unable to do it. He was mentally worn down by the constant pain and fatigue as well as the attempts at rehabilitation. As he says, "the side-job had to go", so he could first concentrate on his firefighting employment as well as his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In these circumstances, it is clear that the plaintiff's medical difficulties following the motor vehicle accidents was at least one factor in his decision to quit his side-job as a mortgage broker. The defendants are therefore liable to compensate for the plaintiff's past loss of earning capacity in that regard, whether measured with reference to his earnings from that position or otherwise. The contentious issue is how the damages should be assessed under this heading.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The plaintiff concedes that even if the accident had not occurred, he would have been busy with his firefighting job, his young family and his course work. He claims, however, he would have continued with the mortgage broker work had he not been in the accident for several reasons; he always liked to keep busy, the work was very flexible in terms of time commitments, and the family could use the additional income. Both the plaintiff and his wife testified it was their plan that the plaintiff would continue with the side-job.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While paying lip service to the notion of assessing and not calculating damages, the plaintiff nevertheless posits a rather mathematical approach to the assessment of this portion of his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Mr. Hoy obtained his license as a mortgage broker in late 2007. He testified that he did about five or six deals in 2008 and eight or nine transactions in 2009. The following table summarizes the gross and net income earned by the plaintiff from his work as a mortgage broker: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1987"/>
        <w:gridCol w:w="1987"/>
        <w:gridCol w:w="1673"/>
        <w:gridCol w:w="1673"/>
        <w:gridCol w:w="25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Year</w:t>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2008</w:t>
            </w:r>
          </w:p>
        </w:tc>
        <w:tc>
          <w:tcPr>
            <w:tcW w:w="163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2009</w:t>
            </w:r>
          </w:p>
        </w:tc>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2010</w:t>
            </w:r>
          </w:p>
        </w:tc>
        <w:tc>
          <w:tcPr>
            <w:tcW w:w="245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569"/>
        <w:gridCol w:w="1778"/>
        <w:gridCol w:w="1882"/>
        <w:gridCol w:w="1882"/>
        <w:gridCol w:w="2718"/>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53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Commission</w:t>
            </w:r>
          </w:p>
        </w:tc>
        <w:tc>
          <w:tcPr>
            <w:tcW w:w="174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84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84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66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53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income</w:t>
            </w:r>
          </w:p>
        </w:tc>
        <w:tc>
          <w:tcPr>
            <w:tcW w:w="174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$10,829.00</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$16,928.00</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$2,367.00</w:t>
            </w:r>
          </w:p>
        </w:tc>
        <w:tc>
          <w:tcPr>
            <w:tcW w:w="2662"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8"/>
        <w:gridCol w:w="1464"/>
        <w:gridCol w:w="1882"/>
        <w:gridCol w:w="1882"/>
        <w:gridCol w:w="1882"/>
        <w:gridCol w:w="2718"/>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43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Expenses</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$12,309.00</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$13,460.00</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$3,057.00</w:t>
            </w:r>
          </w:p>
        </w:tc>
        <w:tc>
          <w:tcPr>
            <w:tcW w:w="266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569"/>
        <w:gridCol w:w="1882"/>
        <w:gridCol w:w="1673"/>
        <w:gridCol w:w="1987"/>
        <w:gridCol w:w="2718"/>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53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Net income</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$(1,480.00)</w:t>
            </w:r>
          </w:p>
        </w:tc>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$1,409.00</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$(690.00)</w:t>
            </w:r>
          </w:p>
        </w:tc>
        <w:tc>
          <w:tcPr>
            <w:tcW w:w="266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The plaintiff submits that most of the expenses were of a fixed nature and that while some expenses would increase as the business and resulting commission revenue increased, the two are not directly related. He points to what occurred in 2008 and 2009 where gross revenue increased by approximately $6,000 but expenses increased by only approximately $1,000. The mathematical model provided by counsel assumes annual growth in commission of 25% (less than half the increase between 2008 and 2009), and expenses growing at 10% per annum (as was the case between 2008 and 2009) thereby positing annual net income in 2010 of $6,300 growing to some $21,000 in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I would observe that the arithmetical model is nothing but speculation. There was no evidence led at trial as to the net income earned by part-time brokers generally or by those employed in the plaintiff's own franchise operation.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Not surprisingly, the plaintiff uses similar modeling to illustrate the claim for future loss of income earning capacity. In that regard a table was provided illustrating the actuarially calculated present value of an annual $10,000 loss for periods ending alternatively upon the plaintiff reaching 50, 55, 60 and 65 years of age, thereby generating figures for future loss ranging from $117,000 to $205,000.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Assessing the plaintiff's damages for past loss of earning capacity or past loss of income arising from his side-employment as a mortgage broker is a largely speculative exercise in the circumstances of this case. I accept that the plaintiff and his wife both intended for the plaintiff to continue side-employment, whether as a mortgage broker or otherwise and I accept that even with the time demands of the plaintiff's young family and course work in addition to his regular firefighting employment, the plaintiff could have and would have pursued such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However, I consider the plaintiff's claim of a net income increasing from $1,400 in 2009 to over $20,000 in 2013 to be completely unrealistic. While the evidentiary basis for any past income loss for work outside that of a firefighter is admittedly weak, some award is nonetheless warranted and a fair amount based on the assessment of real and substantial possibilities would be $5,000.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xml:space="preserve">  In argument, plaintiff's counsel conceded that, even though s. 98 of the </w:t>
      </w:r>
      <w:r>
        <w:rPr>
          <w:rFonts w:ascii="arial" w:eastAsia="arial" w:hAnsi="arial" w:cs="arial"/>
          <w:i/>
          <w:color w:val="000000"/>
          <w:sz w:val="20"/>
          <w:lang w:val="en-US" w:eastAsia="en-US" w:bidi="ar-SA"/>
        </w:rPr>
        <w:t>Insurance (Vehicle) Act</w:t>
      </w:r>
      <w:r>
        <w:rPr>
          <w:rFonts w:ascii="arial" w:eastAsia="arial" w:hAnsi="arial" w:cs="arial"/>
          <w:color w:val="000000"/>
          <w:sz w:val="20"/>
          <w:lang w:val="en-US" w:eastAsia="en-US" w:bidi="ar-SA"/>
        </w:rPr>
        <w:t xml:space="preserve"> refers to </w:t>
      </w:r>
      <w:r>
        <w:rPr>
          <w:rFonts w:ascii="arial" w:eastAsia="arial" w:hAnsi="arial" w:cs="arial"/>
          <w:color w:val="000000"/>
          <w:sz w:val="20"/>
          <w:u w:val="single"/>
          <w:lang w:val="en-US" w:eastAsia="en-US" w:bidi="ar-SA"/>
        </w:rPr>
        <w:t>income</w:t>
      </w:r>
      <w:r>
        <w:rPr>
          <w:rFonts w:ascii="arial" w:eastAsia="arial" w:hAnsi="arial" w:cs="arial"/>
          <w:color w:val="000000"/>
          <w:sz w:val="20"/>
          <w:lang w:val="en-US" w:eastAsia="en-US" w:bidi="ar-SA"/>
        </w:rPr>
        <w:t xml:space="preserve"> loss, any award for past loss of earning capacity in this case should also be subjected to the netting process contemplated by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Rather than engaging in the detailed accounting of such a minor amount, I propose to simply fix the net award under this heading in the amount of $3,500.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xml:space="preserve">  A claim for loss of future earning capacity raises two key questions: 1) has the plaintiff's earning capacity been impaired by his or her injuries; and, if so 2) what compensation should be awarded for the resulting financial harm that will accrue over time? The assessment of loss must be based on the evidence, and not an application of a purely mathematical calculation. The appropriate means of assessment will vary from case to case: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533"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Pallos v. Insurance Corp. of British Columbia</w:t>
      </w:r>
      <w:r>
        <w:rPr>
          <w:rFonts w:ascii="arial" w:eastAsia="arial" w:hAnsi="arial" w:cs="arial"/>
          <w:color w:val="000000"/>
          <w:sz w:val="20"/>
          <w:lang w:val="en-US" w:eastAsia="en-US" w:bidi="ar-SA"/>
        </w:rPr>
        <w:t xml:space="preserve"> </w:t>
      </w:r>
      <w:hyperlink r:id="rId708" w:history="1">
        <w:r>
          <w:rPr>
            <w:rFonts w:ascii="arial" w:eastAsia="arial" w:hAnsi="arial" w:cs="arial"/>
            <w:i/>
            <w:color w:val="0077CC"/>
            <w:sz w:val="20"/>
            <w:u w:val="single"/>
            <w:shd w:val="clear" w:color="auto" w:fill="FFFFFF"/>
            <w:lang w:val="en-US" w:eastAsia="en-US" w:bidi="ar-SA"/>
          </w:rPr>
          <w:t>(1995), 100 B.C.L.R. (2d) 260</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Pett v. Pett</w:t>
      </w:r>
      <w:r>
        <w:rPr>
          <w:rFonts w:ascii="arial" w:eastAsia="arial" w:hAnsi="arial" w:cs="arial"/>
          <w:color w:val="000000"/>
          <w:sz w:val="20"/>
          <w:lang w:val="en-US" w:eastAsia="en-US" w:bidi="ar-SA"/>
        </w:rPr>
        <w:t xml:space="preserve">, </w:t>
      </w:r>
      <w:hyperlink r:id="rId635" w:history="1">
        <w:r>
          <w:rPr>
            <w:rFonts w:ascii="arial" w:eastAsia="arial" w:hAnsi="arial" w:cs="arial"/>
            <w:i/>
            <w:color w:val="0077CC"/>
            <w:sz w:val="20"/>
            <w:u w:val="single"/>
            <w:shd w:val="clear" w:color="auto" w:fill="FFFFFF"/>
            <w:lang w:val="en-US" w:eastAsia="en-US" w:bidi="ar-SA"/>
          </w:rPr>
          <w:t>2009 BCCA 232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xml:space="preserve">  The assessment of damages is a matter of judgment, not calculation: </w:t>
      </w: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529"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at para. 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xml:space="preserve">  Insofar as possible, the plaintiff should be put in the position he or she would have been in but for the injuries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Lines v. W &amp; D Logging Co. Ltd.</w:t>
      </w:r>
      <w:r>
        <w:rPr>
          <w:rFonts w:ascii="arial" w:eastAsia="arial" w:hAnsi="arial" w:cs="arial"/>
          <w:color w:val="000000"/>
          <w:sz w:val="20"/>
          <w:lang w:val="en-US" w:eastAsia="en-US" w:bidi="ar-SA"/>
        </w:rPr>
        <w:t xml:space="preserve">, </w:t>
      </w:r>
      <w:hyperlink r:id="rId527" w:history="1">
        <w:r>
          <w:rPr>
            <w:rFonts w:ascii="arial" w:eastAsia="arial" w:hAnsi="arial" w:cs="arial"/>
            <w:i/>
            <w:color w:val="0077CC"/>
            <w:sz w:val="20"/>
            <w:u w:val="single"/>
            <w:shd w:val="clear" w:color="auto" w:fill="FFFFFF"/>
            <w:lang w:val="en-US" w:eastAsia="en-US" w:bidi="ar-SA"/>
          </w:rPr>
          <w:t>2009 BCCA 106</w:t>
        </w:r>
      </w:hyperlink>
      <w:r>
        <w:rPr>
          <w:rFonts w:ascii="arial" w:eastAsia="arial" w:hAnsi="arial" w:cs="arial"/>
          <w:color w:val="000000"/>
          <w:sz w:val="20"/>
          <w:lang w:val="en-US" w:eastAsia="en-US" w:bidi="ar-SA"/>
        </w:rPr>
        <w:t xml:space="preserve"> at para. 185. The essential task of the Court is to compare the likely future of the plaintiff's working life if the accident had not happened with the plaintiff's likely future working life after the accident: </w:t>
      </w:r>
      <w:r>
        <w:rPr>
          <w:rFonts w:ascii="arial" w:eastAsia="arial" w:hAnsi="arial" w:cs="arial"/>
          <w:i/>
          <w:color w:val="000000"/>
          <w:sz w:val="20"/>
          <w:lang w:val="en-US" w:eastAsia="en-US" w:bidi="ar-SA"/>
        </w:rPr>
        <w:t>Gregory v. Insurance Corp. of British Columbia,</w:t>
      </w:r>
      <w:r>
        <w:rPr>
          <w:rFonts w:ascii="arial" w:eastAsia="arial" w:hAnsi="arial" w:cs="arial"/>
          <w:color w:val="000000"/>
          <w:sz w:val="20"/>
          <w:lang w:val="en-US" w:eastAsia="en-US" w:bidi="ar-SA"/>
        </w:rPr>
        <w:t xml:space="preserve"> </w:t>
      </w:r>
      <w:hyperlink r:id="rId648" w:history="1">
        <w:r>
          <w:rPr>
            <w:rFonts w:ascii="arial" w:eastAsia="arial" w:hAnsi="arial" w:cs="arial"/>
            <w:i/>
            <w:color w:val="0077CC"/>
            <w:sz w:val="20"/>
            <w:u w:val="single"/>
            <w:shd w:val="clear" w:color="auto" w:fill="FFFFFF"/>
            <w:lang w:val="en-US" w:eastAsia="en-US" w:bidi="ar-SA"/>
          </w:rPr>
          <w:t>2011 BCCA 144</w:t>
        </w:r>
      </w:hyperlink>
      <w:r>
        <w:rPr>
          <w:rFonts w:ascii="arial" w:eastAsia="arial" w:hAnsi="arial" w:cs="arial"/>
          <w:color w:val="000000"/>
          <w:sz w:val="20"/>
          <w:lang w:val="en-US" w:eastAsia="en-US" w:bidi="ar-SA"/>
        </w:rPr>
        <w:t xml:space="preserve"> at para. 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xml:space="preserve">  There are two possible approaches to assessment of loss of future earning capacity: the "earnings approach" from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xml:space="preserve">, and the "capital asset approach" in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Both approaches are correct. The "earnings approach" will generally be more useful when the loss is easily measurable: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536"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at para. 32. Where the loss "is not measurable in a pecuniary way", the "capital asset" approach is more appropriate: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 xml:space="preserve"> at para. 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xml:space="preserve">  The earnings approach involves a form of math-oriented methodology such as i) postulating a minimum annual income loss for the plaintiff's remaining years of work, multiplying the annual projected loss by the number of remaining years and calculating a present value or ii) awarding the plaintiff's entire annual income for a year or two: </w:t>
      </w:r>
      <w:r>
        <w:rPr>
          <w:rFonts w:ascii="arial" w:eastAsia="arial" w:hAnsi="arial" w:cs="arial"/>
          <w:i/>
          <w:color w:val="000000"/>
          <w:sz w:val="20"/>
          <w:lang w:val="en-US" w:eastAsia="en-US" w:bidi="ar-SA"/>
        </w:rPr>
        <w:t>Pallos v. Insurance Corp. of British Columbia</w:t>
      </w:r>
      <w:r>
        <w:rPr>
          <w:rFonts w:ascii="arial" w:eastAsia="arial" w:hAnsi="arial" w:cs="arial"/>
          <w:color w:val="000000"/>
          <w:sz w:val="20"/>
          <w:lang w:val="en-US" w:eastAsia="en-US" w:bidi="ar-SA"/>
        </w:rPr>
        <w:t xml:space="preserve"> </w:t>
      </w:r>
      <w:hyperlink r:id="rId708" w:history="1">
        <w:r>
          <w:rPr>
            <w:rFonts w:ascii="arial" w:eastAsia="arial" w:hAnsi="arial" w:cs="arial"/>
            <w:i/>
            <w:color w:val="0077CC"/>
            <w:sz w:val="20"/>
            <w:u w:val="single"/>
            <w:shd w:val="clear" w:color="auto" w:fill="FFFFFF"/>
            <w:lang w:val="en-US" w:eastAsia="en-US" w:bidi="ar-SA"/>
          </w:rPr>
          <w:t>(1995), 100 B.C.L.R. (2d) 260</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Gilbert v. Bottle</w:t>
      </w:r>
      <w:r>
        <w:rPr>
          <w:rFonts w:ascii="arial" w:eastAsia="arial" w:hAnsi="arial" w:cs="arial"/>
          <w:color w:val="000000"/>
          <w:sz w:val="20"/>
          <w:lang w:val="en-US" w:eastAsia="en-US" w:bidi="ar-SA"/>
        </w:rPr>
        <w:t xml:space="preserve">, </w:t>
      </w:r>
      <w:hyperlink r:id="rId709" w:history="1">
        <w:r>
          <w:rPr>
            <w:rFonts w:ascii="arial" w:eastAsia="arial" w:hAnsi="arial" w:cs="arial"/>
            <w:i/>
            <w:color w:val="0077CC"/>
            <w:sz w:val="20"/>
            <w:u w:val="single"/>
            <w:shd w:val="clear" w:color="auto" w:fill="FFFFFF"/>
            <w:lang w:val="en-US" w:eastAsia="en-US" w:bidi="ar-SA"/>
          </w:rPr>
          <w:t>2011 BCSC 1389</w:t>
        </w:r>
      </w:hyperlink>
      <w:r>
        <w:rPr>
          <w:rFonts w:ascii="arial" w:eastAsia="arial" w:hAnsi="arial" w:cs="arial"/>
          <w:color w:val="000000"/>
          <w:sz w:val="20"/>
          <w:lang w:val="en-US" w:eastAsia="en-US" w:bidi="ar-SA"/>
        </w:rPr>
        <w:t xml:space="preserve"> at para. 233.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xml:space="preserve">  The capital asset approach involves considering factors such as i) whether the plaintiff has been rendered less capable overall of earning income from all types of employment; ii) whether the plaintiff is less marketable or attractive as a potential employee; iii) whether the plaintiff has lost the ability to take advantage of all job opportunities that might otherwise have been open; and iv) whether the plaintiff is less valuable to herself as a person capable of earning income in a competitive labour market: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533"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Gilbert v. Bottle</w:t>
      </w:r>
      <w:r>
        <w:rPr>
          <w:rFonts w:ascii="arial" w:eastAsia="arial" w:hAnsi="arial" w:cs="arial"/>
          <w:color w:val="000000"/>
          <w:sz w:val="20"/>
          <w:lang w:val="en-US" w:eastAsia="en-US" w:bidi="ar-SA"/>
        </w:rPr>
        <w:t xml:space="preserve">, </w:t>
      </w:r>
      <w:hyperlink r:id="rId709" w:history="1">
        <w:r>
          <w:rPr>
            <w:rFonts w:ascii="arial" w:eastAsia="arial" w:hAnsi="arial" w:cs="arial"/>
            <w:i/>
            <w:color w:val="0077CC"/>
            <w:sz w:val="20"/>
            <w:u w:val="single"/>
            <w:shd w:val="clear" w:color="auto" w:fill="FFFFFF"/>
            <w:lang w:val="en-US" w:eastAsia="en-US" w:bidi="ar-SA"/>
          </w:rPr>
          <w:t>2011 BCSC 1389</w:t>
        </w:r>
      </w:hyperlink>
      <w:r>
        <w:rPr>
          <w:rFonts w:ascii="arial" w:eastAsia="arial" w:hAnsi="arial" w:cs="arial"/>
          <w:color w:val="000000"/>
          <w:sz w:val="20"/>
          <w:lang w:val="en-US" w:eastAsia="en-US" w:bidi="ar-SA"/>
        </w:rPr>
        <w:t xml:space="preserve"> at para. 233; </w:t>
      </w:r>
      <w:r>
        <w:rPr>
          <w:rFonts w:ascii="arial" w:eastAsia="arial" w:hAnsi="arial" w:cs="arial"/>
          <w:i/>
          <w:color w:val="000000"/>
          <w:sz w:val="20"/>
          <w:lang w:val="en-US" w:eastAsia="en-US" w:bidi="ar-SA"/>
        </w:rPr>
        <w:t>Morgan v. Galbraith</w:t>
      </w:r>
      <w:r>
        <w:rPr>
          <w:rFonts w:ascii="arial" w:eastAsia="arial" w:hAnsi="arial" w:cs="arial"/>
          <w:color w:val="000000"/>
          <w:sz w:val="20"/>
          <w:lang w:val="en-US" w:eastAsia="en-US" w:bidi="ar-SA"/>
        </w:rPr>
        <w:t xml:space="preserve">, </w:t>
      </w:r>
      <w:hyperlink r:id="rId538" w:history="1">
        <w:r>
          <w:rPr>
            <w:rFonts w:ascii="arial" w:eastAsia="arial" w:hAnsi="arial" w:cs="arial"/>
            <w:i/>
            <w:color w:val="0077CC"/>
            <w:sz w:val="20"/>
            <w:u w:val="single"/>
            <w:shd w:val="clear" w:color="auto" w:fill="FFFFFF"/>
            <w:lang w:val="en-US" w:eastAsia="en-US" w:bidi="ar-SA"/>
          </w:rPr>
          <w:t>2013 BCCA 305</w:t>
        </w:r>
      </w:hyperlink>
      <w:r>
        <w:rPr>
          <w:rFonts w:ascii="arial" w:eastAsia="arial" w:hAnsi="arial" w:cs="arial"/>
          <w:color w:val="000000"/>
          <w:sz w:val="20"/>
          <w:lang w:val="en-US" w:eastAsia="en-US" w:bidi="ar-SA"/>
        </w:rPr>
        <w:t xml:space="preserve"> at paras. 53 &amp; 56.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xml:space="preserve">  Though the capital asset approach is not a "mathematical calculation", the trial judge must still explain the factual basis of the award: </w:t>
      </w:r>
      <w:r>
        <w:rPr>
          <w:rFonts w:ascii="arial" w:eastAsia="arial" w:hAnsi="arial" w:cs="arial"/>
          <w:i/>
          <w:color w:val="000000"/>
          <w:sz w:val="20"/>
          <w:lang w:val="en-US" w:eastAsia="en-US" w:bidi="ar-SA"/>
        </w:rPr>
        <w:t>Morgan v. Galbraith</w:t>
      </w:r>
      <w:r>
        <w:rPr>
          <w:rFonts w:ascii="arial" w:eastAsia="arial" w:hAnsi="arial" w:cs="arial"/>
          <w:color w:val="000000"/>
          <w:sz w:val="20"/>
          <w:lang w:val="en-US" w:eastAsia="en-US" w:bidi="ar-SA"/>
        </w:rPr>
        <w:t xml:space="preserve">, </w:t>
      </w:r>
      <w:hyperlink r:id="rId538" w:history="1">
        <w:r>
          <w:rPr>
            <w:rFonts w:ascii="arial" w:eastAsia="arial" w:hAnsi="arial" w:cs="arial"/>
            <w:i/>
            <w:color w:val="0077CC"/>
            <w:sz w:val="20"/>
            <w:u w:val="single"/>
            <w:shd w:val="clear" w:color="auto" w:fill="FFFFFF"/>
            <w:lang w:val="en-US" w:eastAsia="en-US" w:bidi="ar-SA"/>
          </w:rPr>
          <w:t>2013 BCCA 305</w:t>
        </w:r>
      </w:hyperlink>
      <w:r>
        <w:rPr>
          <w:rFonts w:ascii="arial" w:eastAsia="arial" w:hAnsi="arial" w:cs="arial"/>
          <w:color w:val="000000"/>
          <w:sz w:val="20"/>
          <w:lang w:val="en-US" w:eastAsia="en-US" w:bidi="ar-SA"/>
        </w:rPr>
        <w:t xml:space="preserve"> at para. 56.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xml:space="preserve">  The principles that apply in assessing loss of future earning capacity were summarized by Low J.A. in </w:t>
      </w:r>
      <w:r>
        <w:rPr>
          <w:rFonts w:ascii="arial" w:eastAsia="arial" w:hAnsi="arial" w:cs="arial"/>
          <w:i/>
          <w:color w:val="000000"/>
          <w:sz w:val="20"/>
          <w:lang w:val="en-US" w:eastAsia="en-US" w:bidi="ar-SA"/>
        </w:rPr>
        <w:t>Reilly v. Lynn</w:t>
      </w:r>
      <w:r>
        <w:rPr>
          <w:rFonts w:ascii="arial" w:eastAsia="arial" w:hAnsi="arial" w:cs="arial"/>
          <w:color w:val="000000"/>
          <w:sz w:val="20"/>
          <w:lang w:val="en-US" w:eastAsia="en-US" w:bidi="ar-SA"/>
        </w:rPr>
        <w:t xml:space="preserve">, </w:t>
      </w:r>
      <w:hyperlink r:id="rId710" w:history="1">
        <w:r>
          <w:rPr>
            <w:rFonts w:ascii="arial" w:eastAsia="arial" w:hAnsi="arial" w:cs="arial"/>
            <w:i/>
            <w:color w:val="0077CC"/>
            <w:sz w:val="20"/>
            <w:u w:val="single"/>
            <w:shd w:val="clear" w:color="auto" w:fill="FFFFFF"/>
            <w:lang w:val="en-US" w:eastAsia="en-US" w:bidi="ar-SA"/>
          </w:rPr>
          <w:t>2003 BCCA 49</w:t>
        </w:r>
      </w:hyperlink>
      <w:r>
        <w:rPr>
          <w:rFonts w:ascii="arial" w:eastAsia="arial" w:hAnsi="arial" w:cs="arial"/>
          <w:color w:val="000000"/>
          <w:sz w:val="20"/>
          <w:lang w:val="en-US" w:eastAsia="en-US" w:bidi="ar-SA"/>
        </w:rPr>
        <w:t xml:space="preserve"> at para. 101: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relevant principles may be briefly summarized. The standard of proof in relation to future events is simple probability, not the balance of probabilities, and hypothetical events are to be given weight according to their relative likelihood: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505"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 27. A plaintiff is entitled to compensation for real and substantial possibilities of loss, which are to be quantified by estimating the chance of the loss occurring: </w:t>
      </w:r>
      <w:r>
        <w:rPr>
          <w:rFonts w:ascii="arial" w:eastAsia="arial" w:hAnsi="arial" w:cs="arial"/>
          <w:i/>
          <w:color w:val="000000"/>
          <w:sz w:val="20"/>
          <w:lang w:val="en-US" w:eastAsia="en-US" w:bidi="ar-SA"/>
        </w:rPr>
        <w:t>Athey v. Leonati, supra</w:t>
      </w:r>
      <w:r>
        <w:rPr>
          <w:rFonts w:ascii="arial" w:eastAsia="arial" w:hAnsi="arial" w:cs="arial"/>
          <w:color w:val="000000"/>
          <w:sz w:val="20"/>
          <w:lang w:val="en-US" w:eastAsia="en-US" w:bidi="ar-SA"/>
        </w:rPr>
        <w:t xml:space="preserve">, at para. 27, </w:t>
      </w:r>
      <w:r>
        <w:rPr>
          <w:rFonts w:ascii="arial" w:eastAsia="arial" w:hAnsi="arial" w:cs="arial"/>
          <w:i/>
          <w:color w:val="000000"/>
          <w:sz w:val="20"/>
          <w:lang w:val="en-US" w:eastAsia="en-US" w:bidi="ar-SA"/>
        </w:rPr>
        <w:t>Steenblok v. Funk</w:t>
      </w:r>
      <w:r>
        <w:rPr>
          <w:rFonts w:ascii="arial" w:eastAsia="arial" w:hAnsi="arial" w:cs="arial"/>
          <w:color w:val="000000"/>
          <w:sz w:val="20"/>
          <w:lang w:val="en-US" w:eastAsia="en-US" w:bidi="ar-SA"/>
        </w:rPr>
        <w:t xml:space="preserve"> </w:t>
      </w:r>
      <w:hyperlink r:id="rId711" w:history="1">
        <w:r>
          <w:rPr>
            <w:rFonts w:ascii="arial" w:eastAsia="arial" w:hAnsi="arial" w:cs="arial"/>
            <w:i/>
            <w:color w:val="0077CC"/>
            <w:sz w:val="20"/>
            <w:u w:val="single"/>
            <w:shd w:val="clear" w:color="auto" w:fill="FFFFFF"/>
            <w:lang w:val="en-US" w:eastAsia="en-US" w:bidi="ar-SA"/>
          </w:rPr>
          <w:t>(1990), 46 B.C.L.R. (2d) 133</w:t>
        </w:r>
      </w:hyperlink>
      <w:r>
        <w:rPr>
          <w:rFonts w:ascii="arial" w:eastAsia="arial" w:hAnsi="arial" w:cs="arial"/>
          <w:color w:val="000000"/>
          <w:sz w:val="20"/>
          <w:lang w:val="en-US" w:eastAsia="en-US" w:bidi="ar-SA"/>
        </w:rPr>
        <w:t xml:space="preserve"> at 135 (C.A.). The valuation of the loss of earning capacity may involve a comparison of what the plaintiff would probably have earned but for the accident with what he will probably earn in his injured condition: </w:t>
      </w:r>
      <w:r>
        <w:rPr>
          <w:rFonts w:ascii="arial" w:eastAsia="arial" w:hAnsi="arial" w:cs="arial"/>
          <w:i/>
          <w:color w:val="000000"/>
          <w:sz w:val="20"/>
          <w:lang w:val="en-US" w:eastAsia="en-US" w:bidi="ar-SA"/>
        </w:rPr>
        <w:t>Milina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v. Bartsch</w:t>
      </w:r>
      <w:r>
        <w:rPr>
          <w:rFonts w:ascii="arial" w:eastAsia="arial" w:hAnsi="arial" w:cs="arial"/>
          <w:color w:val="000000"/>
          <w:sz w:val="20"/>
          <w:lang w:val="en-US" w:eastAsia="en-US" w:bidi="ar-SA"/>
        </w:rPr>
        <w:t xml:space="preserve"> </w:t>
      </w:r>
      <w:hyperlink r:id="rId539"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at 93 (S.C.). However, that is not the end of the inquiry; the overall fairness and reasonableness of the award must be considered: </w:t>
      </w: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529"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at para. 11; </w:t>
      </w:r>
      <w:r>
        <w:rPr>
          <w:rFonts w:ascii="arial" w:eastAsia="arial" w:hAnsi="arial" w:cs="arial"/>
          <w:i/>
          <w:color w:val="000000"/>
          <w:sz w:val="20"/>
          <w:lang w:val="en-US" w:eastAsia="en-US" w:bidi="ar-SA"/>
        </w:rPr>
        <w:t>Ryder v. Paquette</w:t>
      </w:r>
      <w:r>
        <w:rPr>
          <w:rFonts w:ascii="arial" w:eastAsia="arial" w:hAnsi="arial" w:cs="arial"/>
          <w:color w:val="000000"/>
          <w:sz w:val="20"/>
          <w:lang w:val="en-US" w:eastAsia="en-US" w:bidi="ar-SA"/>
        </w:rPr>
        <w:t xml:space="preserve">, </w:t>
      </w:r>
      <w:hyperlink r:id="rId535" w:history="1">
        <w:r>
          <w:rPr>
            <w:rFonts w:ascii="arial" w:eastAsia="arial" w:hAnsi="arial" w:cs="arial"/>
            <w:i/>
            <w:color w:val="0077CC"/>
            <w:sz w:val="20"/>
            <w:u w:val="single"/>
            <w:shd w:val="clear" w:color="auto" w:fill="FFFFFF"/>
            <w:lang w:val="en-US" w:eastAsia="en-US" w:bidi="ar-SA"/>
          </w:rPr>
          <w:t>[1995] B.C.J. No. 644</w:t>
        </w:r>
      </w:hyperlink>
      <w:r>
        <w:rPr>
          <w:rFonts w:ascii="arial" w:eastAsia="arial" w:hAnsi="arial" w:cs="arial"/>
          <w:color w:val="000000"/>
          <w:sz w:val="20"/>
          <w:lang w:val="en-US" w:eastAsia="en-US" w:bidi="ar-SA"/>
        </w:rPr>
        <w:t xml:space="preserve"> (C.A.) (Q.L.). Moreover, the task of the Court is to assess the losses, not to calculate them mathematically: </w:t>
      </w:r>
      <w:r>
        <w:rPr>
          <w:rFonts w:ascii="arial" w:eastAsia="arial" w:hAnsi="arial" w:cs="arial"/>
          <w:i/>
          <w:color w:val="000000"/>
          <w:sz w:val="20"/>
          <w:lang w:val="en-US" w:eastAsia="en-US" w:bidi="ar-SA"/>
        </w:rPr>
        <w:t>Mulholland (Guardian ad litem of) v. Riley Estate</w:t>
      </w:r>
      <w:r>
        <w:rPr>
          <w:rFonts w:ascii="arial" w:eastAsia="arial" w:hAnsi="arial" w:cs="arial"/>
          <w:color w:val="000000"/>
          <w:sz w:val="20"/>
          <w:lang w:val="en-US" w:eastAsia="en-US" w:bidi="ar-SA"/>
        </w:rPr>
        <w:t xml:space="preserve"> </w:t>
      </w:r>
      <w:hyperlink r:id="rId534" w:history="1">
        <w:r>
          <w:rPr>
            <w:rFonts w:ascii="arial" w:eastAsia="arial" w:hAnsi="arial" w:cs="arial"/>
            <w:i/>
            <w:color w:val="0077CC"/>
            <w:sz w:val="20"/>
            <w:u w:val="single"/>
            <w:shd w:val="clear" w:color="auto" w:fill="FFFFFF"/>
            <w:lang w:val="en-US" w:eastAsia="en-US" w:bidi="ar-SA"/>
          </w:rPr>
          <w:t>(1995), 12 B.C.L.R. (3d) 248</w:t>
        </w:r>
      </w:hyperlink>
      <w:r>
        <w:rPr>
          <w:rFonts w:ascii="arial" w:eastAsia="arial" w:hAnsi="arial" w:cs="arial"/>
          <w:color w:val="000000"/>
          <w:sz w:val="20"/>
          <w:lang w:val="en-US" w:eastAsia="en-US" w:bidi="ar-SA"/>
        </w:rPr>
        <w:t xml:space="preserve"> (C.A.). Finally, since the course of future events is unknown, allowance must be made for the contingency that the assumptions upon which the award is based may prove to be wrong: </w:t>
      </w:r>
      <w:r>
        <w:rPr>
          <w:rFonts w:ascii="arial" w:eastAsia="arial" w:hAnsi="arial" w:cs="arial"/>
          <w:i/>
          <w:color w:val="000000"/>
          <w:sz w:val="20"/>
          <w:lang w:val="en-US" w:eastAsia="en-US" w:bidi="ar-SA"/>
        </w:rPr>
        <w:t>Milina v. Bartsch, supra</w:t>
      </w:r>
      <w:r>
        <w:rPr>
          <w:rFonts w:ascii="arial" w:eastAsia="arial" w:hAnsi="arial" w:cs="arial"/>
          <w:color w:val="000000"/>
          <w:sz w:val="20"/>
          <w:lang w:val="en-US" w:eastAsia="en-US" w:bidi="ar-SA"/>
        </w:rPr>
        <w:t>, at 79.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xml:space="preserve">  The plaintiff may be able to prove a substantial possibility of future loss of income despite having returned to his or her usual employment and even where he has received a raise or obtained a promotion: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Combs v. Bergen</w:t>
      </w:r>
      <w:r>
        <w:rPr>
          <w:rFonts w:ascii="arial" w:eastAsia="arial" w:hAnsi="arial" w:cs="arial"/>
          <w:color w:val="000000"/>
          <w:sz w:val="20"/>
          <w:lang w:val="en-US" w:eastAsia="en-US" w:bidi="ar-SA"/>
        </w:rPr>
        <w:t xml:space="preserve">, </w:t>
      </w:r>
      <w:hyperlink r:id="rId712" w:history="1">
        <w:r>
          <w:rPr>
            <w:rFonts w:ascii="arial" w:eastAsia="arial" w:hAnsi="arial" w:cs="arial"/>
            <w:i/>
            <w:color w:val="0077CC"/>
            <w:sz w:val="20"/>
            <w:u w:val="single"/>
            <w:shd w:val="clear" w:color="auto" w:fill="FFFFFF"/>
            <w:lang w:val="en-US" w:eastAsia="en-US" w:bidi="ar-SA"/>
          </w:rPr>
          <w:t>2013 BCSC 321</w:t>
        </w:r>
      </w:hyperlink>
      <w:r>
        <w:rPr>
          <w:rFonts w:ascii="arial" w:eastAsia="arial" w:hAnsi="arial" w:cs="arial"/>
          <w:color w:val="000000"/>
          <w:sz w:val="20"/>
          <w:lang w:val="en-US" w:eastAsia="en-US" w:bidi="ar-SA"/>
        </w:rPr>
        <w:t xml:space="preserve">. There is no principle of law requiring the medical evidence to establish an impairment of earning capacity; rather, such impairment is established on the totality of the evidence: </w:t>
      </w:r>
      <w:r>
        <w:rPr>
          <w:rFonts w:ascii="arial" w:eastAsia="arial" w:hAnsi="arial" w:cs="arial"/>
          <w:i/>
          <w:color w:val="000000"/>
          <w:sz w:val="20"/>
          <w:lang w:val="en-US" w:eastAsia="en-US" w:bidi="ar-SA"/>
        </w:rPr>
        <w:t>Miscisco v. Small</w:t>
      </w:r>
      <w:r>
        <w:rPr>
          <w:rFonts w:ascii="arial" w:eastAsia="arial" w:hAnsi="arial" w:cs="arial"/>
          <w:color w:val="000000"/>
          <w:sz w:val="20"/>
          <w:lang w:val="en-US" w:eastAsia="en-US" w:bidi="ar-SA"/>
        </w:rPr>
        <w:t xml:space="preserve">, </w:t>
      </w:r>
      <w:hyperlink r:id="rId713" w:history="1">
        <w:r>
          <w:rPr>
            <w:rFonts w:ascii="arial" w:eastAsia="arial" w:hAnsi="arial" w:cs="arial"/>
            <w:i/>
            <w:color w:val="0077CC"/>
            <w:sz w:val="20"/>
            <w:u w:val="single"/>
            <w:shd w:val="clear" w:color="auto" w:fill="FFFFFF"/>
            <w:lang w:val="en-US" w:eastAsia="en-US" w:bidi="ar-SA"/>
          </w:rPr>
          <w:t>[2001] B.C.J. No. 2042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In the case at bar both parties have approached the plaintiff's claim for loss of future income earning capacity as consisting of two separate components. The first relates to the real and substantial possibility of a loss of capacity to work as a firefighter. The existence of such a possibility is not contested by the defendants although the parties differ as to the reasonable assessment of the resulting damages; the plaintiff posits a value of $270,000 whereas the defendants submit this aspect of the loss is more properly valued at $200,000.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The second component of the claim relates to the plaintiff's loss of capacity to engage in side-work, whether as a mortgage broker or in some other occupation. Here the plaintiff submits the appropriate award of damages should be in the range of $200,000 whereas the defendants suggest there is simply no proper evidentiary basis for such a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The evidence clearly establishes a real and substantial possibility that the plaintiff's capacity to perform all the requirements of his job as a firefighter has been compromised. The plaintiff is clearly having difficulty meeting the physical demands of his job at the present time and it is entirely possible, perhaps even probable, he will be unable to complete his intended career as a firefighter through to retirement. Dr. O'Connor, whose testimony I accept, says "he is at high risk for re-injury" and while he is presently capable of working as a firefighter, "should his back pain worsen significantly, he would be at increased risk of not being able to meet his demands at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Dr. Leung holds a similar opinion that the plaintiff currently has the functional capacity to be employed as a firefighter but performance may deteriorate due to pain inhibition and there is an increased risk of a disk rupture which might restrict or preclude the plaintiff's ability to work as a firefighter.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If, as the defendants concede, there is a real risk that the plaintiff in the future may not be able to meet the physical demands of his employment as a firefighter, then it follows he has the same risk of not being able to undertake other occupations with similar physical demands. That alone might warrant some sort of award for loss of future income earning capacity from a side-job that required such physical demands.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xml:space="preserve">  In any event, in argument both parties appear to endorse the approach taken in several of the cited cases where the court has made a "rough and ready" estimate of the loss of capacity award with reference to a one, two or even three year multiplier applied to the plaintiff's annual income. Many of the cases which have taken this approach are referred to in </w:t>
      </w:r>
      <w:r>
        <w:rPr>
          <w:rFonts w:ascii="arial" w:eastAsia="arial" w:hAnsi="arial" w:cs="arial"/>
          <w:i/>
          <w:color w:val="000000"/>
          <w:sz w:val="20"/>
          <w:lang w:val="en-US" w:eastAsia="en-US" w:bidi="ar-SA"/>
        </w:rPr>
        <w:t>Miller v. Lawlor</w:t>
      </w:r>
      <w:r>
        <w:rPr>
          <w:rFonts w:ascii="arial" w:eastAsia="arial" w:hAnsi="arial" w:cs="arial"/>
          <w:color w:val="000000"/>
          <w:sz w:val="20"/>
          <w:lang w:val="en-US" w:eastAsia="en-US" w:bidi="ar-SA"/>
        </w:rPr>
        <w:t xml:space="preserve">, </w:t>
      </w:r>
      <w:hyperlink r:id="rId714" w:history="1">
        <w:r>
          <w:rPr>
            <w:rFonts w:ascii="arial" w:eastAsia="arial" w:hAnsi="arial" w:cs="arial"/>
            <w:i/>
            <w:color w:val="0077CC"/>
            <w:sz w:val="20"/>
            <w:u w:val="single"/>
            <w:shd w:val="clear" w:color="auto" w:fill="FFFFFF"/>
            <w:lang w:val="en-US" w:eastAsia="en-US" w:bidi="ar-SA"/>
          </w:rPr>
          <w:t>2012 BCSC 387</w:t>
        </w:r>
      </w:hyperlink>
      <w:r>
        <w:rPr>
          <w:rFonts w:ascii="arial" w:eastAsia="arial" w:hAnsi="arial" w:cs="arial"/>
          <w:color w:val="000000"/>
          <w:sz w:val="20"/>
          <w:lang w:val="en-US" w:eastAsia="en-US" w:bidi="ar-SA"/>
        </w:rPr>
        <w:t xml:space="preserve"> where, even though the plaintiff continued in the same work he had before the accident, the court was satisfied the criteria for the capital asset approach existed on the evidence and assessed the loss of future earning capacity claim in an amount equivalent to three years' annual income for a journeyman sprinkler-pipefitter on Vancouver Island.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The plaintiff's submission in favour of a $270,000 award for loss of future earning capacity as a fireman obviously reflects three years' salary at the plaintiff's current salary level ($90,000 per annum). The defendants' submission, $200,000, reflects a current annual salary multiplier of approximately 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I am not completely satisfied that the "two component approach" to future loss of earning capacity adopted by both the plaintiff and the defendants in this case is appropriate. The assessment is a global assessment based on the totality of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The defendants urge that while there may exist some loss of future capacity with respect to firefighting or similar work involving strenuous physical demands, this impairment exists only at the "extreme end" of the physical work spectrum and that there is no impairment of "capital asset" with respect to lighter, less physically demanding work. It is on this basis the defendants submit there should be no recognition in the award of any impairment or loss of capacity with respect to the plaintiff's ability to perform side-jobs such as a mortgage broker. I note this submission overlooks the impairments, both present and potentially future, connected with the plaintiff's depressed mood, fatigue and risk of dependency or addiction associated with the prescription of narcotics.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In any event, the evidence clearly establishes a real and substantial possibility of a loss of future earning capacity for this plaintiff. That includes physically demanding employment as a firefighter but it also likely extends to other less physically demanding forms of employment. I will adopt the suggested valuation approach that considers a multiplier of present earnings, but also build in a factor to reflect the possible impairment of side-job employment and post-firefighting retirement.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In my view an appropriate global award for all aspects of loss of future earning capacity, and one that is fair to both parties in this case, would be the sum of $295,000. Like the award of general non-pecuniary damages, this award is subject to the 15% reduction mandated by my finding with respect to the impact of the plaintiff's medical issues pre-existing the motor vehicle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xml:space="preserve">  The plaintiff is entitled to compensation for the cost of future care based on what is reasonably necessary to restore her to her pre-accident condition in so far as that is possible. When full restoration cannot be achieved, the court must strive to assure full compensation through the provision of adequate future care. The award is to be based on what is reasonably necessary on the medical evidence to preserve and promote the plaintiff's mental and physical health: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539"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Williams v. Low</w:t>
      </w:r>
      <w:r>
        <w:rPr>
          <w:rFonts w:ascii="arial" w:eastAsia="arial" w:hAnsi="arial" w:cs="arial"/>
          <w:color w:val="000000"/>
          <w:sz w:val="20"/>
          <w:lang w:val="en-US" w:eastAsia="en-US" w:bidi="ar-SA"/>
        </w:rPr>
        <w:t xml:space="preserve">, </w:t>
      </w:r>
      <w:hyperlink r:id="rId715" w:history="1">
        <w:r>
          <w:rPr>
            <w:rFonts w:ascii="arial" w:eastAsia="arial" w:hAnsi="arial" w:cs="arial"/>
            <w:i/>
            <w:color w:val="0077CC"/>
            <w:sz w:val="20"/>
            <w:u w:val="single"/>
            <w:shd w:val="clear" w:color="auto" w:fill="FFFFFF"/>
            <w:lang w:val="en-US" w:eastAsia="en-US" w:bidi="ar-SA"/>
          </w:rPr>
          <w:t>2000 BCSC 345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Spehar v. Beazley</w:t>
      </w:r>
      <w:r>
        <w:rPr>
          <w:rFonts w:ascii="arial" w:eastAsia="arial" w:hAnsi="arial" w:cs="arial"/>
          <w:color w:val="000000"/>
          <w:sz w:val="20"/>
          <w:lang w:val="en-US" w:eastAsia="en-US" w:bidi="ar-SA"/>
        </w:rPr>
        <w:t xml:space="preserve">, </w:t>
      </w:r>
      <w:hyperlink r:id="rId637" w:history="1">
        <w:r>
          <w:rPr>
            <w:rFonts w:ascii="arial" w:eastAsia="arial" w:hAnsi="arial" w:cs="arial"/>
            <w:i/>
            <w:color w:val="0077CC"/>
            <w:sz w:val="20"/>
            <w:u w:val="single"/>
            <w:shd w:val="clear" w:color="auto" w:fill="FFFFFF"/>
            <w:lang w:val="en-US" w:eastAsia="en-US" w:bidi="ar-SA"/>
          </w:rPr>
          <w:t>2002 BCSC 1104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Gignac v. Rozylo</w:t>
      </w:r>
      <w:r>
        <w:rPr>
          <w:rFonts w:ascii="arial" w:eastAsia="arial" w:hAnsi="arial" w:cs="arial"/>
          <w:color w:val="000000"/>
          <w:sz w:val="20"/>
          <w:lang w:val="en-US" w:eastAsia="en-US" w:bidi="ar-SA"/>
        </w:rPr>
        <w:t xml:space="preserve">, </w:t>
      </w:r>
      <w:hyperlink r:id="rId639" w:history="1">
        <w:r>
          <w:rPr>
            <w:rFonts w:ascii="arial" w:eastAsia="arial" w:hAnsi="arial" w:cs="arial"/>
            <w:i/>
            <w:color w:val="0077CC"/>
            <w:sz w:val="20"/>
            <w:u w:val="single"/>
            <w:shd w:val="clear" w:color="auto" w:fill="FFFFFF"/>
            <w:lang w:val="en-US" w:eastAsia="en-US" w:bidi="ar-SA"/>
          </w:rPr>
          <w:t>2012 BCCA 351</w:t>
        </w:r>
      </w:hyperlink>
      <w:r>
        <w:rPr>
          <w:rFonts w:ascii="arial" w:eastAsia="arial" w:hAnsi="arial" w:cs="arial"/>
          <w:color w:val="000000"/>
          <w:sz w:val="20"/>
          <w:lang w:val="en-US" w:eastAsia="en-US" w:bidi="ar-SA"/>
        </w:rPr>
        <w:t xml:space="preserve"> at paras. 29-30.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xml:space="preserve">  The test for determining the appropriate award under the heading of cost of future care is an objective one based on medical evidence. For an award of future care: (1) there must be a medical justification for claims for cost of future care and (2) the claims must be reasonable: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at 84; </w:t>
      </w:r>
      <w:r>
        <w:rPr>
          <w:rFonts w:ascii="arial" w:eastAsia="arial" w:hAnsi="arial" w:cs="arial"/>
          <w:i/>
          <w:color w:val="000000"/>
          <w:sz w:val="20"/>
          <w:lang w:val="en-US" w:eastAsia="en-US" w:bidi="ar-SA"/>
        </w:rPr>
        <w:t>Tsalamandris v. McLeod</w:t>
      </w:r>
      <w:r>
        <w:rPr>
          <w:rFonts w:ascii="arial" w:eastAsia="arial" w:hAnsi="arial" w:cs="arial"/>
          <w:color w:val="000000"/>
          <w:sz w:val="20"/>
          <w:lang w:val="en-US" w:eastAsia="en-US" w:bidi="ar-SA"/>
        </w:rPr>
        <w:t xml:space="preserve">, </w:t>
      </w:r>
      <w:hyperlink r:id="rId716" w:history="1">
        <w:r>
          <w:rPr>
            <w:rFonts w:ascii="arial" w:eastAsia="arial" w:hAnsi="arial" w:cs="arial"/>
            <w:i/>
            <w:color w:val="0077CC"/>
            <w:sz w:val="20"/>
            <w:u w:val="single"/>
            <w:shd w:val="clear" w:color="auto" w:fill="FFFFFF"/>
            <w:lang w:val="en-US" w:eastAsia="en-US" w:bidi="ar-SA"/>
          </w:rPr>
          <w:t>2012 BCCA 239</w:t>
        </w:r>
      </w:hyperlink>
      <w:r>
        <w:rPr>
          <w:rFonts w:ascii="arial" w:eastAsia="arial" w:hAnsi="arial" w:cs="arial"/>
          <w:color w:val="000000"/>
          <w:sz w:val="20"/>
          <w:lang w:val="en-US" w:eastAsia="en-US" w:bidi="ar-SA"/>
        </w:rPr>
        <w:t xml:space="preserve"> at paras. 62-63.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xml:space="preserve">  Future care costs are "justified" if they are both medically necessary and likely to be incurred by the plaintiff. The award of damages is thus a matter of prediction as to what will happen in future. If a plaintiff has not used a particular item or service in the past it may be inappropriate to include its cost in a future care award. However, if the evidence shows that previously rejected services will not be (able to be) rejected in the future, the plaintiff can recover for such services: </w:t>
      </w:r>
      <w:r>
        <w:rPr>
          <w:rFonts w:ascii="arial" w:eastAsia="arial" w:hAnsi="arial" w:cs="arial"/>
          <w:i/>
          <w:color w:val="000000"/>
          <w:sz w:val="20"/>
          <w:lang w:val="en-US" w:eastAsia="en-US" w:bidi="ar-SA"/>
        </w:rPr>
        <w:t>Izony v. Weidlich</w:t>
      </w:r>
      <w:r>
        <w:rPr>
          <w:rFonts w:ascii="arial" w:eastAsia="arial" w:hAnsi="arial" w:cs="arial"/>
          <w:color w:val="000000"/>
          <w:sz w:val="20"/>
          <w:lang w:val="en-US" w:eastAsia="en-US" w:bidi="ar-SA"/>
        </w:rPr>
        <w:t xml:space="preserve">, </w:t>
      </w:r>
      <w:hyperlink r:id="rId717" w:history="1">
        <w:r>
          <w:rPr>
            <w:rFonts w:ascii="arial" w:eastAsia="arial" w:hAnsi="arial" w:cs="arial"/>
            <w:i/>
            <w:color w:val="0077CC"/>
            <w:sz w:val="20"/>
            <w:u w:val="single"/>
            <w:shd w:val="clear" w:color="auto" w:fill="FFFFFF"/>
            <w:lang w:val="en-US" w:eastAsia="en-US" w:bidi="ar-SA"/>
          </w:rPr>
          <w:t>2006 BCSC 1315</w:t>
        </w:r>
      </w:hyperlink>
      <w:r>
        <w:rPr>
          <w:rFonts w:ascii="arial" w:eastAsia="arial" w:hAnsi="arial" w:cs="arial"/>
          <w:color w:val="000000"/>
          <w:sz w:val="20"/>
          <w:lang w:val="en-US" w:eastAsia="en-US" w:bidi="ar-SA"/>
        </w:rPr>
        <w:t xml:space="preserve"> at para. 74; </w:t>
      </w:r>
      <w:r>
        <w:rPr>
          <w:rFonts w:ascii="arial" w:eastAsia="arial" w:hAnsi="arial" w:cs="arial"/>
          <w:i/>
          <w:color w:val="000000"/>
          <w:sz w:val="20"/>
          <w:lang w:val="en-US" w:eastAsia="en-US" w:bidi="ar-SA"/>
        </w:rPr>
        <w:t>O'Connell v. Yung,</w:t>
      </w:r>
      <w:r>
        <w:rPr>
          <w:rFonts w:ascii="arial" w:eastAsia="arial" w:hAnsi="arial" w:cs="arial"/>
          <w:color w:val="000000"/>
          <w:sz w:val="20"/>
          <w:lang w:val="en-US" w:eastAsia="en-US" w:bidi="ar-SA"/>
        </w:rPr>
        <w:t xml:space="preserve"> </w:t>
      </w:r>
      <w:hyperlink r:id="rId718" w:history="1">
        <w:r>
          <w:rPr>
            <w:rFonts w:ascii="arial" w:eastAsia="arial" w:hAnsi="arial" w:cs="arial"/>
            <w:i/>
            <w:color w:val="0077CC"/>
            <w:sz w:val="20"/>
            <w:u w:val="single"/>
            <w:shd w:val="clear" w:color="auto" w:fill="FFFFFF"/>
            <w:lang w:val="en-US" w:eastAsia="en-US" w:bidi="ar-SA"/>
          </w:rPr>
          <w:t>2012 BCCA 57</w:t>
        </w:r>
      </w:hyperlink>
      <w:r>
        <w:rPr>
          <w:rFonts w:ascii="arial" w:eastAsia="arial" w:hAnsi="arial" w:cs="arial"/>
          <w:color w:val="000000"/>
          <w:sz w:val="20"/>
          <w:lang w:val="en-US" w:eastAsia="en-US" w:bidi="ar-SA"/>
        </w:rPr>
        <w:t xml:space="preserve"> at paras. 55, 60, &amp; 68-70.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xml:space="preserve">  The extent, if any, to which a future care costs award should be adjusted for contingencies depends on the specific care needs of the plaintiff. In some cases negative contingencies are offset by positive contingencies and, therefore, a contingency adjustment is not required. In other cases, however, the award is reduced based on the prospect of improvement in the plaintiff's condition or increased based on the prospect that additional care will be required. Each case falls to be determined on its particular facts: </w:t>
      </w:r>
      <w:r>
        <w:rPr>
          <w:rFonts w:ascii="arial" w:eastAsia="arial" w:hAnsi="arial" w:cs="arial"/>
          <w:i/>
          <w:color w:val="000000"/>
          <w:sz w:val="20"/>
          <w:lang w:val="en-US" w:eastAsia="en-US" w:bidi="ar-SA"/>
        </w:rPr>
        <w:t>Gilbert v. Bottle</w:t>
      </w:r>
      <w:r>
        <w:rPr>
          <w:rFonts w:ascii="arial" w:eastAsia="arial" w:hAnsi="arial" w:cs="arial"/>
          <w:color w:val="000000"/>
          <w:sz w:val="20"/>
          <w:lang w:val="en-US" w:eastAsia="en-US" w:bidi="ar-SA"/>
        </w:rPr>
        <w:t xml:space="preserve">, </w:t>
      </w:r>
      <w:hyperlink r:id="rId709" w:history="1">
        <w:r>
          <w:rPr>
            <w:rFonts w:ascii="arial" w:eastAsia="arial" w:hAnsi="arial" w:cs="arial"/>
            <w:i/>
            <w:color w:val="0077CC"/>
            <w:sz w:val="20"/>
            <w:u w:val="single"/>
            <w:shd w:val="clear" w:color="auto" w:fill="FFFFFF"/>
            <w:lang w:val="en-US" w:eastAsia="en-US" w:bidi="ar-SA"/>
          </w:rPr>
          <w:t>2011 BCSC 1389</w:t>
        </w:r>
      </w:hyperlink>
      <w:r>
        <w:rPr>
          <w:rFonts w:ascii="arial" w:eastAsia="arial" w:hAnsi="arial" w:cs="arial"/>
          <w:color w:val="000000"/>
          <w:sz w:val="20"/>
          <w:lang w:val="en-US" w:eastAsia="en-US" w:bidi="ar-SA"/>
        </w:rPr>
        <w:t xml:space="preserve"> at para. 253.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xml:space="preserve">  An assessment of damages for cost of future care is not a precise accounting exercise: </w:t>
      </w:r>
      <w:r>
        <w:rPr>
          <w:rFonts w:ascii="arial" w:eastAsia="arial" w:hAnsi="arial" w:cs="arial"/>
          <w:i/>
          <w:color w:val="000000"/>
          <w:sz w:val="20"/>
          <w:lang w:val="en-US" w:eastAsia="en-US" w:bidi="ar-SA"/>
        </w:rPr>
        <w:t>Krangle (Guardian ad litem of) v. Brisco</w:t>
      </w:r>
      <w:r>
        <w:rPr>
          <w:rFonts w:ascii="arial" w:eastAsia="arial" w:hAnsi="arial" w:cs="arial"/>
          <w:color w:val="000000"/>
          <w:sz w:val="20"/>
          <w:lang w:val="en-US" w:eastAsia="en-US" w:bidi="ar-SA"/>
        </w:rPr>
        <w:t xml:space="preserve">, </w:t>
      </w:r>
      <w:hyperlink r:id="rId540" w:history="1">
        <w:r>
          <w:rPr>
            <w:rFonts w:ascii="arial" w:eastAsia="arial" w:hAnsi="arial" w:cs="arial"/>
            <w:i/>
            <w:color w:val="0077CC"/>
            <w:sz w:val="20"/>
            <w:u w:val="single"/>
            <w:shd w:val="clear" w:color="auto" w:fill="FFFFFF"/>
            <w:lang w:val="en-US" w:eastAsia="en-US" w:bidi="ar-SA"/>
          </w:rPr>
          <w:t>2002 SCC 9</w:t>
        </w:r>
      </w:hyperlink>
      <w:r>
        <w:rPr>
          <w:rFonts w:ascii="arial" w:eastAsia="arial" w:hAnsi="arial" w:cs="arial"/>
          <w:color w:val="000000"/>
          <w:sz w:val="20"/>
          <w:lang w:val="en-US" w:eastAsia="en-US" w:bidi="ar-SA"/>
        </w:rPr>
        <w:t xml:space="preserve"> at para. 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The plaintiff submits there is a requirement for ongoing prescription narcotic medication. In 2013 the monthly cost of that medication was approximately $40, the present value of which to age 80 is almost $11,000 using the statutorily prescribed discount rate, but without any adjustment for positive or negative contingencies.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The plaintiff also submits there will be a need for a periodic therapy to help the plaintiff manage future episodes of severe pain aggravation. Because the plaintiff attended 40 sessions of physiotherapy in the four years since the first motor vehicle accident (an average of ten sessions a year at $600 per annum) the present value of such a rate of treatment to the age of 60 is approximately $9,600, again before application of any contingencies. The plaintiff therefore suggests the plaintiff's aggregate claim for cost of future care is sensibly valued at $19,000.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The defendants submit that the plaintiff is in a "dynamic state of treatment" at present and is scheduled to see a neurosurgeon later in the spring of this year for possible treatment by way of nerve blocks or epidural steroid injections. It is possible this treatment may see an improvement of symptoms which may afford a good opportunity for the plaintiff to get off his current narcotic medications as several of the physicians have recommended.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The defendants also submit that the plaintiff has been very diligent with respect to his exercise and efforts to maintain core strength. If he continues to do this, severe aggravations of the low back pain may be reduced or avoided, along with a necessity for a periodic 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For the moment at least, it is clear that the plaintiff has not been weaned off his medication and that pain killers will continue to be prescribed for the foreseeable future. It is also sensible to assume periodic therapy for ongoing flare-ups is likely, although the frequency of same is essentially just speculation. In my view, there is little doubt that future care costs will be incurred. Even taking into account both negative and positive contingencies, an award under this heading is warranted in the circumstances of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Doing the best I can with the available medical evidence and the "crystal ball gazing" required, I assess damages for the plaintiff's cost of future care in the amount of $8,500. This amount should be reduced by 15% to reflect the measurable risk of the plaintiff's pre-existing back condition would have triggered such care requirements in any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In summary, damages are awarded to the plaintiff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8"/>
        <w:gridCol w:w="4496"/>
        <w:gridCol w:w="2091"/>
        <w:gridCol w:w="324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40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Non-Pecuniary General Damages</w:t>
            </w:r>
          </w:p>
        </w:tc>
        <w:tc>
          <w:tcPr>
            <w:tcW w:w="204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$72,250.00</w:t>
            </w:r>
          </w:p>
        </w:tc>
        <w:tc>
          <w:tcPr>
            <w:tcW w:w="317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706"/>
        <w:gridCol w:w="1882"/>
        <w:gridCol w:w="324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60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Past Loss of Firefighting Income</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$16,520.00</w:t>
            </w:r>
          </w:p>
        </w:tc>
        <w:tc>
          <w:tcPr>
            <w:tcW w:w="317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078"/>
        <w:gridCol w:w="2510"/>
        <w:gridCol w:w="324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99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Other Special Damages</w:t>
            </w:r>
          </w:p>
        </w:tc>
        <w:tc>
          <w:tcPr>
            <w:tcW w:w="245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$2,191.86</w:t>
            </w:r>
          </w:p>
        </w:tc>
        <w:tc>
          <w:tcPr>
            <w:tcW w:w="317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601"/>
        <w:gridCol w:w="1987"/>
        <w:gridCol w:w="324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Past Loss of Earning Capacity</w:t>
            </w:r>
          </w:p>
        </w:tc>
        <w:tc>
          <w:tcPr>
            <w:tcW w:w="194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$3,500.00</w:t>
            </w:r>
          </w:p>
        </w:tc>
        <w:tc>
          <w:tcPr>
            <w:tcW w:w="317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50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Loss of Future Earning Capacity</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$250,750.00</w:t>
            </w:r>
          </w:p>
        </w:tc>
        <w:tc>
          <w:tcPr>
            <w:tcW w:w="317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8"/>
        <w:gridCol w:w="3973"/>
        <w:gridCol w:w="2614"/>
        <w:gridCol w:w="324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89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Cost of Future Care</w:t>
            </w:r>
          </w:p>
        </w:tc>
        <w:tc>
          <w:tcPr>
            <w:tcW w:w="256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$7,225.00</w:t>
            </w:r>
          </w:p>
        </w:tc>
        <w:tc>
          <w:tcPr>
            <w:tcW w:w="317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124"/>
        <w:gridCol w:w="366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01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w:t>
            </w:r>
          </w:p>
        </w:tc>
        <w:tc>
          <w:tcPr>
            <w:tcW w:w="358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$352,436.86*</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*plus court order interest as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Should anything have occurred between the parties that might affect any award of costs in this case, the parties may make submissions forthwith on same. Otherwise, costs will follow the event and are awarded to the plaintiff to be assessed under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N.P. KENT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82" style="position:absolute;z-index:25179648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19"/>
          <w:headerReference w:type="default" r:id="rId720"/>
          <w:footerReference w:type="even" r:id="rId721"/>
          <w:footerReference w:type="default" r:id="rId722"/>
          <w:headerReference w:type="first" r:id="rId723"/>
          <w:footerReference w:type="first" r:id="rId72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25" w:history="1">
        <w:r>
          <w:rPr>
            <w:rFonts w:ascii="arial" w:eastAsia="arial" w:hAnsi="arial" w:cs="arial"/>
            <w:b/>
            <w:bCs/>
            <w:i/>
            <w:color w:val="0077CC"/>
            <w:kern w:val="32"/>
            <w:sz w:val="28"/>
            <w:szCs w:val="32"/>
            <w:u w:val="single"/>
            <w:shd w:val="clear" w:color="auto" w:fill="FFFFFF"/>
            <w:lang w:val="en-US" w:eastAsia="en-US" w:bidi="ar-SA"/>
          </w:rPr>
          <w:t>Jaholkowski (Litigation guardian of) v. Gascoyne, [2012] B.C.J. No. 3099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B.M. Greyell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2,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April 18,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S092652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[2012] B.C.J. No. 3099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2012 BCSC 2241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Karol Jaholkowski by his litigation guardian, Joanna Jaholkowski, Plaintiff, and Ryan Gascoyne, DKE University Scholarship, Bursary and Housing Association and The University of British Columbia,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(56 paras.)</w:t>
      </w:r>
    </w:p>
    <w:p>
      <w:pPr>
        <w:jc w:val="both"/>
        <w:rPr>
          <w:rFonts w:ascii="arial" w:eastAsia="arial" w:hAnsi="arial" w:cs="arial"/>
          <w:sz w:val="20"/>
          <w:lang w:val="en-US" w:eastAsia="en-US" w:bidi="ar-SA"/>
        </w:rPr>
      </w:pPr>
      <w:bookmarkStart w:id="196" w:name="Counsel_35"/>
      <w:bookmarkEnd w:id="19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83" style="position:absolute;z-index:2516951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Robyn L. Wishart.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Appearing for Polygon Westbury Land Development Ltd., Polygon Homes Ltd., Polygon Construction Management Ltd.: Geoffrey Bowman.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Appearing for Edward Michael Leflufy d.b.a. Edward LeFlufy Urban Design and Architecture: Stephen P. Coyle.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Appearing for Thomas Leung Structural Engineering Inc.: Melissa Bryden.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Appearing for GHL Consultants Ltd.: Christopher M. Rusnak.</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97" w:name="Judgment_35"/>
      <w:bookmarkEnd w:id="197"/>
      <w:r>
        <w:pict>
          <v:line id="_x0000_s1184" style="position:absolute;z-index:25174630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Oral 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8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98" w:name="B.M. GREYELL J. (orally)"/>
            <w:bookmarkEnd w:id="198"/>
            <w:r>
              <w:rPr>
                <w:rFonts w:ascii="arial" w:eastAsia="arial" w:hAnsi="arial" w:cs="arial"/>
                <w:b/>
                <w:color w:val="000000"/>
                <w:sz w:val="30"/>
                <w:lang w:val="en-US" w:eastAsia="en-US" w:bidi="ar-SA"/>
              </w:rPr>
              <w:t>B.M. GREYELL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Counsel, these are my reasons in this matter. Thank you for attending this morning.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This is an application by the plaintiff pursuant to Rule 6-2(7)(c) of the </w:t>
      </w:r>
      <w:r>
        <w:rPr>
          <w:rFonts w:ascii="arial" w:eastAsia="arial" w:hAnsi="arial" w:cs="arial"/>
          <w:i/>
          <w:color w:val="000000"/>
          <w:sz w:val="20"/>
          <w:lang w:val="en-US" w:eastAsia="en-US" w:bidi="ar-SA"/>
        </w:rPr>
        <w:t>Rules of Court</w:t>
      </w:r>
      <w:r>
        <w:rPr>
          <w:rFonts w:ascii="arial" w:eastAsia="arial" w:hAnsi="arial" w:cs="arial"/>
          <w:color w:val="000000"/>
          <w:sz w:val="20"/>
          <w:lang w:val="en-US" w:eastAsia="en-US" w:bidi="ar-SA"/>
        </w:rPr>
        <w:t xml:space="preserve"> to add a number of parties to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also relies on Rules 1-3, 3-2, 8-1 and 24-1.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By way of brief background, the plaintiff sustained serious head and brain injuries when he fell from a flat roof at 2880 Westbrook Mall (the premises) during a fraternity event on April 12, 2007. He was a student at the University of British Columbia (UBC) at the time. The premises at which the accident occurred are part of a collection of student housing known as Fraternity Village located at or near UBC.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 commenced this action on April 7, 2009, against Mr. Gascoyne, a fellow student who was involved in the accident; UBC, the owner of the premises; and DKE University Scholarship, Bursary and Housing Association (DKE), the lessee and occupier of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Each of the existing defendants has filed a statement of defence in which they deny liability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Subsequent to the issuing of the writ and statement of claim, there have been several changes in counsel representing the plaintiff. The plaintiff's current counsel was retained in January 2010. Shortly after he was retained, he decided there were a number of parties he thought should have been named as defendants to the action. I should note, as may be obvious, that at the time plaintiff's counsel was retained the limitation period for service of the writ was close at hand.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Plaintiff's counsel sought to add the following entities: UBC Properties Trust (Properties), which was responsible for overseeing the development of the premises; The Owners Strata Plan BCS 571 (the Strata Corporation), which managed the common property of the premises and ensured tenants adhered to the corporation's by-laws; the Interfraternity Council of B.C., in these proceedings represented by the Alma Mater Society (AMS), which is asserted to have been responsible for supervising and monitoring the use of the premises at social gathering and parties; and the architects, engineers, contractors, subcontractors and other parties involved in the planning, designing, engineering and constructing of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Shortly after new counsel was retained, interrogatories were issued to the existing defendants requesting the names and addresses of the Strata Corporation and the architects, engineers, contractors and others involved in the development or building of the premises. Counsel for the defendant Gascoyne identified the name of the Strata Corporation; DKE and UBC did not respond to the interrogatories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Plaintiff's counsel, through various Internet searches, determined the following: Polygon Construction Management (Polygon) designed, engineered and constructed the premises; Properties was responsible for overseeing the development of the premises; AMS was responsible for monitoring the use of the premises; and Ramsay Worden Architects Limited (Ramsay Worden) acted as architects for the premises and was responsible for the planning, designing and engineering of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As plaintiff's counsel was concerned the limitation period had by now expired, although not the time for service of the writ, he issued a notice of motion dated April 9, 2010. He served it on the defendants and on the parties he sought to add as proposed defendants, namely, the Strata Corporation, Polygon, Properties, AMS and Ramsay Worden. UBC subsequently provided a list of additional parties involved in the planning, designing, engineering and constructing of the premises. Plaintiff's counsel served a second notice of motion dated April 22, 2010, seeking to add as defendants the newly discovered parties GHL Consultants Ltd. (GHL) and Thomas Leung Structural Engineering (Thomas Leung).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After further inquiry, plaintiff's counsel issued a third notice of motion seeking to add Edward Michael LeFlufy Urban Design &amp; Architecture (ELUDA) as a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 will refer to Polygon, GHL, Thomas Leung, Ramsay Worden and ELUDA as the "proposed development defendants". For reasons that will become apparent in this decision, I also include Properties in this category.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various applications to add defendants did not come on for hearing until April 2, 2012, because of scheduling conflicts in various counsels' calendars. Appropriately, no party takes issue with the length of time it has taken to bring this matter on for hearing as a result of such delay.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None of the existing defendants oppose the plaintiff's application. The proposed defendants Properties and Strata Corporation do not oppose the application. The balance of the proposed defendants do oppose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Rule 6-2(7)(c), the rule under which this application is brought,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Adding, removing or substituting parties by order</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any stage of a proceeding, the court, on application by any person, may, subject to subrules (9) and (10),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order that a person be added as a party if there may exist, between the person and any party to the proceeding, a question or issue relating to or connected with</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any relief claimed in the proceeding, or</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subject matter of the proceeding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that, in the opinion of the court, it would be just and convenient to determine as between the person and that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Rule 6-2(7)(c) replicates Rule 15(5)(a)(iii) of the former </w:t>
      </w:r>
      <w:r>
        <w:rPr>
          <w:rFonts w:ascii="arial" w:eastAsia="arial" w:hAnsi="arial" w:cs="arial"/>
          <w:i/>
          <w:color w:val="000000"/>
          <w:sz w:val="20"/>
          <w:lang w:val="en-US" w:eastAsia="en-US" w:bidi="ar-SA"/>
        </w:rPr>
        <w:t>Rules of Court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The plaintiff acknowledges the limitation period for issuing the action against the proposed defendants has now expired. He relies on s. 4(1)(d)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w:t>
      </w:r>
      <w:hyperlink r:id="rId263"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lang w:val="en-US" w:eastAsia="en-US" w:bidi="ar-SA"/>
        </w:rPr>
        <w:t>, as well as the provisions of Rule 6-2(7)(c) in support of his application. Section 4(1)(d)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Counterclaim or other claim or proceeding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 (1) If an action to which this or any other Act applies has been commenced, the lapse of time limited for bringing an action is no bar to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adding or substituting a new party as plaintiff or defendant,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under any applicable law, with respect to any claims relating to or connected with the subject matter of the original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An application under Rule 6-2(7)(c) to add parties after the expiration of the limitation period is subject to a two-part test as set out in </w:t>
      </w:r>
      <w:r>
        <w:rPr>
          <w:rFonts w:ascii="arial" w:eastAsia="arial" w:hAnsi="arial" w:cs="arial"/>
          <w:i/>
          <w:color w:val="000000"/>
          <w:sz w:val="20"/>
          <w:lang w:val="en-US" w:eastAsia="en-US" w:bidi="ar-SA"/>
        </w:rPr>
        <w:t>The Owners, Strata Plan No. VIS3578 v. John A. Neilson Architects Inc.</w:t>
      </w:r>
      <w:r>
        <w:rPr>
          <w:rFonts w:ascii="arial" w:eastAsia="arial" w:hAnsi="arial" w:cs="arial"/>
          <w:color w:val="000000"/>
          <w:sz w:val="20"/>
          <w:lang w:val="en-US" w:eastAsia="en-US" w:bidi="ar-SA"/>
        </w:rPr>
        <w:t xml:space="preserve">, </w:t>
      </w:r>
      <w:hyperlink r:id="rId726" w:history="1">
        <w:r>
          <w:rPr>
            <w:rFonts w:ascii="arial" w:eastAsia="arial" w:hAnsi="arial" w:cs="arial"/>
            <w:i/>
            <w:color w:val="0077CC"/>
            <w:sz w:val="20"/>
            <w:u w:val="single"/>
            <w:shd w:val="clear" w:color="auto" w:fill="FFFFFF"/>
            <w:lang w:val="en-US" w:eastAsia="en-US" w:bidi="ar-SA"/>
          </w:rPr>
          <w:t>2010 BCCA 329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Strata Plan VIS3578</w:t>
      </w:r>
      <w:r>
        <w:rPr>
          <w:rFonts w:ascii="arial" w:eastAsia="arial" w:hAnsi="arial" w:cs="arial"/>
          <w:color w:val="000000"/>
          <w:sz w:val="20"/>
          <w:lang w:val="en-US" w:eastAsia="en-US" w:bidi="ar-SA"/>
        </w:rPr>
        <w:t>]. At paras. 45 - 46, the court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[45] Subrule 15(5)(a)(iii) thus establishes two requirements that an applicant must prove to succeed in joining a new defendant. First, it must show that there is a question or issue between the plaintiff and the proposed defendant that relates to the relief, remedy, or subject matter of the proceeding. The threshold is low. It has been expressed as establishing simply that there is a real issue between them that is not frivolous, or that the plaintiff has a possible cause of action against the proposed party. This requirement may be met solely on the basis of proposed amendments to the statement of claim, or the parties may provide affidavit evidence addressing it. If evidence is provided, the court is not to weigh it and assess whether the plaintiff could prove the allegations. It is limited to examining the evidence only to the extent necessary to determine if the required issue between the parties exists: </w:t>
      </w:r>
      <w:r>
        <w:rPr>
          <w:rFonts w:ascii="arial" w:eastAsia="arial" w:hAnsi="arial" w:cs="arial"/>
          <w:i/>
          <w:color w:val="000000"/>
          <w:sz w:val="20"/>
          <w:lang w:val="en-US" w:eastAsia="en-US" w:bidi="ar-SA"/>
        </w:rPr>
        <w:t>Strata Plan LMS 1816 v. Acastina Investments Ltd.</w:t>
      </w:r>
      <w:r>
        <w:rPr>
          <w:rFonts w:ascii="arial" w:eastAsia="arial" w:hAnsi="arial" w:cs="arial"/>
          <w:color w:val="000000"/>
          <w:sz w:val="20"/>
          <w:lang w:val="en-US" w:eastAsia="en-US" w:bidi="ar-SA"/>
        </w:rPr>
        <w:t xml:space="preserve">, </w:t>
      </w:r>
      <w:hyperlink r:id="rId267" w:history="1">
        <w:r>
          <w:rPr>
            <w:rFonts w:ascii="arial" w:eastAsia="arial" w:hAnsi="arial" w:cs="arial"/>
            <w:i/>
            <w:color w:val="0077CC"/>
            <w:sz w:val="20"/>
            <w:u w:val="single"/>
            <w:shd w:val="clear" w:color="auto" w:fill="FFFFFF"/>
            <w:lang w:val="en-US" w:eastAsia="en-US" w:bidi="ar-SA"/>
          </w:rPr>
          <w:t>2004 BCCA 578</w:t>
        </w:r>
      </w:hyperlink>
      <w:r>
        <w:rPr>
          <w:rFonts w:ascii="arial" w:eastAsia="arial" w:hAnsi="arial" w:cs="arial"/>
          <w:color w:val="000000"/>
          <w:sz w:val="20"/>
          <w:lang w:val="en-US" w:eastAsia="en-US" w:bidi="ar-SA"/>
        </w:rPr>
        <w:t xml:space="preserve">, </w:t>
      </w:r>
      <w:hyperlink r:id="rId267" w:history="1">
        <w:r>
          <w:rPr>
            <w:rFonts w:ascii="arial" w:eastAsia="arial" w:hAnsi="arial" w:cs="arial"/>
            <w:i/>
            <w:color w:val="0077CC"/>
            <w:sz w:val="20"/>
            <w:u w:val="single"/>
            <w:shd w:val="clear" w:color="auto" w:fill="FFFFFF"/>
            <w:lang w:val="en-US" w:eastAsia="en-US" w:bidi="ar-SA"/>
          </w:rPr>
          <w:t>33 B.C.L.R. (4th) 69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MacMillan Bloedel Ltd. v. Binstead et al</w:t>
      </w:r>
      <w:r>
        <w:rPr>
          <w:rFonts w:ascii="arial" w:eastAsia="arial" w:hAnsi="arial" w:cs="arial"/>
          <w:color w:val="000000"/>
          <w:sz w:val="20"/>
          <w:lang w:val="en-US" w:eastAsia="en-US" w:bidi="ar-SA"/>
        </w:rPr>
        <w:t xml:space="preserve">. </w:t>
      </w:r>
      <w:hyperlink r:id="rId272" w:history="1">
        <w:r>
          <w:rPr>
            <w:rFonts w:ascii="arial" w:eastAsia="arial" w:hAnsi="arial" w:cs="arial"/>
            <w:i/>
            <w:color w:val="0077CC"/>
            <w:sz w:val="20"/>
            <w:u w:val="single"/>
            <w:shd w:val="clear" w:color="auto" w:fill="FFFFFF"/>
            <w:lang w:val="en-US" w:eastAsia="en-US" w:bidi="ar-SA"/>
          </w:rPr>
          <w:t>(1981), 58 B.C.L.R. 173</w:t>
        </w:r>
      </w:hyperlink>
      <w:r>
        <w:rPr>
          <w:rFonts w:ascii="arial" w:eastAsia="arial" w:hAnsi="arial" w:cs="arial"/>
          <w:color w:val="000000"/>
          <w:sz w:val="20"/>
          <w:lang w:val="en-US" w:eastAsia="en-US" w:bidi="ar-SA"/>
        </w:rPr>
        <w:t xml:space="preserve"> (C.A.).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[46] If this first requirement is met, the court must next determine whether it would be just and convenient to decide the issue between the parties in this proceeding. This is a discretionary decision, but that discretion is fettered to the extent that it must be exercised judicially, and in accord with the evidence adduced and the guidelines established in the authorities: </w:t>
      </w:r>
      <w:r>
        <w:rPr>
          <w:rFonts w:ascii="arial" w:eastAsia="arial" w:hAnsi="arial" w:cs="arial"/>
          <w:i/>
          <w:color w:val="000000"/>
          <w:sz w:val="20"/>
          <w:lang w:val="en-US" w:eastAsia="en-US" w:bidi="ar-SA"/>
        </w:rPr>
        <w:t>Letvad v. Fenwick</w:t>
      </w:r>
      <w:r>
        <w:rPr>
          <w:rFonts w:ascii="arial" w:eastAsia="arial" w:hAnsi="arial" w:cs="arial"/>
          <w:color w:val="000000"/>
          <w:sz w:val="20"/>
          <w:lang w:val="en-US" w:eastAsia="en-US" w:bidi="ar-SA"/>
        </w:rPr>
        <w:t xml:space="preserve">, </w:t>
      </w:r>
      <w:hyperlink r:id="rId266" w:history="1">
        <w:r>
          <w:rPr>
            <w:rFonts w:ascii="arial" w:eastAsia="arial" w:hAnsi="arial" w:cs="arial"/>
            <w:i/>
            <w:color w:val="0077CC"/>
            <w:sz w:val="20"/>
            <w:u w:val="single"/>
            <w:shd w:val="clear" w:color="auto" w:fill="FFFFFF"/>
            <w:lang w:val="en-US" w:eastAsia="en-US" w:bidi="ar-SA"/>
          </w:rPr>
          <w:t>2000 BCCA 630</w:t>
        </w:r>
      </w:hyperlink>
      <w:r>
        <w:rPr>
          <w:rFonts w:ascii="arial" w:eastAsia="arial" w:hAnsi="arial" w:cs="arial"/>
          <w:color w:val="000000"/>
          <w:sz w:val="20"/>
          <w:lang w:val="en-US" w:eastAsia="en-US" w:bidi="ar-SA"/>
        </w:rPr>
        <w:t xml:space="preserve">, </w:t>
      </w:r>
      <w:hyperlink r:id="rId266" w:history="1">
        <w:r>
          <w:rPr>
            <w:rFonts w:ascii="arial" w:eastAsia="arial" w:hAnsi="arial" w:cs="arial"/>
            <w:i/>
            <w:color w:val="0077CC"/>
            <w:sz w:val="20"/>
            <w:u w:val="single"/>
            <w:shd w:val="clear" w:color="auto" w:fill="FFFFFF"/>
            <w:lang w:val="en-US" w:eastAsia="en-US" w:bidi="ar-SA"/>
          </w:rPr>
          <w:t>82 B.C.L.R. (3d) 296</w:t>
        </w:r>
      </w:hyperlink>
      <w:r>
        <w:rPr>
          <w:rFonts w:ascii="arial" w:eastAsia="arial" w:hAnsi="arial" w:cs="arial"/>
          <w:color w:val="000000"/>
          <w:sz w:val="20"/>
          <w:lang w:val="en-US" w:eastAsia="en-US" w:bidi="ar-SA"/>
        </w:rPr>
        <w:t xml:space="preserve">. At para. 29 of </w:t>
      </w:r>
      <w:r>
        <w:rPr>
          <w:rFonts w:ascii="arial" w:eastAsia="arial" w:hAnsi="arial" w:cs="arial"/>
          <w:i/>
          <w:color w:val="000000"/>
          <w:sz w:val="20"/>
          <w:lang w:val="en-US" w:eastAsia="en-US" w:bidi="ar-SA"/>
        </w:rPr>
        <w:t>Letvad</w:t>
      </w:r>
      <w:r>
        <w:rPr>
          <w:rFonts w:ascii="arial" w:eastAsia="arial" w:hAnsi="arial" w:cs="arial"/>
          <w:color w:val="000000"/>
          <w:sz w:val="20"/>
          <w:lang w:val="en-US" w:eastAsia="en-US" w:bidi="ar-SA"/>
        </w:rPr>
        <w:t xml:space="preserve">, Esson J.A., writing for the Court, adopted the list of factors to be considered from </w:t>
      </w:r>
      <w:r>
        <w:rPr>
          <w:rFonts w:ascii="arial" w:eastAsia="arial" w:hAnsi="arial" w:cs="arial"/>
          <w:i/>
          <w:color w:val="000000"/>
          <w:sz w:val="20"/>
          <w:lang w:val="en-US" w:eastAsia="en-US" w:bidi="ar-SA"/>
        </w:rPr>
        <w:t>Teal Cedar Products (1977) Ltd. v. Dale Intermediaries Ltd</w:t>
      </w:r>
      <w:r>
        <w:rPr>
          <w:rFonts w:ascii="arial" w:eastAsia="arial" w:hAnsi="arial" w:cs="arial"/>
          <w:color w:val="000000"/>
          <w:sz w:val="20"/>
          <w:lang w:val="en-US" w:eastAsia="en-US" w:bidi="ar-SA"/>
        </w:rPr>
        <w:t xml:space="preserve">. </w:t>
      </w:r>
      <w:hyperlink r:id="rId727" w:history="1">
        <w:r>
          <w:rPr>
            <w:rFonts w:ascii="arial" w:eastAsia="arial" w:hAnsi="arial" w:cs="arial"/>
            <w:i/>
            <w:color w:val="0077CC"/>
            <w:sz w:val="20"/>
            <w:u w:val="single"/>
            <w:shd w:val="clear" w:color="auto" w:fill="FFFFFF"/>
            <w:lang w:val="en-US" w:eastAsia="en-US" w:bidi="ar-SA"/>
          </w:rPr>
          <w:t>(1996), 71 B.C.A.C. 161</w:t>
        </w:r>
      </w:hyperlink>
      <w:r>
        <w:rPr>
          <w:rFonts w:ascii="arial" w:eastAsia="arial" w:hAnsi="arial" w:cs="arial"/>
          <w:color w:val="000000"/>
          <w:sz w:val="20"/>
          <w:lang w:val="en-US" w:eastAsia="en-US" w:bidi="ar-SA"/>
        </w:rPr>
        <w:t xml:space="preserve">, </w:t>
      </w:r>
      <w:hyperlink r:id="rId727" w:history="1">
        <w:r>
          <w:rPr>
            <w:rFonts w:ascii="arial" w:eastAsia="arial" w:hAnsi="arial" w:cs="arial"/>
            <w:i/>
            <w:color w:val="0077CC"/>
            <w:sz w:val="20"/>
            <w:u w:val="single"/>
            <w:shd w:val="clear" w:color="auto" w:fill="FFFFFF"/>
            <w:lang w:val="en-US" w:eastAsia="en-US" w:bidi="ar-SA"/>
          </w:rPr>
          <w:t>19 B.C.L.R. (3d) 282</w:t>
        </w:r>
      </w:hyperlink>
      <w:r>
        <w:rPr>
          <w:rFonts w:ascii="arial" w:eastAsia="arial" w:hAnsi="arial" w:cs="arial"/>
          <w:color w:val="000000"/>
          <w:sz w:val="20"/>
          <w:lang w:val="en-US" w:eastAsia="en-US" w:bidi="ar-SA"/>
        </w:rPr>
        <w:t>, a decision that dealt with adding further claims under R. 24. These include the extent of the delay, the reasons and any explanation for the delay, any prejudice arising from the delay, and the degree of connection between the existing action and the new parties and claims contemplated. The overriding question is what is just and convenient in the circumstances of the particular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Let me turn to the first requirement discussed above in </w:t>
      </w:r>
      <w:r>
        <w:rPr>
          <w:rFonts w:ascii="arial" w:eastAsia="arial" w:hAnsi="arial" w:cs="arial"/>
          <w:i/>
          <w:color w:val="000000"/>
          <w:sz w:val="20"/>
          <w:lang w:val="en-US" w:eastAsia="en-US" w:bidi="ar-SA"/>
        </w:rPr>
        <w:t>Strata Plan VIS3578</w:t>
      </w:r>
      <w:r>
        <w:rPr>
          <w:rFonts w:ascii="arial" w:eastAsia="arial" w:hAnsi="arial" w:cs="arial"/>
          <w:color w:val="000000"/>
          <w:sz w:val="20"/>
          <w:lang w:val="en-US" w:eastAsia="en-US" w:bidi="ar-SA"/>
        </w:rPr>
        <w:t>: Is the matter between the plaintiff and the proposed defendants related to or connected with the relief, remedy or subject matter of the original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As discussed in </w:t>
      </w:r>
      <w:r>
        <w:rPr>
          <w:rFonts w:ascii="arial" w:eastAsia="arial" w:hAnsi="arial" w:cs="arial"/>
          <w:i/>
          <w:color w:val="000000"/>
          <w:sz w:val="20"/>
          <w:lang w:val="en-US" w:eastAsia="en-US" w:bidi="ar-SA"/>
        </w:rPr>
        <w:t>Strata Plan LMS 1816 v. Acastina Investments Ltd.</w:t>
      </w:r>
      <w:r>
        <w:rPr>
          <w:rFonts w:ascii="arial" w:eastAsia="arial" w:hAnsi="arial" w:cs="arial"/>
          <w:color w:val="000000"/>
          <w:sz w:val="20"/>
          <w:lang w:val="en-US" w:eastAsia="en-US" w:bidi="ar-SA"/>
        </w:rPr>
        <w:t xml:space="preserve">, </w:t>
      </w:r>
      <w:hyperlink r:id="rId267" w:history="1">
        <w:r>
          <w:rPr>
            <w:rFonts w:ascii="arial" w:eastAsia="arial" w:hAnsi="arial" w:cs="arial"/>
            <w:i/>
            <w:color w:val="0077CC"/>
            <w:sz w:val="20"/>
            <w:u w:val="single"/>
            <w:shd w:val="clear" w:color="auto" w:fill="FFFFFF"/>
            <w:lang w:val="en-US" w:eastAsia="en-US" w:bidi="ar-SA"/>
          </w:rPr>
          <w:t>2004 BCCA 578</w:t>
        </w:r>
      </w:hyperlink>
      <w:r>
        <w:rPr>
          <w:rFonts w:ascii="arial" w:eastAsia="arial" w:hAnsi="arial" w:cs="arial"/>
          <w:color w:val="000000"/>
          <w:sz w:val="20"/>
          <w:lang w:val="en-US" w:eastAsia="en-US" w:bidi="ar-SA"/>
        </w:rPr>
        <w:t xml:space="preserve">, as well as in </w:t>
      </w:r>
      <w:r>
        <w:rPr>
          <w:rFonts w:ascii="arial" w:eastAsia="arial" w:hAnsi="arial" w:cs="arial"/>
          <w:i/>
          <w:color w:val="000000"/>
          <w:sz w:val="20"/>
          <w:lang w:val="en-US" w:eastAsia="en-US" w:bidi="ar-SA"/>
        </w:rPr>
        <w:t>Forde v. Interior Health Authority</w:t>
      </w:r>
      <w:r>
        <w:rPr>
          <w:rFonts w:ascii="arial" w:eastAsia="arial" w:hAnsi="arial" w:cs="arial"/>
          <w:color w:val="000000"/>
          <w:sz w:val="20"/>
          <w:lang w:val="en-US" w:eastAsia="en-US" w:bidi="ar-SA"/>
        </w:rPr>
        <w:t xml:space="preserve">, </w:t>
      </w:r>
      <w:hyperlink r:id="rId276" w:history="1">
        <w:r>
          <w:rPr>
            <w:rFonts w:ascii="arial" w:eastAsia="arial" w:hAnsi="arial" w:cs="arial"/>
            <w:i/>
            <w:color w:val="0077CC"/>
            <w:sz w:val="20"/>
            <w:u w:val="single"/>
            <w:shd w:val="clear" w:color="auto" w:fill="FFFFFF"/>
            <w:lang w:val="en-US" w:eastAsia="en-US" w:bidi="ar-SA"/>
          </w:rPr>
          <w:t>2007 BCSC 1706</w:t>
        </w:r>
      </w:hyperlink>
      <w:r>
        <w:rPr>
          <w:rFonts w:ascii="arial" w:eastAsia="arial" w:hAnsi="arial" w:cs="arial"/>
          <w:color w:val="000000"/>
          <w:sz w:val="20"/>
          <w:lang w:val="en-US" w:eastAsia="en-US" w:bidi="ar-SA"/>
        </w:rPr>
        <w:t xml:space="preserve">, in order to demonstrate a possible cause of action against a proposed defendant the plaintiff "must plead those facts which are material to a viable cause of action": </w:t>
      </w:r>
      <w:r>
        <w:rPr>
          <w:rFonts w:ascii="arial" w:eastAsia="arial" w:hAnsi="arial" w:cs="arial"/>
          <w:i/>
          <w:color w:val="000000"/>
          <w:sz w:val="20"/>
          <w:lang w:val="en-US" w:eastAsia="en-US" w:bidi="ar-SA"/>
        </w:rPr>
        <w:t>Forde</w:t>
      </w:r>
      <w:r>
        <w:rPr>
          <w:rFonts w:ascii="arial" w:eastAsia="arial" w:hAnsi="arial" w:cs="arial"/>
          <w:color w:val="000000"/>
          <w:sz w:val="20"/>
          <w:lang w:val="en-US" w:eastAsia="en-US" w:bidi="ar-SA"/>
        </w:rPr>
        <w:t xml:space="preserve">, at para. 14. See also </w:t>
      </w:r>
      <w:r>
        <w:rPr>
          <w:rFonts w:ascii="arial" w:eastAsia="arial" w:hAnsi="arial" w:cs="arial"/>
          <w:i/>
          <w:color w:val="000000"/>
          <w:sz w:val="20"/>
          <w:lang w:val="en-US" w:eastAsia="en-US" w:bidi="ar-SA"/>
        </w:rPr>
        <w:t>Strata Plan LMS 1816</w:t>
      </w:r>
      <w:r>
        <w:rPr>
          <w:rFonts w:ascii="arial" w:eastAsia="arial" w:hAnsi="arial" w:cs="arial"/>
          <w:color w:val="000000"/>
          <w:sz w:val="20"/>
          <w:lang w:val="en-US" w:eastAsia="en-US" w:bidi="ar-SA"/>
        </w:rPr>
        <w:t xml:space="preserve">, at para. 14. Pleadings must be "specific enough to show on what grounds the proposed defendant is being sued": </w:t>
      </w:r>
      <w:r>
        <w:rPr>
          <w:rFonts w:ascii="arial" w:eastAsia="arial" w:hAnsi="arial" w:cs="arial"/>
          <w:i/>
          <w:color w:val="000000"/>
          <w:sz w:val="20"/>
          <w:lang w:val="en-US" w:eastAsia="en-US" w:bidi="ar-SA"/>
        </w:rPr>
        <w:t>Forde</w:t>
      </w:r>
      <w:r>
        <w:rPr>
          <w:rFonts w:ascii="arial" w:eastAsia="arial" w:hAnsi="arial" w:cs="arial"/>
          <w:color w:val="000000"/>
          <w:sz w:val="20"/>
          <w:lang w:val="en-US" w:eastAsia="en-US" w:bidi="ar-SA"/>
        </w:rPr>
        <w:t>, at para. 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I agree with and adopt the reasoning of Madam Justice Russell in </w:t>
      </w:r>
      <w:r>
        <w:rPr>
          <w:rFonts w:ascii="arial" w:eastAsia="arial" w:hAnsi="arial" w:cs="arial"/>
          <w:i/>
          <w:color w:val="000000"/>
          <w:sz w:val="20"/>
          <w:lang w:val="en-US" w:eastAsia="en-US" w:bidi="ar-SA"/>
        </w:rPr>
        <w:t>Forde</w:t>
      </w:r>
      <w:r>
        <w:rPr>
          <w:rFonts w:ascii="arial" w:eastAsia="arial" w:hAnsi="arial" w:cs="arial"/>
          <w:color w:val="000000"/>
          <w:sz w:val="20"/>
          <w:lang w:val="en-US" w:eastAsia="en-US" w:bidi="ar-SA"/>
        </w:rPr>
        <w:t xml:space="preserve"> that it is not sufficient to "lump defendants together and make blanket allegations against them, unless those defendants ... [are] in an identical relationship to the plaintiff": at para. 16. Madam Justice Russell's analysis in </w:t>
      </w:r>
      <w:r>
        <w:rPr>
          <w:rFonts w:ascii="arial" w:eastAsia="arial" w:hAnsi="arial" w:cs="arial"/>
          <w:i/>
          <w:color w:val="000000"/>
          <w:sz w:val="20"/>
          <w:lang w:val="en-US" w:eastAsia="en-US" w:bidi="ar-SA"/>
        </w:rPr>
        <w:t>Forde</w:t>
      </w:r>
      <w:r>
        <w:rPr>
          <w:rFonts w:ascii="arial" w:eastAsia="arial" w:hAnsi="arial" w:cs="arial"/>
          <w:color w:val="000000"/>
          <w:sz w:val="20"/>
          <w:lang w:val="en-US" w:eastAsia="en-US" w:bidi="ar-SA"/>
        </w:rPr>
        <w:t xml:space="preserve"> was approved by the Court of Appeal in </w:t>
      </w:r>
      <w:r>
        <w:rPr>
          <w:rFonts w:ascii="arial" w:eastAsia="arial" w:hAnsi="arial" w:cs="arial"/>
          <w:i/>
          <w:color w:val="000000"/>
          <w:sz w:val="20"/>
          <w:lang w:val="en-US" w:eastAsia="en-US" w:bidi="ar-SA"/>
        </w:rPr>
        <w:t>Strata Plan</w:t>
      </w:r>
      <w:r>
        <w:rPr>
          <w:rFonts w:ascii="arial" w:eastAsia="arial" w:hAnsi="arial" w:cs="arial"/>
          <w:color w:val="000000"/>
          <w:sz w:val="20"/>
          <w:lang w:val="en-US" w:eastAsia="en-US" w:bidi="ar-SA"/>
        </w:rPr>
        <w:t xml:space="preserve"> VIS3578, at paras. 58, 72-75.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the matter before me, at paragraphs 21-25 of the present proposed amended notice of civil claim the plaintiff has described each of the proposed development defendants in these terms:</w:t>
      </w:r>
      <w:r>
        <w:rPr>
          <w:rFonts w:ascii="arial" w:eastAsia="arial" w:hAnsi="arial" w:cs="arial"/>
          <w:sz w:val="20"/>
          <w:lang w:val="en-US" w:eastAsia="en-US" w:bidi="ar-SA"/>
        </w:rPr>
        <w:cr/>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Polygon Construction was responsible for the planning, designing, engineering and construction of the Premises.</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Ramsay Architects was responsible for the planning, designing, engineering and construction of the Premises.</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GHL Consultants was responsible for the planning, designing, engineering and construction of the Premises.</w:t>
      </w:r>
    </w:p>
    <w:p>
      <w:pPr>
        <w:numPr>
          <w:numId w:val="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Leung was responsible for the planning, designing, engineering and construction of the Premises.</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ELUDA was responsible for the planning, designing, engineering and construction of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allegation against Properties, in paragraph 26 of the amended notice of civil claim, is that Properties was responsible for overseeing the development of the premises and the Fraternity Village.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In those paragraphs of the amended notice of civil claim setting out the "Legal Basis" of the claim (paragraphs 5-10), the plaintiff has set out some 11 identical particulars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alleged against each of the proposed development defendants. Each is alleged to have been negligent by:</w:t>
      </w:r>
      <w:r>
        <w:rPr>
          <w:rFonts w:ascii="arial" w:eastAsia="arial" w:hAnsi="arial" w:cs="arial"/>
          <w:sz w:val="20"/>
          <w:lang w:val="en-US" w:eastAsia="en-US" w:bidi="ar-SA"/>
        </w:rPr>
        <w:cr/>
      </w:r>
    </w:p>
    <w:p>
      <w:pPr>
        <w:numPr>
          <w:numId w:val="1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provide for or install railings or guards on the overhang;</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provide for or install any window safety restrictors including but not limited to window limiters and/or window restraints;</w:t>
      </w:r>
    </w:p>
    <w:p>
      <w:pPr>
        <w:numPr>
          <w:numId w:val="1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take action to physically block or prohibit access through the windows to the overhang;</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erect a warning sign to residents not to access the overhang;</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erect a warning sign to warn residents that access through the window opening is unsafe;</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take action to address safety concerns with respect to the window opening and access to the overhang through the window opening in the consultation and planning phase of the design of fraternity village both before and after occupancy by the student residents;</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provide and/or ensure the premises were safe for the plaintiff;</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institute a safety initiative with respect to the window opening and access to the overhang through the window opening in the consultation and planning phase of the design of fraternity village both before and after occupancy by the student residents;</w:t>
      </w:r>
    </w:p>
    <w:p>
      <w:pPr>
        <w:numPr>
          <w:numId w:val="1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violating the British Columbia </w:t>
      </w:r>
      <w:r>
        <w:rPr>
          <w:rFonts w:ascii="arial" w:eastAsia="arial" w:hAnsi="arial" w:cs="arial"/>
          <w:i/>
          <w:color w:val="000000"/>
          <w:sz w:val="20"/>
          <w:lang w:val="en-US" w:eastAsia="en-US" w:bidi="ar-SA"/>
        </w:rPr>
        <w:t>Building Code</w:t>
      </w:r>
      <w:r>
        <w:rPr>
          <w:rFonts w:ascii="arial" w:eastAsia="arial" w:hAnsi="arial" w:cs="arial"/>
          <w:color w:val="000000"/>
          <w:sz w:val="20"/>
          <w:lang w:val="en-US" w:eastAsia="en-US" w:bidi="ar-SA"/>
        </w:rPr>
        <w:t xml:space="preserve"> 2006 and/or the </w:t>
      </w:r>
      <w:r>
        <w:rPr>
          <w:rFonts w:ascii="arial" w:eastAsia="arial" w:hAnsi="arial" w:cs="arial"/>
          <w:i/>
          <w:color w:val="000000"/>
          <w:sz w:val="20"/>
          <w:lang w:val="en-US" w:eastAsia="en-US" w:bidi="ar-SA"/>
        </w:rPr>
        <w:t>National Building Code</w:t>
      </w:r>
      <w:r>
        <w:rPr>
          <w:rFonts w:ascii="arial" w:eastAsia="arial" w:hAnsi="arial" w:cs="arial"/>
          <w:color w:val="000000"/>
          <w:sz w:val="20"/>
          <w:lang w:val="en-US" w:eastAsia="en-US" w:bidi="ar-SA"/>
        </w:rPr>
        <w:t xml:space="preserve"> and amendments thereto, including, but not limited to, the design and installation of guards, railings and suitable window openings given the quality and nature of the premises;</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violating the British Columbia </w:t>
      </w:r>
      <w:r>
        <w:rPr>
          <w:rFonts w:ascii="arial" w:eastAsia="arial" w:hAnsi="arial" w:cs="arial"/>
          <w:i/>
          <w:color w:val="000000"/>
          <w:sz w:val="20"/>
          <w:lang w:val="en-US" w:eastAsia="en-US" w:bidi="ar-SA"/>
        </w:rPr>
        <w:t>Fire Code</w:t>
      </w:r>
      <w:r>
        <w:rPr>
          <w:rFonts w:ascii="arial" w:eastAsia="arial" w:hAnsi="arial" w:cs="arial"/>
          <w:color w:val="000000"/>
          <w:sz w:val="20"/>
          <w:lang w:val="en-US" w:eastAsia="en-US" w:bidi="ar-SA"/>
        </w:rPr>
        <w:t xml:space="preserve"> 2006 and amendments thereto, including, but not limited to, the design and installation of emergency exit systems and emergency egress pathways, given the quality and nature of the premises; and</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plan, design and/or install guards, railings and safe window openings, exposing the plaintiff to unacceptable safety risks.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facts before the court establish Polygon was responsible for the construction of the premises; Ramsay Worden for certain aspects of the architectural design of the premises; GHL for aspects of fire safety design; Thomas Leung for aspects of structural engineering design; and ELUDA for design work done in or about 1998. Properties was responsible for the overall development of the premises. In other words, the facts before the court establish that each of the proposed development defendants had a separate and distinct role to play in the development of the premises. I will return to this issue again shortly when I consider whether it is just and convenient to permit the addition of certain of these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As Madam Justice Russell observed in </w:t>
      </w:r>
      <w:r>
        <w:rPr>
          <w:rFonts w:ascii="arial" w:eastAsia="arial" w:hAnsi="arial" w:cs="arial"/>
          <w:i/>
          <w:color w:val="000000"/>
          <w:sz w:val="20"/>
          <w:lang w:val="en-US" w:eastAsia="en-US" w:bidi="ar-SA"/>
        </w:rPr>
        <w:t>Forde</w:t>
      </w:r>
      <w:r>
        <w:rPr>
          <w:rFonts w:ascii="arial" w:eastAsia="arial" w:hAnsi="arial" w:cs="arial"/>
          <w:color w:val="000000"/>
          <w:sz w:val="20"/>
          <w:lang w:val="en-US" w:eastAsia="en-US" w:bidi="ar-SA"/>
        </w:rPr>
        <w:t xml:space="preserve">, in that case the plaintiff had particularized 11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that were "applicable to one, several, or all of the defendants": at para. 17. She found the plaintiff had "improperly made blanket allegations against the proposed defendants": at para. 17. As she stated at para. 15: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 ... [A]lthough pleadings may be general [in nature], they must be specific enough to show what grounds the proposed defendant is being sued. ...</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[Citations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 find her comments applicable in this case insofar as the allegations against the proposed development defendants are concerned.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Affidavit evidence is admissible on an application such as this. In that regard, the following statement from </w:t>
      </w:r>
      <w:r>
        <w:rPr>
          <w:rFonts w:ascii="arial" w:eastAsia="arial" w:hAnsi="arial" w:cs="arial"/>
          <w:i/>
          <w:color w:val="000000"/>
          <w:sz w:val="20"/>
          <w:lang w:val="en-US" w:eastAsia="en-US" w:bidi="ar-SA"/>
        </w:rPr>
        <w:t>Letvad v. Fenwick</w:t>
      </w:r>
      <w:r>
        <w:rPr>
          <w:rFonts w:ascii="arial" w:eastAsia="arial" w:hAnsi="arial" w:cs="arial"/>
          <w:color w:val="000000"/>
          <w:sz w:val="20"/>
          <w:lang w:val="en-US" w:eastAsia="en-US" w:bidi="ar-SA"/>
        </w:rPr>
        <w:t xml:space="preserve">, </w:t>
      </w:r>
      <w:hyperlink r:id="rId266" w:history="1">
        <w:r>
          <w:rPr>
            <w:rFonts w:ascii="arial" w:eastAsia="arial" w:hAnsi="arial" w:cs="arial"/>
            <w:i/>
            <w:color w:val="0077CC"/>
            <w:sz w:val="20"/>
            <w:u w:val="single"/>
            <w:shd w:val="clear" w:color="auto" w:fill="FFFFFF"/>
            <w:lang w:val="en-US" w:eastAsia="en-US" w:bidi="ar-SA"/>
          </w:rPr>
          <w:t>2000 BCCA 630</w:t>
        </w:r>
      </w:hyperlink>
      <w:r>
        <w:rPr>
          <w:rFonts w:ascii="arial" w:eastAsia="arial" w:hAnsi="arial" w:cs="arial"/>
          <w:color w:val="000000"/>
          <w:sz w:val="20"/>
          <w:lang w:val="en-US" w:eastAsia="en-US" w:bidi="ar-SA"/>
        </w:rPr>
        <w:t xml:space="preserve"> at para. 35 is applicable to the case before me as well: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[35] ... [T]he plaintiff has produced nothing to put any flesh on the bones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allegations, there still is no way of knowing what case, if any, may be advanced.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Accordingly, I am of the view the proposed amended notice of civil claim does not set out with sufficient particularity a cause of action against each of the proposed development defendants, including Properties, and that the plaintiff's application to add these defendants must be dismissed for that reason.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same considerations do not apply to AMS or Strata Corporation as the pleadings concerning these proposed defendants are, in my view, more specific and are sufficient to put each of these defendants on notice of the claim asserted against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claim against AMS is set out in paragraph 27 of the amended notice of civil claim. It asserts that AMS was responsible for supervising, monitoring and restricting the use of the premises by tenants and/or members of the fraternities, particularly for social gatherings and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Paragraph 28 asserts against the Strata Corporation that it was responsible for managing the common property and for ensuring tenants adhere to the strata bylaws and rules.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In the event I am wrong in concluding the pleadings against the proposed development defendants are boilerplate pleadings and do not with sufficient particularity plead a cause of action against the proposed development defendants, I am further of the view the claims set out in the amended notice of civil claim against the proposed development defendants are not sufficiently connected to the original cause of action commenced by the plaintiff. Accordingly, the plaintiff's application in relation to those defendants must also fail under the second requirement of the test outlined in </w:t>
      </w:r>
      <w:r>
        <w:rPr>
          <w:rFonts w:ascii="arial" w:eastAsia="arial" w:hAnsi="arial" w:cs="arial"/>
          <w:i/>
          <w:color w:val="000000"/>
          <w:sz w:val="20"/>
          <w:lang w:val="en-US" w:eastAsia="en-US" w:bidi="ar-SA"/>
        </w:rPr>
        <w:t>Strata Plan VIS3578</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The original action against UBC and DKE was founded on allegations these two defendants, as the owners and landlords of the premises, were negligent and in breach of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337</w:t>
      </w:r>
      <w:r>
        <w:rPr>
          <w:rFonts w:ascii="arial" w:eastAsia="arial" w:hAnsi="arial" w:cs="arial"/>
          <w:color w:val="000000"/>
          <w:sz w:val="20"/>
          <w:lang w:val="en-US" w:eastAsia="en-US" w:bidi="ar-SA"/>
        </w:rPr>
        <w:t>. Paragraph 12 of the statement of claim alleges they were negligent or in breach for:</w:t>
      </w:r>
      <w:r>
        <w:rPr>
          <w:rFonts w:ascii="arial" w:eastAsia="arial" w:hAnsi="arial" w:cs="arial"/>
          <w:sz w:val="20"/>
          <w:lang w:val="en-US" w:eastAsia="en-US" w:bidi="ar-SA"/>
        </w:rPr>
        <w:cr/>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recognize the dangerous premises;</w:t>
      </w:r>
    </w:p>
    <w:p>
      <w:pPr>
        <w:numPr>
          <w:numId w:val="24"/>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providing railings on the roof;</w:t>
      </w:r>
    </w:p>
    <w:p>
      <w:pPr>
        <w:numPr>
          <w:numId w:val="25"/>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prohibit the improper use of the roof;</w:t>
      </w:r>
    </w:p>
    <w:p>
      <w:pPr>
        <w:numPr>
          <w:numId w:val="26"/>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enact and enforce adequate safety practices with regard to any use of the roof, proper or improper, allowed or prohibited; and</w:t>
      </w:r>
    </w:p>
    <w:p>
      <w:pPr>
        <w:numPr>
          <w:numId w:val="27"/>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such further particulars as may be discovered.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Under the second requirement from </w:t>
      </w:r>
      <w:r>
        <w:rPr>
          <w:rFonts w:ascii="arial" w:eastAsia="arial" w:hAnsi="arial" w:cs="arial"/>
          <w:i/>
          <w:color w:val="000000"/>
          <w:sz w:val="20"/>
          <w:lang w:val="en-US" w:eastAsia="en-US" w:bidi="ar-SA"/>
        </w:rPr>
        <w:t>Strata Plan VIS3578</w:t>
      </w:r>
      <w:r>
        <w:rPr>
          <w:rFonts w:ascii="arial" w:eastAsia="arial" w:hAnsi="arial" w:cs="arial"/>
          <w:color w:val="000000"/>
          <w:sz w:val="20"/>
          <w:lang w:val="en-US" w:eastAsia="en-US" w:bidi="ar-SA"/>
        </w:rPr>
        <w:t xml:space="preserve">, a court has a discretion to add a proposed defendant to the action subject to the guidelines set out in the leading case in this area of </w:t>
      </w:r>
      <w:r>
        <w:rPr>
          <w:rFonts w:ascii="arial" w:eastAsia="arial" w:hAnsi="arial" w:cs="arial"/>
          <w:i/>
          <w:color w:val="000000"/>
          <w:sz w:val="20"/>
          <w:lang w:val="en-US" w:eastAsia="en-US" w:bidi="ar-SA"/>
        </w:rPr>
        <w:t>Teal Cedar Products (1977) Ltd. v. Dale Intermediaries Ltd</w:t>
      </w:r>
      <w:r>
        <w:rPr>
          <w:rFonts w:ascii="arial" w:eastAsia="arial" w:hAnsi="arial" w:cs="arial"/>
          <w:color w:val="000000"/>
          <w:sz w:val="20"/>
          <w:lang w:val="en-US" w:eastAsia="en-US" w:bidi="ar-SA"/>
        </w:rPr>
        <w:t xml:space="preserve">. </w:t>
      </w:r>
      <w:hyperlink r:id="rId727" w:history="1">
        <w:r>
          <w:rPr>
            <w:rFonts w:ascii="arial" w:eastAsia="arial" w:hAnsi="arial" w:cs="arial"/>
            <w:i/>
            <w:color w:val="0077CC"/>
            <w:sz w:val="20"/>
            <w:u w:val="single"/>
            <w:shd w:val="clear" w:color="auto" w:fill="FFFFFF"/>
            <w:lang w:val="en-US" w:eastAsia="en-US" w:bidi="ar-SA"/>
          </w:rPr>
          <w:t>(1996), 19 B.C.L.R. (3rd) 282</w:t>
        </w:r>
      </w:hyperlink>
      <w:r>
        <w:rPr>
          <w:rFonts w:ascii="arial" w:eastAsia="arial" w:hAnsi="arial" w:cs="arial"/>
          <w:color w:val="000000"/>
          <w:sz w:val="20"/>
          <w:lang w:val="en-US" w:eastAsia="en-US" w:bidi="ar-SA"/>
        </w:rPr>
        <w:t xml:space="preserve"> (C.A.). Those guidelines were confirmed and commented on at para. 29 of </w:t>
      </w:r>
      <w:r>
        <w:rPr>
          <w:rFonts w:ascii="arial" w:eastAsia="arial" w:hAnsi="arial" w:cs="arial"/>
          <w:i/>
          <w:color w:val="000000"/>
          <w:sz w:val="20"/>
          <w:lang w:val="en-US" w:eastAsia="en-US" w:bidi="ar-SA"/>
        </w:rPr>
        <w:t>Letvad</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[29] My understanding of the phrase "completely unfettered" in this context is that the discretion is not fettered by the relevant legislation, i.e., the Rule and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It is, however, fettered to the extent that, as was held in </w:t>
      </w:r>
      <w:r>
        <w:rPr>
          <w:rFonts w:ascii="arial" w:eastAsia="arial" w:hAnsi="arial" w:cs="arial"/>
          <w:i/>
          <w:color w:val="000000"/>
          <w:sz w:val="20"/>
          <w:lang w:val="en-US" w:eastAsia="en-US" w:bidi="ar-SA"/>
        </w:rPr>
        <w:t>Teal</w:t>
      </w:r>
      <w:r>
        <w:rPr>
          <w:rFonts w:ascii="arial" w:eastAsia="arial" w:hAnsi="arial" w:cs="arial"/>
          <w:color w:val="000000"/>
          <w:sz w:val="20"/>
          <w:lang w:val="en-US" w:eastAsia="en-US" w:bidi="ar-SA"/>
        </w:rPr>
        <w:t xml:space="preserve">, it must be exercised judicially, in accordance with the evidence adduced and such guidelines as may appear from the authorities. It was held in </w:t>
      </w:r>
      <w:r>
        <w:rPr>
          <w:rFonts w:ascii="arial" w:eastAsia="arial" w:hAnsi="arial" w:cs="arial"/>
          <w:i/>
          <w:color w:val="000000"/>
          <w:sz w:val="20"/>
          <w:lang w:val="en-US" w:eastAsia="en-US" w:bidi="ar-SA"/>
        </w:rPr>
        <w:t>Teal</w:t>
      </w:r>
      <w:r>
        <w:rPr>
          <w:rFonts w:ascii="arial" w:eastAsia="arial" w:hAnsi="arial" w:cs="arial"/>
          <w:color w:val="000000"/>
          <w:sz w:val="20"/>
          <w:lang w:val="en-US" w:eastAsia="en-US" w:bidi="ar-SA"/>
        </w:rPr>
        <w:t xml:space="preserve"> that the guidelines to which the chambers judge is required to have regard include these:</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extent of the delay;</w:t>
      </w:r>
    </w:p>
    <w:p>
      <w:pPr>
        <w:numPr>
          <w:numId w:val="29"/>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reasons for the delay;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any explanation put forward to account for the delay;</w:t>
      </w:r>
    </w:p>
    <w:p>
      <w:pPr>
        <w:numPr>
          <w:numId w:val="30"/>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degree of prejudice caused by delay; and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the extent of the connection, if any, between the existing claims and the proposed new cause of action.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McEachern C.J.B.C. in his concurring reasons said at p.300: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[74] Applying the same principles regardless of whether the application is to add new defendants, as in </w:t>
      </w:r>
      <w:r>
        <w:rPr>
          <w:rFonts w:ascii="arial" w:eastAsia="arial" w:hAnsi="arial" w:cs="arial"/>
          <w:i/>
          <w:color w:val="000000"/>
          <w:sz w:val="20"/>
          <w:lang w:val="en-US" w:eastAsia="en-US" w:bidi="ar-SA"/>
        </w:rPr>
        <w:t>Ricketts</w:t>
      </w:r>
      <w:r>
        <w:rPr>
          <w:rFonts w:ascii="arial" w:eastAsia="arial" w:hAnsi="arial" w:cs="arial"/>
          <w:color w:val="000000"/>
          <w:sz w:val="20"/>
          <w:lang w:val="en-US" w:eastAsia="en-US" w:bidi="ar-SA"/>
        </w:rPr>
        <w:t xml:space="preserve">, </w:t>
      </w:r>
      <w:hyperlink r:id="rId728" w:history="1">
        <w:r>
          <w:rPr>
            <w:rFonts w:ascii="arial" w:eastAsia="arial" w:hAnsi="arial" w:cs="arial"/>
            <w:i/>
            <w:color w:val="0077CC"/>
            <w:sz w:val="20"/>
            <w:u w:val="single"/>
            <w:shd w:val="clear" w:color="auto" w:fill="FFFFFF"/>
            <w:lang w:val="en-US" w:eastAsia="en-US" w:bidi="ar-SA"/>
          </w:rPr>
          <w:t>[1990] B.C.J. No. 487</w:t>
        </w:r>
      </w:hyperlink>
      <w:r>
        <w:rPr>
          <w:rFonts w:ascii="arial" w:eastAsia="arial" w:hAnsi="arial" w:cs="arial"/>
          <w:color w:val="000000"/>
          <w:sz w:val="20"/>
          <w:lang w:val="en-US" w:eastAsia="en-US" w:bidi="ar-SA"/>
        </w:rPr>
        <w:t xml:space="preserve"> or new causes of action, as in </w:t>
      </w:r>
      <w:r>
        <w:rPr>
          <w:rFonts w:ascii="arial" w:eastAsia="arial" w:hAnsi="arial" w:cs="arial"/>
          <w:i/>
          <w:color w:val="000000"/>
          <w:sz w:val="20"/>
          <w:lang w:val="en-US" w:eastAsia="en-US" w:bidi="ar-SA"/>
        </w:rPr>
        <w:t>Med Finance</w:t>
      </w:r>
      <w:r>
        <w:rPr>
          <w:rFonts w:ascii="arial" w:eastAsia="arial" w:hAnsi="arial" w:cs="arial"/>
          <w:color w:val="000000"/>
          <w:sz w:val="20"/>
          <w:lang w:val="en-US" w:eastAsia="en-US" w:bidi="ar-SA"/>
        </w:rPr>
        <w:t xml:space="preserve">, </w:t>
      </w:r>
      <w:hyperlink r:id="rId729" w:history="1">
        <w:r>
          <w:rPr>
            <w:rFonts w:ascii="arial" w:eastAsia="arial" w:hAnsi="arial" w:cs="arial"/>
            <w:i/>
            <w:color w:val="0077CC"/>
            <w:sz w:val="20"/>
            <w:u w:val="single"/>
            <w:shd w:val="clear" w:color="auto" w:fill="FFFFFF"/>
            <w:lang w:val="en-US" w:eastAsia="en-US" w:bidi="ar-SA"/>
          </w:rPr>
          <w:t>[1993] B.C.J. No. 1277</w:t>
        </w:r>
      </w:hyperlink>
      <w:r>
        <w:rPr>
          <w:rFonts w:ascii="arial" w:eastAsia="arial" w:hAnsi="arial" w:cs="arial"/>
          <w:color w:val="000000"/>
          <w:sz w:val="20"/>
          <w:lang w:val="en-US" w:eastAsia="en-US" w:bidi="ar-SA"/>
        </w:rPr>
        <w:t xml:space="preserve"> I believe the most important considerations, not necessarily in the following order, are the length of the delay, prejudice to the respondents, and the overriding question of what is just and convenient.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See also </w:t>
      </w:r>
      <w:r>
        <w:rPr>
          <w:rFonts w:ascii="arial" w:eastAsia="arial" w:hAnsi="arial" w:cs="arial"/>
          <w:i/>
          <w:color w:val="000000"/>
          <w:sz w:val="20"/>
          <w:lang w:val="en-US" w:eastAsia="en-US" w:bidi="ar-SA"/>
        </w:rPr>
        <w:t>Strata Plan VIS3578</w:t>
      </w:r>
      <w:r>
        <w:rPr>
          <w:rFonts w:ascii="arial" w:eastAsia="arial" w:hAnsi="arial" w:cs="arial"/>
          <w:color w:val="000000"/>
          <w:sz w:val="20"/>
          <w:lang w:val="en-US" w:eastAsia="en-US" w:bidi="ar-SA"/>
        </w:rPr>
        <w:t>, at para. 46.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What is "just and convenient" is, therefore, necessarily dependent upon the degree of connectivity between the existing claim and the proposed claim. In my view, the proposed amended notice of civil claim asserts a cause of action against the proposed development defendants which is not sufficiently connected to that asserted originally against UBC and DKE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in breach of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As referenced earlier, the proposed cause of action asserts each of the proposed development defendants was negligent in the various aspects of the planning, designing, engineering and constructing of the premises. This proposed claim is essentially different in nature and character from the original claim under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It, in essence, raises a different cause of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proposed claim would greatly broaden the scope of the litigation, it would make the litigation considerably more lengthy, much more time-consuming and much more expensive for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Cementation Co. (Can.) Limited v. American Home Assur. Co</w:t>
      </w:r>
      <w:r>
        <w:rPr>
          <w:rFonts w:ascii="arial" w:eastAsia="arial" w:hAnsi="arial" w:cs="arial"/>
          <w:color w:val="000000"/>
          <w:sz w:val="20"/>
          <w:lang w:val="en-US" w:eastAsia="en-US" w:bidi="ar-SA"/>
        </w:rPr>
        <w:t xml:space="preserve">. </w:t>
      </w:r>
      <w:hyperlink r:id="rId730" w:history="1">
        <w:r>
          <w:rPr>
            <w:rFonts w:ascii="arial" w:eastAsia="arial" w:hAnsi="arial" w:cs="arial"/>
            <w:i/>
            <w:color w:val="0077CC"/>
            <w:sz w:val="20"/>
            <w:u w:val="single"/>
            <w:shd w:val="clear" w:color="auto" w:fill="FFFFFF"/>
            <w:lang w:val="en-US" w:eastAsia="en-US" w:bidi="ar-SA"/>
          </w:rPr>
          <w:t>(1989), 37 B.C.L.R. (2d) 172</w:t>
        </w:r>
      </w:hyperlink>
      <w:r>
        <w:rPr>
          <w:rFonts w:ascii="arial" w:eastAsia="arial" w:hAnsi="arial" w:cs="arial"/>
          <w:color w:val="000000"/>
          <w:sz w:val="20"/>
          <w:lang w:val="en-US" w:eastAsia="en-US" w:bidi="ar-SA"/>
        </w:rPr>
        <w:t>, Mr. Justice Lambert of the Court of Appeal, in a discussion under "just and convenient", stated at 193: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view, if it is "just" to add [the proposed defendant] Chateau, it is also convenient for "convenient" in the context means, I think, "tending to efficiency" or "suitable to the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 conclude it would neither tend to the efficient conduct of this lawsuit, nor be suitable to the purpose of litigating the initial lawsuit to have these proposed development defendants added as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I accept that the other factors set out in </w:t>
      </w:r>
      <w:r>
        <w:rPr>
          <w:rFonts w:ascii="arial" w:eastAsia="arial" w:hAnsi="arial" w:cs="arial"/>
          <w:i/>
          <w:color w:val="000000"/>
          <w:sz w:val="20"/>
          <w:lang w:val="en-US" w:eastAsia="en-US" w:bidi="ar-SA"/>
        </w:rPr>
        <w:t>Letvad</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Teal</w:t>
      </w:r>
      <w:r>
        <w:rPr>
          <w:rFonts w:ascii="arial" w:eastAsia="arial" w:hAnsi="arial" w:cs="arial"/>
          <w:color w:val="000000"/>
          <w:sz w:val="20"/>
          <w:lang w:val="en-US" w:eastAsia="en-US" w:bidi="ar-SA"/>
        </w:rPr>
        <w:t xml:space="preserve"> lean in favour of the plaintiff: the delay was minimal; the reasons for the delay were sufficient; and there was no real prejudice caused by the delay, other than to deprive the proposed defendants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defence. However, for the reasons outlined above, I do not consider it either just or convenient to join the proposed development defendants as set out in the amended notice of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Further, as the authorities describe, the court may take into account evidence when considering whether it is just and convenient to add a proposed party to an action. In response to this action, several of the proposed development defendants filed affidavits. That material goes to both the specificity of the material facts asserted against each particular proposed development defendant, as I have earlier described, as well as whether it is just and convenient to add that defendant to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GHL filed an affidavit by its principal Mr. Lai. Mr. Lai deposed GHL was not retained to address, nor was it involved with, issues relating to the railings, guards or windows on the premises as alleged in the amended notice of civil claim. Mr. Lai deposed GHL's services with respect to the project "related solely to selected fire safety aspects of the building's construction and accessibility issues for persons with disabilities." He deposed there were no emergency exit systems or emergency egress pathways in the vicinity of the roof area from which the plaintiff fell.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plaintiff's counsel was advised of the position GHL was taking on this application as early as July 2010. Plaintiff's counsel attended the offices of GHL to review GHL's complete copy of project files in July 2010. The plaintiff has filed no materials in response to Mr. Lai's affidavit describing GHL's limited involvement in the construction of the premises, nor has he sought to narrow the scope of his pleadings against GHL.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Thomas Leung, the principal of Thomas Leung, filed an affidavit in which he deposed Polygon retained Thomas Leung to provide structural engineering for the construction of the premises, which included such services as preliminary sizing of building components, final structural design in accordance with the B.C. </w:t>
      </w:r>
      <w:r>
        <w:rPr>
          <w:rFonts w:ascii="arial" w:eastAsia="arial" w:hAnsi="arial" w:cs="arial"/>
          <w:i/>
          <w:color w:val="000000"/>
          <w:sz w:val="20"/>
          <w:lang w:val="en-US" w:eastAsia="en-US" w:bidi="ar-SA"/>
        </w:rPr>
        <w:t>Building Code</w:t>
      </w:r>
      <w:r>
        <w:rPr>
          <w:rFonts w:ascii="arial" w:eastAsia="arial" w:hAnsi="arial" w:cs="arial"/>
          <w:color w:val="000000"/>
          <w:sz w:val="20"/>
          <w:lang w:val="en-US" w:eastAsia="en-US" w:bidi="ar-SA"/>
        </w:rPr>
        <w:t>, structural design drawings and structural engineering specifications. Mr. Leung deposed Thomas Leung's role as the structural engineer "did not encompass designing restriction of access to the exterior of the building" or "the design or installation of railings or guards to any part of the building." Rather, it "was to design a structural system that would safely support the anticipated functions and loads for a given building design in accordance with the building code." Mr. Leung specifically denied Thomas Leung's involvement in the project encompassed responsibility for any of the items outlined in the allegations made against it in the proposed amended notice of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Thomas Leung's position in opposition to this application was made known to plaintiff's counsel in July 2010. Plaintiff's counsel attended at the offices of Thomas Leung's counsel in May 2010 to review Thomas Leung's file. The plaintiff, again, has filed no material in response to Mr. Leung's affidavit, nor has he amended his proposed notice of civil claim to particularize his claims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Thomas Leung.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Last, I refer to the affidavit of Mr. Edward LeFlufy, the principal of ELUDA. Mr. LeFlufy filed an affidavit deposing he had been retained in or about November 1998 by UBC to prepare urban design guidelines and to review conceptual designs for "the general arrangement, form and character of the proposed developments in the area in which the premises were subsequently constructed." Mr. LeFlufy deposed he had no direct input into the detailed design of the premises and, in particular, was not retained to consider windows, guards or roofs or safety matters concerning their use. He had no involvement in the project since November 1998 and deposed he had no "discernible recollection" of his involvement in it other than the design guidelines he had prepared pursuant to his retainer with UBC.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Again, the plaintiff has filed no materials in response to Mr. LeFlufy's description of the role of ELUDA, nor has he sought to narrow his pleadings against ELUDA.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affidavits offer further support for my conclusion that the pleadings against the proposed development defendants are improper boilerplate pleadings, as well as support for my conclusion it would not be just or convenient to add the proposed development defendants as parties to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The same considerations do not, in my view, apply to the proposed defendants Strata Corporation or AMS. The claims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these proposed defendants relate in the case of AMS, on behalf of IFC, to the alleged responsibility to supervise and monitor the use of the premises and, in the case of the Strata Corporation, to manage the common property to ensure tenants adhere to bylaws and rules. AMS has filed an affidavit denying responsibility for monitoring the particular event in which the plaintiff was injured. AMS says the party at which the plaintiff was injured when he fell from the roof was not an IFC-sanctioned event and, accordingly, it was not involved in the supervision or monitoring of the event. The Strata Corporation, as stated, takes no position on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The threshold to add a party is not a high one. In my view, the plaintiff has established the criteria set out in </w:t>
      </w:r>
      <w:r>
        <w:rPr>
          <w:rFonts w:ascii="arial" w:eastAsia="arial" w:hAnsi="arial" w:cs="arial"/>
          <w:i/>
          <w:color w:val="000000"/>
          <w:sz w:val="20"/>
          <w:lang w:val="en-US" w:eastAsia="en-US" w:bidi="ar-SA"/>
        </w:rPr>
        <w:t>Teal, Letvad</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Strata Plan VIS3578</w:t>
      </w:r>
      <w:r>
        <w:rPr>
          <w:rFonts w:ascii="arial" w:eastAsia="arial" w:hAnsi="arial" w:cs="arial"/>
          <w:color w:val="000000"/>
          <w:sz w:val="20"/>
          <w:lang w:val="en-US" w:eastAsia="en-US" w:bidi="ar-SA"/>
        </w:rPr>
        <w:t>. There is a connectivity, in my view, to the claim made against IFC, through its representative AMS, and the Strata Corporation to the original action commenced against the defendants Gascoyne, DKE and UBC. It cannot be said in the case of these defendants the delay was excessive or that either proposed defendant has or will suffer prejudice as a result of being added as defendants. Each has had notice of the claim within the three years allowed for filing and service of the writ. I am of the view it is just and convenient to add these proposed defendants. The claim against them does not excessively broaden the scope of the issues as such issues are related to the claims in the existing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It remains open, of course, as it remains open to any party, to AMS and the Strata Council to apply at an appropriate stage of this litigation for summary judgment dismissing the action should the evidence support such an application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Accordingly, the application to add the proposed development defendants is dismissed; the application to add AMS and the Strata Council is allowed.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Counsel, I would invite any submissions you may have as to costs.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[SUBMISSIONS RE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COURT: The only comment I would make on that is that, of course, there are a number of parties whom I have found are not to be joined, the majority, and the submissions were shared in many respects, so it would not be appropriate, in my view, for each of the proposed development defendants to be filing separate bills of costs given the sharing of the load, if I can call it that, on argument.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[SUBMISSIONS RE COST CONTINUING]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COURT: And if the matter cannot be resolved, it is determined by the registrar. Very well. And the issue with reference to AMS and the Strata Council would simply be costs in the cause, I presume? Yes.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Thank you,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B.M. GREYELL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85" style="position:absolute;z-index:25179750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31"/>
          <w:headerReference w:type="default" r:id="rId732"/>
          <w:footerReference w:type="even" r:id="rId733"/>
          <w:footerReference w:type="default" r:id="rId734"/>
          <w:headerReference w:type="first" r:id="rId735"/>
          <w:footerReference w:type="first" r:id="rId73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37" w:history="1">
        <w:r>
          <w:rPr>
            <w:rFonts w:ascii="arial" w:eastAsia="arial" w:hAnsi="arial" w:cs="arial"/>
            <w:b/>
            <w:bCs/>
            <w:i/>
            <w:color w:val="0077CC"/>
            <w:kern w:val="32"/>
            <w:sz w:val="28"/>
            <w:szCs w:val="32"/>
            <w:u w:val="single"/>
            <w:shd w:val="clear" w:color="auto" w:fill="FFFFFF"/>
            <w:lang w:val="en-US" w:eastAsia="en-US" w:bidi="ar-SA"/>
          </w:rPr>
          <w:t>Liu v. Chuo, [2019] B.C.J. No. 126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Horsman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December 3-6, 10 and 12,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30,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S146541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[2019] B.C.J. No. 126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2019 BCSC 109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Yu Chun Liu, Plaintiff, and Dr. Jean Yin Chuo,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(97 paras.)</w:t>
      </w:r>
    </w:p>
    <w:p>
      <w:pPr>
        <w:jc w:val="both"/>
        <w:rPr>
          <w:rFonts w:ascii="arial" w:eastAsia="arial" w:hAnsi="arial" w:cs="arial"/>
          <w:sz w:val="20"/>
          <w:lang w:val="en-US" w:eastAsia="en-US" w:bidi="ar-SA"/>
        </w:rPr>
      </w:pPr>
      <w:bookmarkStart w:id="199" w:name="Counsel_36"/>
      <w:bookmarkEnd w:id="19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86" style="position:absolute;z-index:2516961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appearing in person: Yu Chun Liu.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Cameron B.P. Elder, Dionne H. Liu.</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00" w:name="Judgment_36"/>
      <w:bookmarkEnd w:id="200"/>
      <w:r>
        <w:pict>
          <v:line id="_x0000_s1187" style="position:absolute;z-index:25174732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August 23, 2012 consultation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cataract surgeries on October 11 and 18, 2012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follow up appointments on October 19 and 25, 2012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plaintiff's post-surgery complaints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ANALYSIS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Credibility assessment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plaintiff's credibility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defendant's credibility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Issue I: Medical </w:t>
      </w:r>
      <w:r>
        <w:rPr>
          <w:rFonts w:ascii="arial" w:eastAsia="arial" w:hAnsi="arial" w:cs="arial"/>
          <w:b/>
          <w:i/>
          <w:color w:val="000000"/>
          <w:sz w:val="20"/>
          <w:u w:val="single"/>
          <w:lang w:val="en-US" w:eastAsia="en-US" w:bidi="ar-SA"/>
        </w:rPr>
        <w:t>negligence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legal framework</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Application to the plaintiff's claim</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Breach of standard of care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Causation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Issue II: Informed consent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legal framework</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Application to the plaintiff's claims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Was the plaintiff fully informed?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Materialization of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1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01" w:name="HORSMAN J."/>
            <w:bookmarkEnd w:id="201"/>
            <w:r>
              <w:rPr>
                <w:rFonts w:ascii="arial" w:eastAsia="arial" w:hAnsi="arial" w:cs="arial"/>
                <w:b/>
                <w:color w:val="000000"/>
                <w:sz w:val="30"/>
                <w:lang w:val="en-US" w:eastAsia="en-US" w:bidi="ar-SA"/>
              </w:rPr>
              <w:t>HORSMAN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plaintiff, Yu Chin Liu, underwent cataract surgeries on her right and left eye on October 11 and 18, 2012, respectively. The surgeries were performed by the defendant Dr. Jean Yin Chuo. The plaintiff advances two claims of medical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first is that the defendant was negligent in the provision of medical services to the plaintiff. The second is that the defendant failed to obtain the plaintiff's informed consent for the surgeries.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is 73 years old. She was referred to the defendant by her family physician in 2012. The defendant is an ophthalmologist, and has practiced in that field since completing her residency in ophthalmology and visual science at the University of British Columbia ("UBC") in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was self-represented at trial. The plaintiff is not fluent in English, and she participated at trial with the assistance of a Cantonese interpreter. The plaintiff did not tender expert evidence on standard of care or causation. Her evidence consisted primarily of her subjective recollection of the circumstances leading up to and following the surgeries, including her interactions with the defendant. Much of the plaintiff's evidence consisted of conjecture and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plaintiff's theory is that the defendant failed to conduct any assessment at all of the plaintiff's eyes before performing the cataract surgeries, that she misled the plaintiff about the risks associated with the cataract surgeries and also about the plaintiff's post-operative condition, and that she then forged her own medical records in furtherance of this deception. The plaintiff was unable to moderate her perception of the defendant's malfeasance in the face of the overwhelmingly contrary objective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 accept that the plaintiff is genuinely convinced that the cataract surgeries caused her significant injury, and that the injury is the result of deliberate misconduct by the defendant. However, the plaintiff's belief is wholly unsupported by the evidence. As such, I dismiss the plaintiff's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this section I will provide a chronology of events and briefly review the evidence of each party. The evidence of the plaintiff and the defendant as to the events of their first meeting and the surgeries that followed cannot be reconciled. For the reasons explained in the Analysis section of this judgment (at paras. 51-63), I prefer the evidence of the defendant where there is conflict.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August 23, 2012 consultation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defendant first saw the plaintiff on August 23, 2012 at the defendant's clinic in Vancouver. The plaintiff was referred to the defendant by her family physician, Dr. Harvey Wong.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defendant speaks fluent Mandarin and can understand some Cantonese. The defendant says that during this first consultation meeting, and the other meetings that followed, she conversed with the plaintiff in Mandarin. She says that the plaintiff did not appear to have any difficulty understanding or communicating in Mandarin. The plaintiff did not testify that she had difficulty understanding Mandarin. Her complaint in this action is that information was either not conveyed to her, or that misinformation was conveyed. The plaintiff did not say that she could not understand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Prior to the surgeries, the plaintiff was mildly myopic. She could see near and intermediate distances without the need for glasses, but had glasses for distance vision with a minus 1.25 prescription. The plaintiff said that she went to see the defendant because she felt that the light was dimming when she was reading at night.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 testified that when she met with the defendant on August 23, 2012, the defendant did not examine her eyes at all, before urging plaintiff to have cataract surgery in both eyes. The plaintiff said that the defendant explained to her that her dimming vision was caused by cataracts, and that the light would appear brighter after cataract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 testified that the defendant did not explain that cataract surgery would involve the implant of an intraocular lens, and did not discuss with the plaintiff any measurements of the plaintiff's myopia. The plaintiff said that the defendant led her to believe that the surgery was risk-free. The plaintiff said she trusted the defendant because the defendant told her she had studied ophthalmology at UBC for eight years, and then had completed internships at hospitals for an additional five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plaintiff signed a consent form for the cataract surgeries at the defendant's office on August 23, 2012. However, she stated that she felt rushed to sign the forms and had no time to consider the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defendant had some independent recall of her meeting with the plaintiff on August 23, 2012, but otherwise testified to her usual practice in first meetings with a patient. The defendant explained that as of August 2012, she would have had the same discussion with at least 400 patients, approximately 70-80% of which would have been in Mandarin.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defendant's usual practice as of August 2012 was that the patient would be greeted by the clinic receptionist, who would take the patient's personal health information and past medical and ocular history. The patient would then be taken to Michelle Rolleston, the defendant's surgical counsellor, who would measure the patient's eyes to produce a refraction, axial measurement, and corneal curvature measurement. These measurements would be used to calculate the most suitable intraocular lens to be implanted during cataract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the course of her meeting with the patient, the defendant testified that Ms. Rolleston would usually discuss cataracts and what was involved in eye cataract surgery, including the implantation of an intraocular lens. The same information would be provided to the patient in writing in the form of a pamphlet explaining the cataract surgery procedure. The pamphlet was available in English and also in Mandarin.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pamphlet includes an explanation of the intraocular lenses that are implanted in the course of cataract surgery, along with illustrative photographs. The defendant testified that these same photographs are on the wall of Ms. Rolleston's office in an enlarged format, and, in the ordinary course, are used by Ms. Rolleston to explain cataract surgery and intraocular lens implantation to patients.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defendant testified that she recalls receiving a folder from Ms. Rolleston before she saw the plaintiff on August 23, 2012. The folder contained the plaintiff's eye measurements which were used to select the appropriate intraocular lenses. This recollection is consistent with the defendant's clinical records produced in this action, which included IOL Master and OcuScan printouts for the plaintiff dated August 23, 2012, that provide the plaintiff's eye measurements, with Ms. Rolleston's initial and handwritten notations.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defendant further recalls that on August 23, 2012, she herself conducted an assessment of the plaintiff's eyes which included measuring the plaintiff's visual acuity using a Snellen chart, measuring the plaintiff's refraction using a retinoscope and phoropter, and examining her eyes using a slit lamp with the pupils dilated. This recollection is corroborated by the defendant's clinical records, which record in the defendant's handwriting, the measurements the defendant took of the plaintiff's eyes on August 23,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fact that the defendant assessed the plaintiff's eyes on August 23, 2012 is also corroborated in the defendant's reporting letter to Dr. Wong, the plaintiff's family physician, which is dated August 23, 2012. This letter states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EXAMINATION today her best corrected visual acuity is 20/40 in the right eye and 20/40+1 in the left eye. Pupils, extraocular movements and intraocular pressure are unremarkable. Slit lamp examination reveals significant nuclear sclerotic lenticular changes bilaterally. Dilated fundus examination shows health appearing optic discs, although the cup to disc ratio is mildly enlarged in the left eye.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defendant testified that she recalls the plaintiff asking at this initial meeting if the dim vision the plaintiff was experiencing was secondary to cataracts and the defendant confirmed that it was. The defendant says that the plaintiff asked her if surgery would resolve her symptoms, and the defendant responded that it most likely would but that it could not be a 100% guarantee.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defendant testified that she would have followed her usual practice in discussing cataracts, cataract surgery and the risks of surgery with the plaintiff. This practice included advising patients of the small chance of risks materializing in cataract surgery, including a slight risk of inflammation or infection, and a rare risk of blindness.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defendant testified that she recalls discussing target surgical outcomes with the plaintiff. The measurements taken of the plaintiff's eyes indicated that the plaintiff was mildly myopic prior to surgery, with a refraction of minus 1.5 in her right eye and minus 2.5 in her left eye. As noted, the plaintiff had prescription glasses for distance vision prior to surgery. The defendant explained that the plaintiff could keep the same near and intermediate vision after the surgery, but in that event she would continue to require prescription glasses for distance vision.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defendant said that the plaintiff indicated her preference to maintain her current level of vision, which was seeing clearly at near and intermediate distances without glasses. This is corroborated by the defendant's note in her clinical record of the August 23, 2012 meeting with the plaintiff that the "pt wants to be able to read &amp; use computer without glasses, 'just like 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It was on the basis of this desired surgical outcome that the defendant chose the appropriate intraocular lenses to implant during the cataract surgery.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cataract surgeries on October 11 and 18,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defendant performed the plaintiff's right eye cataract surgery on October 11, 2012. The defendant recalls speaking to the plaintiff briefly in the pre-operative area, and confirmed that the plaintiff wished to retain her current refractive state after surgery. This is again corroborated by the defendant's clinical records for October 11, 2012, in which the defendant noted "double checked in OR that pt wants to be left myopic".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defendant testified that the plaintiff's right eye surgery was somewhat more difficult than usual due to the fact that the cataract was denser than the defendant had expected, and the fact that the plaintiff's pupil did not dilate well due to floppy iris syndrome. Floppy iris syndrome consists of an iris that billows and moves unpredictably during cataract surgery. The defendant testified that both issues - the density of the cataract surgery and floppy iris syndrome - could not have been detected during pre-operative assessments.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defendant managed these issues inter-operatively, although the operation went longer than the defendant anticipated. The defendant's post-operative report recorded that the plaintiff had "tolerated the procedure well", and "no surgical complications had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plaintiff went to see the defendant on October 12, 2012 for a follow up visit. The plaintiff says that at this time her right eye was red and swollen, and she was experiencing pain. The plaintiff says that the defendant recommended the use of an artificial eye-drop to alleviate the swelling.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defendant testified that she examined the plaintiff's right eye at the visit on October 12, 2012 using a Snellen chart, and that she also checked the plaintiff's intraocular pressure. The plaintiff appeared, to the defendant, to be doing well after the right eye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cataract surgery on the plaintiff's left eye was scheduled for October 18, 2012. The plaintiff testified that by this time the inflammation in her right eye was more serious, and that she told the defendant at the hospital on October 18 that she did not want to go through with the left eye surgery. The plaintiff says that the defendant told her that she must have the operation on that day and there was no need to change the operation date. The plaintiff testified that she felt "forced" and "coerced" into having the second surgery on October 18,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defendant testified that she recalls speaking to the plaintiff in advance of the surgery on October 18, 2012. The defendant recalls the plaintiff stating that her right eye was still irritated, but does not recall the plaintiff requesting that the left eye surgery be deferred. The defendant says that there was no medical reason to defer the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defendant says that she again confirmed with the plaintiff prior to the left eye surgery that the plaintiff wished to keep her current refraction after surgery. This is corroborated in the defendant's clinical records for October 18, 2012, which include the note: "double check again that pt wants to be myopic 'I want to read with no glasses'".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defendant testified that there were also no surgical complications during the left eye surgery. The defendant's post-operative report again noted that the plaintiff had tolerated the procedure well.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follow up appointments on October 19 and 25,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defendant saw the plaintiff on October 19, 2012 at her clinic for a one-day follow up after the day of her last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plaintiff testified that by the time of the appointment on October 19, 2012, she had not been able to see for 20 hours. She says that her left eye was red and swollen, just as her right eye had been since the operation. The plaintiff says that the defendant did not assess her eyes with any apparatus, but only looked at her visually. The plaintiff says the defendant told the plaintiff that she would not be able to see anything so soon after the operation and she should come back in a few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defendant testified that on October 19, 2012 she examined both of the plaintiff's eyes with a slit lamp, making sure that the inflammation present was appropriate for that period of time post-operation. The defendant says she also checked the plaintiff's intraocular pressure and measured her right eye for distance vision using a Snellen chart. The defendant recalls that the plaintiff complained of light sensitivity and blurriness in her left eye, and grittiness in her right eye. The defendant says that she assured the plaintiff that these complaints were to be expected, and she gave her eye drops for lubrication purposes.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defendant's evidence of her assessment of the plaintiff's eyes on October 19, 2012 is corroborated by her clinical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plaintiff had a final follow up visit with the defendant on October 25, 2012. The plaintiff says that by this time, she was still unable to see anything. In her discussions with the defendant at that time, the plaintiff says that she attributed her inability to see to the defendant implanting incorrect intraocular lenses during surgeries. The plaintiff believed (and continues to believe) that the defendant did not measure the plaintiff's myopia, and put the wrong lenses in her eyes.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defendant testified that she recalled the plaintiff complaining of irritation and discomfort in her right eye at the October 25, 2012 visit, and that the plaintiff stated that she could not see out of her left eye. The defendant says she tested the plaintiff's visual acuity using a Snellen chart, and that her near vision was excellent in her left eye and her intermediate vision was excellent in her right eye. The defendant says that she explained to the plaintiff that her right eye irritation was normal given the surgery, and that she recommended that the plaintiff use artificial tears more frequently. The defendant recommended that the plaintiff follow up with her in a month.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defendant's recollection of her assessment of the plaintiff's eyes on October 25, 2012 is corroborated by her clinical records.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plaintiff's post-surgery complaints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plaintiff did not return to see the defendant after October 25, 2012. The plaintiff became convinced that the defendant damaged the plaintiff's eyes in the course of the cataract surgeries. This belief has become entrenched over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At trial, the plaintiff testified as to her subjective complaints about the defendant's medical care. The plaintiff says that she could not see anything for six months after the surgeries, and now has permanently diminished vision. She says that she has persistent pain in her eyes, that she experiences colour blindness, that her vision has become tubular, that cells in her eyes have died and her pupils are constricted, that she has not shed any tears since the surgeries, that her eyes are scarred and disfigured, and that she used to be beautiful but now is ugly because of the surgeries.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plaintiff described being unable to even see large print, and bumping into people on the street because she cannot see them. The plaintiff says she cannot even see a large bus when it is in front of her. She says that she has become depressed and reclusive, and no longer participates in activities that she used to enjoy, like singing.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plaintiff did not tender any medical evidence to establish a breach of the standard of care or a causal connection between her subjective complaints and the cataract surgeries. The only other witnesses who gave evidence for the plaintiff were her sister-in-law and a friend from the plaintiff's church. These witnesses testified about their observations of the plaintiff's condition post-surgeries. Neither witness was, of course, qualified to offer opinion evidence as to the cause of the plaintiff's condition. Much of the evidence of both witnesses consisted of inadmissible hearsay about what the plaintiff had told them about the surgeries and the medical care provided by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defendant tendered two expert reports. Dr. Briar Sexton is a licensed physician in British Columbia and a certified specialist in ophthalmology. Dr. Sexton performed an independent medical assessment of the plaintiff, and provided an opinion on issues including causation and standard of care. Dr. Martin McCarthy is also a specialist in ophthalmology. He is licensed to practice in British Columbia and California. Dr. McCarthy was asked to provide his opinion on issues related to standard of care, including the issue of informed consent, based on a review of the plaintiff's medical records and Dr. Sexton's independent medical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Dr. Sexton diagnosed the plaintiff with epiretinal membrane and macular degeneration, but opined that these are progressive conditions that were not caused by the cataract surgeries. Dr. Sexton also found that the plaintiff is a glaucoma suspect because she has an asymmetrical cup-to-disc ratio, but again opined that this condition is unrelated to the cataract surgeries.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Dr. Sexton concluded that many of the plaintiff's subjective complaints could be explained by these other conditions. Other complaints could not be explained on the basis of either the plaintiff's pre-existing conditions or the cataract surgeries. By way of example, Dr. Sexton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cannot account for her complaint not to be able to see a bus at a bus stop based on her history and physical examination and a thorough record review. Ms. Liu has mild myopia that requires her to wear glasses for distance. Her current prescription is weaker than her pre-operative prescription. Ms. Liu was able to read 20/60 in the left eye when she was unaware the left eye was under exam. She could not or would not do so when she was aware her left eye was being tested.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Dr. McCarthy similarly found that the plaintiff's existing conditions and subjective physical complaints were not related to the surgeries performed by the defendant. He concluded: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uncomplicated cataract surgery performed by Dr. Chuo would not have caused glaucoma, optic nerve damage, macular degeneration, epiretinal membrane formation, uneven pupils, image discolouration or sagging and wrinkling of the periocular skin.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plaintiff did not request either Dr. Sexton or Dr. McCarthy to attend the trial for the purposes of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Two issues arise for determination:</w:t>
      </w:r>
      <w:r>
        <w:rPr>
          <w:rFonts w:ascii="arial" w:eastAsia="arial" w:hAnsi="arial" w:cs="arial"/>
          <w:sz w:val="20"/>
          <w:lang w:val="en-US" w:eastAsia="en-US" w:bidi="ar-SA"/>
        </w:rPr>
        <w:cr/>
      </w:r>
    </w:p>
    <w:p>
      <w:pPr>
        <w:numPr>
          <w:numId w:val="1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defendant negligent in the provision of medical care to the plaintiff?</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defendant obtain informed consent from the plaintiff for the cataract surgeries?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Credibility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Given the conflicts in the evidence of the plaintiff and the defendant as to the relevant events, it is necessary to begin by addressing the question of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The principles that govern the assessment of the credibility of a witness are summarized in </w:t>
      </w:r>
      <w:r>
        <w:rPr>
          <w:rFonts w:ascii="arial" w:eastAsia="arial" w:hAnsi="arial" w:cs="arial"/>
          <w:i/>
          <w:color w:val="000000"/>
          <w:sz w:val="20"/>
          <w:lang w:val="en-US" w:eastAsia="en-US" w:bidi="ar-SA"/>
        </w:rPr>
        <w:t>Bradshaw v. Stenner</w:t>
      </w:r>
      <w:r>
        <w:rPr>
          <w:rFonts w:ascii="arial" w:eastAsia="arial" w:hAnsi="arial" w:cs="arial"/>
          <w:color w:val="000000"/>
          <w:sz w:val="20"/>
          <w:lang w:val="en-US" w:eastAsia="en-US" w:bidi="ar-SA"/>
        </w:rPr>
        <w:t xml:space="preserve">, </w:t>
      </w:r>
      <w:hyperlink r:id="rId496" w:history="1">
        <w:r>
          <w:rPr>
            <w:rFonts w:ascii="arial" w:eastAsia="arial" w:hAnsi="arial" w:cs="arial"/>
            <w:i/>
            <w:color w:val="0077CC"/>
            <w:sz w:val="20"/>
            <w:u w:val="single"/>
            <w:shd w:val="clear" w:color="auto" w:fill="FFFFFF"/>
            <w:lang w:val="en-US" w:eastAsia="en-US" w:bidi="ar-SA"/>
          </w:rPr>
          <w:t>2010 BCSC 1398</w:t>
        </w:r>
      </w:hyperlink>
      <w:r>
        <w:rPr>
          <w:rFonts w:ascii="arial" w:eastAsia="arial" w:hAnsi="arial" w:cs="arial"/>
          <w:color w:val="000000"/>
          <w:sz w:val="20"/>
          <w:lang w:val="en-US" w:eastAsia="en-US" w:bidi="ar-SA"/>
        </w:rPr>
        <w:t xml:space="preserve">, aff'd </w:t>
      </w:r>
      <w:hyperlink r:id="rId738" w:history="1">
        <w:r>
          <w:rPr>
            <w:rFonts w:ascii="arial" w:eastAsia="arial" w:hAnsi="arial" w:cs="arial"/>
            <w:i/>
            <w:color w:val="0077CC"/>
            <w:sz w:val="20"/>
            <w:u w:val="single"/>
            <w:shd w:val="clear" w:color="auto" w:fill="FFFFFF"/>
            <w:lang w:val="en-US" w:eastAsia="en-US" w:bidi="ar-SA"/>
          </w:rPr>
          <w:t>2012 BCCA 296</w:t>
        </w:r>
      </w:hyperlink>
      <w:r>
        <w:rPr>
          <w:rFonts w:ascii="arial" w:eastAsia="arial" w:hAnsi="arial" w:cs="arial"/>
          <w:color w:val="000000"/>
          <w:sz w:val="20"/>
          <w:lang w:val="en-US" w:eastAsia="en-US" w:bidi="ar-SA"/>
        </w:rPr>
        <w: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[186] Credibility involves an assessment of the trustworthiness of a witness' testimony based upon the veracity or sincerity of a witness and the accuracy of the evidence that the witness provides... .The art of assessment involves examination of various factors such as the ability and opportunity to observe events, the firmness of his memory, the ability to resist the influence of interest to modify his recollection, whether the witness' evidence harmonizes with independent evidence that has been accepted, whether the witness changes his testimony during direct and cross-examination, whether the witness' testimony seems unreasonable, impossible, or unlikely, whether a witness has a motive to lie, and the demeanour of a witness generally... . Ultimately, the validity of the evidence depends on whether the evidence is consistent with the probabilities affecting the case as a whole and shown to be in existence at the time (</w:t>
      </w:r>
      <w:r>
        <w:rPr>
          <w:rFonts w:ascii="arial" w:eastAsia="arial" w:hAnsi="arial" w:cs="arial"/>
          <w:i/>
          <w:color w:val="000000"/>
          <w:sz w:val="20"/>
          <w:lang w:val="en-US" w:eastAsia="en-US" w:bidi="ar-SA"/>
        </w:rPr>
        <w:t>Farnya</w:t>
      </w:r>
      <w:r>
        <w:rPr>
          <w:rFonts w:ascii="arial" w:eastAsia="arial" w:hAnsi="arial" w:cs="arial"/>
          <w:color w:val="000000"/>
          <w:sz w:val="20"/>
          <w:lang w:val="en-US" w:eastAsia="en-US" w:bidi="ar-SA"/>
        </w:rPr>
        <w:t xml:space="preserve"> at para. 356).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[Citations omitted]</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The plaintiff's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 find that the plaintiff was not a credible witness. The plaintiff was long-winded, repetitive and unfocussed in her evidence in direct. The plaintiff could not, or would not, limit herself to factual matters, and instead embarked on a prolonged attack on the defendant's integrity and professionalism that was inconsistent with the objective medical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In cross-examination the plaintiff was unable to answer straightforward questions directly, or indeed even to listen to the questions being put to her by counsel. The plaintiff frequently spoke over counsel, and responded to simple questions that called for a "yes" or "no" answer with lengthy digressions into unrelated and irrelevant topics. She was argumentative, and unable to moderate her beliefs about the extent of the defendant's misconduct even when faced with objective evidence that directly contradicted those beliefs.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 will provide two illustrative examples of problems with the plaintiff's evidence that lead me to conclude that she is not a credible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First, the plaintiff testified in her direct evidence that she was upset about her post-operative condition because her eyes were red, swollen, dry and painful, and her vision blurry. She attributes these conditions to the surgeries. In cross-examination, the plaintiff denied that she had experienced the same conditions in her eyes prior to the cataract surgeries in October 2012. The plaintiff's medical records, which were put to her in cross-examination, evidence a consistent history of complaints by the plaintiff to various doctors since 2008, including her family physician Dr. Wong, of red, swollen, dry and painful eyes, and blurry vision. In the face of such objective evidence, the plaintiff maintained her denials and suggested that the medical records must have been fabricated by defence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Second, the plaintiff testified that she never saw Ms. Rolleston on August 23, 2012, and insisted that no one at the defendant's clinic had measured her eyes. The plaintiff's evidence is, firstly, internally inconsistent because she also testified that the defendant had used an "apparatus" to look in her eyes and shone a bright light in her eyes for two to three minutes. The plaintiff's evidence is also inconsistent with external evidence in the form of the defendant's clinical records, which includes the measurements of the plaintiff's eyes taken by both Ms. Rolleston and the defendant. In the face of the inconsistent clinical records, the plaintiff did not reconsider the accuracy of her recollection, but instead maintained that the defendant's records were "full of lies".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Overall, I find the plaintiff's version of events to be improbable. The plaintiff's evidence is that the defendant, an experienced ophthalmologist, did not measure or assess the plaintiff's eyes prior to surgery and simply guessed at the intraocular lenses that should be implanted. Further, the plaintiff maintains that she agreed to the procedure without any explanation from the defendant about the nature of cataract surgery or its risks. According to the plaintiff, the defendant then coerced and deceived the plaintiff into having the surgery on her left eye knowing that it would cause permanent damage. Finally, the plaintiff insists that the defendant fabricated her own clinical records and those of other medical professionals in order to cover up her deception.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plaintiff's version of events is not only improbable, it is fanciful and speculative. It has no grounding in any evidence other than the plaintiff's entrenched subjective beliefs, which are inconsistent with the documented medical evidence. For these reasons, I find that the plaintiff is not a credible witness.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The defendant's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In contrast, I found the defendant to be a credible witness. She testified in a direct and straightforward manner. The defendant fairly conceded when she did not have an independent recollection of relevant events, and in that case she explained her usual practice. The defendant's evidence was internally consistent and also consistent with the external medical evidence, which includes the defendant's own clinical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defendant remained a respectful and composed witness through a challenging cross-examination by the plaintiff that consisted largely of inflammatory and exaggerated allegations of misconduct by the plaintiff. The defendant did her best to understand when a question was actually being posed by the plaintiff and to answer it without evasion.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Although the defendant is an interested party in this action, there is no evidence that the defendant had any motive either to misconduct herself in the extraordinary manner suggested by the plaintiff or to lie to the court about her own professional conduct. I found the defendant to be an honest witness who gave credible and reliable evidence in this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Where the evidence of the plaintiff and the defendant is in conflict, I prefer the evidence of the defendant.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Issue I: Medical </w:t>
      </w:r>
      <w:r>
        <w:rPr>
          <w:rFonts w:ascii="arial" w:eastAsia="arial" w:hAnsi="arial" w:cs="arial"/>
          <w:b/>
          <w:i/>
          <w:color w:val="000000"/>
          <w:sz w:val="20"/>
          <w:u w:val="single"/>
          <w:lang w:val="en-US" w:eastAsia="en-US" w:bidi="ar-SA"/>
        </w:rPr>
        <w:t>negligence</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The legal framework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In order to establish liability for negligent medical care, the plaintiff must prove on a balance of probabilities that the defendant breached the standard of care expected of an ophthalmologist in the circumstances, and that the plaintiff suffered damages which are causally related to the breach of the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The principles to be applied in determining the standard of care in a medical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case are summarized in </w:t>
      </w:r>
      <w:r>
        <w:rPr>
          <w:rFonts w:ascii="arial" w:eastAsia="arial" w:hAnsi="arial" w:cs="arial"/>
          <w:i/>
          <w:color w:val="000000"/>
          <w:sz w:val="20"/>
          <w:lang w:val="en-US" w:eastAsia="en-US" w:bidi="ar-SA"/>
        </w:rPr>
        <w:t>Tripp v. Ur</w:t>
      </w:r>
      <w:r>
        <w:rPr>
          <w:rFonts w:ascii="arial" w:eastAsia="arial" w:hAnsi="arial" w:cs="arial"/>
          <w:color w:val="000000"/>
          <w:sz w:val="20"/>
          <w:lang w:val="en-US" w:eastAsia="en-US" w:bidi="ar-SA"/>
        </w:rPr>
        <w:t xml:space="preserve">, </w:t>
      </w:r>
      <w:hyperlink r:id="rId739" w:history="1">
        <w:r>
          <w:rPr>
            <w:rFonts w:ascii="arial" w:eastAsia="arial" w:hAnsi="arial" w:cs="arial"/>
            <w:i/>
            <w:color w:val="0077CC"/>
            <w:sz w:val="20"/>
            <w:u w:val="single"/>
            <w:shd w:val="clear" w:color="auto" w:fill="FFFFFF"/>
            <w:lang w:val="en-US" w:eastAsia="en-US" w:bidi="ar-SA"/>
          </w:rPr>
          <w:t>2013 BCSC 785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Tripp</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[30] In medical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cases the court must judge a physician, and, for that matter, other health professionals, based on the standard of an ordinary average specialist in the same field under similar circumstances. That standard was enunciated in </w:t>
      </w:r>
      <w:r>
        <w:rPr>
          <w:rFonts w:ascii="arial" w:eastAsia="arial" w:hAnsi="arial" w:cs="arial"/>
          <w:i/>
          <w:color w:val="000000"/>
          <w:sz w:val="20"/>
          <w:lang w:val="en-US" w:eastAsia="en-US" w:bidi="ar-SA"/>
        </w:rPr>
        <w:t>Ter Neuzen v. Korn</w:t>
      </w:r>
      <w:r>
        <w:rPr>
          <w:rFonts w:ascii="arial" w:eastAsia="arial" w:hAnsi="arial" w:cs="arial"/>
          <w:color w:val="000000"/>
          <w:sz w:val="20"/>
          <w:lang w:val="en-US" w:eastAsia="en-US" w:bidi="ar-SA"/>
        </w:rPr>
        <w:t xml:space="preserve">, </w:t>
      </w:r>
      <w:hyperlink r:id="rId740" w:history="1">
        <w:r>
          <w:rPr>
            <w:rFonts w:ascii="arial" w:eastAsia="arial" w:hAnsi="arial" w:cs="arial"/>
            <w:i/>
            <w:color w:val="0077CC"/>
            <w:sz w:val="20"/>
            <w:u w:val="single"/>
            <w:shd w:val="clear" w:color="auto" w:fill="FFFFFF"/>
            <w:lang w:val="en-US" w:eastAsia="en-US" w:bidi="ar-SA"/>
          </w:rPr>
          <w:t>[1995] 3 S.C.R. 674</w:t>
        </w:r>
      </w:hyperlink>
      <w:r>
        <w:rPr>
          <w:rFonts w:ascii="arial" w:eastAsia="arial" w:hAnsi="arial" w:cs="arial"/>
          <w:color w:val="000000"/>
          <w:sz w:val="20"/>
          <w:lang w:val="en-US" w:eastAsia="en-US" w:bidi="ar-SA"/>
        </w:rPr>
        <w:t xml:space="preserve"> at paras. 33-34, and applied by our Court of Appeal in </w:t>
      </w:r>
      <w:r>
        <w:rPr>
          <w:rFonts w:ascii="arial" w:eastAsia="arial" w:hAnsi="arial" w:cs="arial"/>
          <w:i/>
          <w:color w:val="000000"/>
          <w:sz w:val="20"/>
          <w:lang w:val="en-US" w:eastAsia="en-US" w:bidi="ar-SA"/>
        </w:rPr>
        <w:t>Chang v. Vancouver Coastal Health Authority</w:t>
      </w:r>
      <w:r>
        <w:rPr>
          <w:rFonts w:ascii="arial" w:eastAsia="arial" w:hAnsi="arial" w:cs="arial"/>
          <w:color w:val="000000"/>
          <w:sz w:val="20"/>
          <w:lang w:val="en-US" w:eastAsia="en-US" w:bidi="ar-SA"/>
        </w:rPr>
        <w:t xml:space="preserve">, </w:t>
      </w:r>
      <w:hyperlink r:id="rId741" w:history="1">
        <w:r>
          <w:rPr>
            <w:rFonts w:ascii="arial" w:eastAsia="arial" w:hAnsi="arial" w:cs="arial"/>
            <w:i/>
            <w:color w:val="0077CC"/>
            <w:sz w:val="20"/>
            <w:u w:val="single"/>
            <w:shd w:val="clear" w:color="auto" w:fill="FFFFFF"/>
            <w:lang w:val="en-US" w:eastAsia="en-US" w:bidi="ar-SA"/>
          </w:rPr>
          <w:t>2007 BCCA 569</w:t>
        </w:r>
      </w:hyperlink>
      <w:r>
        <w:rPr>
          <w:rFonts w:ascii="arial" w:eastAsia="arial" w:hAnsi="arial" w:cs="arial"/>
          <w:color w:val="000000"/>
          <w:sz w:val="20"/>
          <w:lang w:val="en-US" w:eastAsia="en-US" w:bidi="ar-SA"/>
        </w:rPr>
        <w:t xml:space="preserve">, at para 22-25. Except, perhaps, in the most obvious of cases, it is not a standard that can be determined </w:t>
      </w:r>
      <w:r>
        <w:rPr>
          <w:rFonts w:ascii="arial" w:eastAsia="arial" w:hAnsi="arial" w:cs="arial"/>
          <w:i/>
          <w:color w:val="000000"/>
          <w:sz w:val="20"/>
          <w:lang w:val="en-US" w:eastAsia="en-US" w:bidi="ar-SA"/>
        </w:rPr>
        <w:t>a priori</w:t>
      </w:r>
      <w:r>
        <w:rPr>
          <w:rFonts w:ascii="arial" w:eastAsia="arial" w:hAnsi="arial" w:cs="arial"/>
          <w:color w:val="000000"/>
          <w:sz w:val="20"/>
          <w:lang w:val="en-US" w:eastAsia="en-US" w:bidi="ar-SA"/>
        </w:rPr>
        <w:t xml:space="preserve"> or in an evidentiary vacuum by a court or tribunal.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[31] It is therefore incumbent on the plaintiff to produce expert evidence of a standard of care that should be imposed on the defendants...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[Citations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The "most obvious of cases" in which a court may find a breach of the standard of care in the absence of expert evidence about that standard are those in which accepted practice is "fraught with obvious risk" such that a breach of the standard of care may be found on the basis of common sense: </w:t>
      </w:r>
      <w:r>
        <w:rPr>
          <w:rFonts w:ascii="arial" w:eastAsia="arial" w:hAnsi="arial" w:cs="arial"/>
          <w:i/>
          <w:color w:val="000000"/>
          <w:sz w:val="20"/>
          <w:lang w:val="en-US" w:eastAsia="en-US" w:bidi="ar-SA"/>
        </w:rPr>
        <w:t>ter Neuzen v. Korn</w:t>
      </w:r>
      <w:r>
        <w:rPr>
          <w:rFonts w:ascii="arial" w:eastAsia="arial" w:hAnsi="arial" w:cs="arial"/>
          <w:color w:val="000000"/>
          <w:sz w:val="20"/>
          <w:lang w:val="en-US" w:eastAsia="en-US" w:bidi="ar-SA"/>
        </w:rPr>
        <w:t xml:space="preserve">, </w:t>
      </w:r>
      <w:hyperlink r:id="rId740" w:history="1">
        <w:r>
          <w:rPr>
            <w:rFonts w:ascii="arial" w:eastAsia="arial" w:hAnsi="arial" w:cs="arial"/>
            <w:i/>
            <w:color w:val="0077CC"/>
            <w:sz w:val="20"/>
            <w:u w:val="single"/>
            <w:shd w:val="clear" w:color="auto" w:fill="FFFFFF"/>
            <w:lang w:val="en-US" w:eastAsia="en-US" w:bidi="ar-SA"/>
          </w:rPr>
          <w:t>[1995] 3 S.C.R. 674</w:t>
        </w:r>
      </w:hyperlink>
      <w:r>
        <w:rPr>
          <w:rFonts w:ascii="arial" w:eastAsia="arial" w:hAnsi="arial" w:cs="arial"/>
          <w:color w:val="000000"/>
          <w:sz w:val="20"/>
          <w:lang w:val="en-US" w:eastAsia="en-US" w:bidi="ar-SA"/>
        </w:rPr>
        <w:t>, at paras. 38-41 and 51-52 [</w:t>
      </w:r>
      <w:r>
        <w:rPr>
          <w:rFonts w:ascii="arial" w:eastAsia="arial" w:hAnsi="arial" w:cs="arial"/>
          <w:i/>
          <w:color w:val="000000"/>
          <w:sz w:val="20"/>
          <w:lang w:val="en-US" w:eastAsia="en-US" w:bidi="ar-SA"/>
        </w:rPr>
        <w:t>ter Neuzen</w:t>
      </w:r>
      <w:r>
        <w:rPr>
          <w:rFonts w:ascii="arial" w:eastAsia="arial" w:hAnsi="arial" w:cs="arial"/>
          <w:color w:val="000000"/>
          <w:sz w:val="20"/>
          <w:lang w:val="en-US" w:eastAsia="en-US" w:bidi="ar-SA"/>
        </w:rPr>
        <w:t xml:space="preserve">]. The example cited in </w:t>
      </w:r>
      <w:r>
        <w:rPr>
          <w:rFonts w:ascii="arial" w:eastAsia="arial" w:hAnsi="arial" w:cs="arial"/>
          <w:i/>
          <w:color w:val="000000"/>
          <w:sz w:val="20"/>
          <w:lang w:val="en-US" w:eastAsia="en-US" w:bidi="ar-SA"/>
        </w:rPr>
        <w:t>ter Neuzen</w:t>
      </w:r>
      <w:r>
        <w:rPr>
          <w:rFonts w:ascii="arial" w:eastAsia="arial" w:hAnsi="arial" w:cs="arial"/>
          <w:color w:val="000000"/>
          <w:sz w:val="20"/>
          <w:lang w:val="en-US" w:eastAsia="en-US" w:bidi="ar-SA"/>
        </w:rPr>
        <w:t xml:space="preserve"> of such an exceptional case involved a physician who left a sponge in a patient during surgery, resulting in the patient's suffocation.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Even where a plaintiff has established breach of the standard of care, she must also prove that the breach caused injury to the plaintiff. The test for causation is the "but for" test; that is, the plaintiff must show that but for the defendant's breach of duty the injury would not have occurred: </w:t>
      </w:r>
      <w:r>
        <w:rPr>
          <w:rFonts w:ascii="arial" w:eastAsia="arial" w:hAnsi="arial" w:cs="arial"/>
          <w:i/>
          <w:color w:val="000000"/>
          <w:sz w:val="20"/>
          <w:lang w:val="en-US" w:eastAsia="en-US" w:bidi="ar-SA"/>
        </w:rPr>
        <w:t>Clements v. Clements</w:t>
      </w:r>
      <w:r>
        <w:rPr>
          <w:rFonts w:ascii="arial" w:eastAsia="arial" w:hAnsi="arial" w:cs="arial"/>
          <w:color w:val="000000"/>
          <w:sz w:val="20"/>
          <w:lang w:val="en-US" w:eastAsia="en-US" w:bidi="ar-SA"/>
        </w:rPr>
        <w:t xml:space="preserve">, </w:t>
      </w:r>
      <w:hyperlink r:id="rId607" w:history="1">
        <w:r>
          <w:rPr>
            <w:rFonts w:ascii="arial" w:eastAsia="arial" w:hAnsi="arial" w:cs="arial"/>
            <w:i/>
            <w:color w:val="0077CC"/>
            <w:sz w:val="20"/>
            <w:u w:val="single"/>
            <w:shd w:val="clear" w:color="auto" w:fill="FFFFFF"/>
            <w:lang w:val="en-US" w:eastAsia="en-US" w:bidi="ar-SA"/>
          </w:rPr>
          <w:t>2012 SCC 32</w:t>
        </w:r>
      </w:hyperlink>
      <w:r>
        <w:rPr>
          <w:rFonts w:ascii="arial" w:eastAsia="arial" w:hAnsi="arial" w:cs="arial"/>
          <w:color w:val="000000"/>
          <w:sz w:val="20"/>
          <w:lang w:val="en-US" w:eastAsia="en-US" w:bidi="ar-SA"/>
        </w:rPr>
        <w:t xml:space="preserve"> at paras. 8-10; </w:t>
      </w:r>
      <w:r>
        <w:rPr>
          <w:rFonts w:ascii="arial" w:eastAsia="arial" w:hAnsi="arial" w:cs="arial"/>
          <w:i/>
          <w:color w:val="000000"/>
          <w:sz w:val="20"/>
          <w:lang w:val="en-US" w:eastAsia="en-US" w:bidi="ar-SA"/>
        </w:rPr>
        <w:t>Tripp</w:t>
      </w:r>
      <w:r>
        <w:rPr>
          <w:rFonts w:ascii="arial" w:eastAsia="arial" w:hAnsi="arial" w:cs="arial"/>
          <w:color w:val="000000"/>
          <w:sz w:val="20"/>
          <w:lang w:val="en-US" w:eastAsia="en-US" w:bidi="ar-SA"/>
        </w:rPr>
        <w:t xml:space="preserve"> at paras. 38-40.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Application to the plaintiff's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plaintiff has failed to establish on a balance of probabilities that the defendant breached the standard of care, or that any act or omission of the defendant caused injury to the plaintiff.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Breach of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plaintiff alleges that the defendant took no measurements of her eyes before performing cataract surgery and implanting intraocular lenses. If the evidence supported the plaintiff's assertions, this would constitute a breach of the standard of care and there would be no need for expert evidence. A physician's failure to take such measurements would be fraught with obvious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However, the defendant testified that on August 23, 2012, she and her surgical assistant both examined the plaintiff's eyes, and took measurements that permitted the selection of appropriate intraocular lenses for implantation. I have already explained my reasons for preferring the evidence of the defendant over that of the plaintiff in the event of conflict. The defendant's clinical records corroborate that the defendant measured the plaintiff's eyes, and I find that she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To the extent that the plaintiff's case is that the defendant was negligent in the manner in which she measured the plaintiff's eyes, the plaintiff has tendered no expert evidence to support such an assertion. Indeed, the plaintiff has tendered no expert evidence at all to support the allegation that the defendant fell below the standard of care in her provision of medical care to the plaintiff pre-operatively, during the operations, or post-operatively.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While it was not necessary for the defendant to adduce standard of care evidence, the burden being on the plaintiff, the fact is that the defendant did adduce such evidence. The defendant's expert Dr. McCarthy opines that the defendant did meet the relevant standard of care in her provision of medical care to the plaintiff. I find that Dr. McCarthy was qualified to give this opinion and has sufficient evidentiary foundation to form the opinion. The plaintiff did not seek to cross-examine Dr. McCarthy.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In sum, I find that the plaintiff has not established that the defendant breached the standard of care expected of an ophthalmologist in the circumstances.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As I have concluded that the plaintiff did not discharge the burden of proving a breach of the standard of care on a balance of probabilities, it is not strictly necessary for me to address the issue of causation. However, given that the lack of a causal connection between the plaintiff's subjective complaints and the cataract surgeries is an underlying theme throughout this proceeding, I will record my findings on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plaintiff adduced no expert evidence on causation. The expert evidence tendered by the defendant supports the conclusion that the plaintiff has developed a number of progressive degenerative ocular diseases, specifically macular degeneration and epiretinal membrane, which are now affecting her vision and which were not caused by the cataract surgeries. The same is true of many of the plaintiff's subjective complaints.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There is no evidence that any of the plaintiff's subjective complaints about the condition of her eyes are causally related to the cataract surgeries. Indeed, there is cause to question whether the plaintiff's subjective complaints have any basis in fact in any event. For example, Dr. Sexton opined that she could not account for the plaintiff's complaint of not being able to see a bus at a bus stop based on the plaintiff's history, physical examination, and a thorough record review. The plaintiff has mild myopia that requires her to wear glasses for distance, and her current prescription is weaker than her pre-operative prescription. As noted, Dr. Sexton opined that the plaintiff would not or could not read as well from her left eye when she was aware the left eye was being tested, but that the plaintiff was able to do so when she was unaware her left eye was under exam.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 find that Dr. Sexton was qualified to give the opinions contained in her report and has sufficient evidentiary foundation to form the opinions. The plaintiff did not seek to cross-examine Dr. Sexton.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While it is evident to me that the plaintiff has convinced herself that the cataract surgeries have caused damage to her eyes, she has adduced no evidence to establish such injury or its causal relationship to the surgeries. Thus even if the plaintiff had established that the defendant breached the standard of care, the plaintiff's claim for medical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would nevertheless fail on the basis that the plaintiff has not proved causation.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Issue II: Informed consent</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The legal framework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The relationship between a surgeon and patient gives rise to a duty to disclose the nature of the surgery, the material risks, and the alternatives. In </w:t>
      </w:r>
      <w:r>
        <w:rPr>
          <w:rFonts w:ascii="arial" w:eastAsia="arial" w:hAnsi="arial" w:cs="arial"/>
          <w:i/>
          <w:color w:val="000000"/>
          <w:sz w:val="20"/>
          <w:lang w:val="en-US" w:eastAsia="en-US" w:bidi="ar-SA"/>
        </w:rPr>
        <w:t>Reibl v. Hughes</w:t>
      </w:r>
      <w:r>
        <w:rPr>
          <w:rFonts w:ascii="arial" w:eastAsia="arial" w:hAnsi="arial" w:cs="arial"/>
          <w:color w:val="000000"/>
          <w:sz w:val="20"/>
          <w:lang w:val="en-US" w:eastAsia="en-US" w:bidi="ar-SA"/>
        </w:rPr>
        <w:t xml:space="preserve">, </w:t>
      </w:r>
      <w:hyperlink r:id="rId742" w:history="1">
        <w:r>
          <w:rPr>
            <w:rFonts w:ascii="arial" w:eastAsia="arial" w:hAnsi="arial" w:cs="arial"/>
            <w:i/>
            <w:color w:val="0077CC"/>
            <w:sz w:val="20"/>
            <w:u w:val="single"/>
            <w:shd w:val="clear" w:color="auto" w:fill="FFFFFF"/>
            <w:lang w:val="en-US" w:eastAsia="en-US" w:bidi="ar-SA"/>
          </w:rPr>
          <w:t>[1980] 2 S.C.R. 880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Reibl</w:t>
      </w:r>
      <w:r>
        <w:rPr>
          <w:rFonts w:ascii="arial" w:eastAsia="arial" w:hAnsi="arial" w:cs="arial"/>
          <w:color w:val="000000"/>
          <w:sz w:val="20"/>
          <w:lang w:val="en-US" w:eastAsia="en-US" w:bidi="ar-SA"/>
        </w:rPr>
        <w:t>], the Supreme Court of Canada described the duty to disclose in the following terms at p. 884: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now undoubted that the relationship between surgeon and patient gives rise to a duty of the surgeon to make disclosure to the patient of what I would call all material risks attending the surgery which is recommended. The scope of the duty of disclosure was considered in </w:t>
      </w:r>
      <w:r>
        <w:rPr>
          <w:rFonts w:ascii="arial" w:eastAsia="arial" w:hAnsi="arial" w:cs="arial"/>
          <w:i/>
          <w:color w:val="000000"/>
          <w:sz w:val="20"/>
          <w:lang w:val="en-US" w:eastAsia="en-US" w:bidi="ar-SA"/>
        </w:rPr>
        <w:t>Hopp v. Lepp</w:t>
      </w:r>
      <w:r>
        <w:rPr>
          <w:rFonts w:ascii="arial" w:eastAsia="arial" w:hAnsi="arial" w:cs="arial"/>
          <w:color w:val="000000"/>
          <w:sz w:val="20"/>
          <w:lang w:val="en-US" w:eastAsia="en-US" w:bidi="ar-SA"/>
        </w:rPr>
        <w:t xml:space="preserve"> </w:t>
      </w:r>
      <w:hyperlink r:id="rId743" w:history="1">
        <w:r>
          <w:rPr>
            <w:rFonts w:ascii="arial" w:eastAsia="arial" w:hAnsi="arial" w:cs="arial"/>
            <w:i/>
            <w:color w:val="0077CC"/>
            <w:sz w:val="20"/>
            <w:u w:val="single"/>
            <w:shd w:val="clear" w:color="auto" w:fill="FFFFFF"/>
            <w:lang w:val="en-US" w:eastAsia="en-US" w:bidi="ar-SA"/>
          </w:rPr>
          <w:t>[1980] 2 S.C.R. 192</w:t>
        </w:r>
      </w:hyperlink>
      <w:r>
        <w:rPr>
          <w:rFonts w:ascii="arial" w:eastAsia="arial" w:hAnsi="arial" w:cs="arial"/>
          <w:color w:val="000000"/>
          <w:sz w:val="20"/>
          <w:lang w:val="en-US" w:eastAsia="en-US" w:bidi="ar-SA"/>
        </w:rPr>
        <w:t>] at p. 210, where it was generalized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 summary, the decided cases appear to indicate that, in obtaining the consent of a patient for the performance upon him of a surgical operation, a surgeon, generally, should answer any specific questions posed by the patient as to the risks involved and should, without being questioned, disclose to him the nature of the proposed operation, its gravity, any material risks and any special or unusual risks attendant upon the performance of the operation. However, having said that, it should be added that the scope of the duty of disclosure and whether or not it has been breached are matters which must be decided in relation to the circumstances of each particular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A claim that a physician has not obtained a patient's informed consent to a medical procedure is a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not battery. A claim in battery would only arise if the claim was in the nature of a misrepresentation of the surgery or treatment for which consent was elicited and a different surgical procedure or treatment was carried out: </w:t>
      </w:r>
      <w:r>
        <w:rPr>
          <w:rFonts w:ascii="arial" w:eastAsia="arial" w:hAnsi="arial" w:cs="arial"/>
          <w:i/>
          <w:color w:val="000000"/>
          <w:sz w:val="20"/>
          <w:lang w:val="en-US" w:eastAsia="en-US" w:bidi="ar-SA"/>
        </w:rPr>
        <w:t>Reibl</w:t>
      </w:r>
      <w:r>
        <w:rPr>
          <w:rFonts w:ascii="arial" w:eastAsia="arial" w:hAnsi="arial" w:cs="arial"/>
          <w:color w:val="000000"/>
          <w:sz w:val="20"/>
          <w:lang w:val="en-US" w:eastAsia="en-US" w:bidi="ar-SA"/>
        </w:rPr>
        <w:t xml:space="preserve"> at pp. 888-892.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A plaintiff who alleged a lack of informed consent must establish on a balance of probabilities that:</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was not fully informed of the nature of any material risk of the surgery and any special or unusual risks attendant on the surgery;</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reasonable person in the plaintiff's position, properly informed, would not have proceeded with the surgery; and</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 undisclosed material or special or unusual risk actually materialized and caused the plaintiff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Rasman v. Regan</w:t>
      </w:r>
      <w:r>
        <w:rPr>
          <w:rFonts w:ascii="arial" w:eastAsia="arial" w:hAnsi="arial" w:cs="arial"/>
          <w:color w:val="000000"/>
          <w:sz w:val="20"/>
          <w:lang w:val="en-US" w:eastAsia="en-US" w:bidi="ar-SA"/>
        </w:rPr>
        <w:t xml:space="preserve">, </w:t>
      </w:r>
      <w:hyperlink r:id="rId744" w:history="1">
        <w:r>
          <w:rPr>
            <w:rFonts w:ascii="arial" w:eastAsia="arial" w:hAnsi="arial" w:cs="arial"/>
            <w:i/>
            <w:color w:val="0077CC"/>
            <w:sz w:val="20"/>
            <w:u w:val="single"/>
            <w:shd w:val="clear" w:color="auto" w:fill="FFFFFF"/>
            <w:lang w:val="en-US" w:eastAsia="en-US" w:bidi="ar-SA"/>
          </w:rPr>
          <w:t>2012 BCSC 1650</w:t>
        </w:r>
      </w:hyperlink>
      <w:r>
        <w:rPr>
          <w:rFonts w:ascii="arial" w:eastAsia="arial" w:hAnsi="arial" w:cs="arial"/>
          <w:color w:val="000000"/>
          <w:sz w:val="20"/>
          <w:lang w:val="en-US" w:eastAsia="en-US" w:bidi="ar-SA"/>
        </w:rPr>
        <w:t xml:space="preserve"> at para. 7 [</w:t>
      </w:r>
      <w:r>
        <w:rPr>
          <w:rFonts w:ascii="arial" w:eastAsia="arial" w:hAnsi="arial" w:cs="arial"/>
          <w:i/>
          <w:color w:val="000000"/>
          <w:sz w:val="20"/>
          <w:lang w:val="en-US" w:eastAsia="en-US" w:bidi="ar-SA"/>
        </w:rPr>
        <w:t>Rasman</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A material risk is one that a reasonable person in the patient's position would want to know before deciding whether to proceed with the proposed treatment: </w:t>
      </w:r>
      <w:r>
        <w:rPr>
          <w:rFonts w:ascii="arial" w:eastAsia="arial" w:hAnsi="arial" w:cs="arial"/>
          <w:i/>
          <w:color w:val="000000"/>
          <w:sz w:val="20"/>
          <w:lang w:val="en-US" w:eastAsia="en-US" w:bidi="ar-SA"/>
        </w:rPr>
        <w:t>Reibl</w:t>
      </w:r>
      <w:r>
        <w:rPr>
          <w:rFonts w:ascii="arial" w:eastAsia="arial" w:hAnsi="arial" w:cs="arial"/>
          <w:color w:val="000000"/>
          <w:sz w:val="20"/>
          <w:lang w:val="en-US" w:eastAsia="en-US" w:bidi="ar-SA"/>
        </w:rPr>
        <w:t xml:space="preserve"> at p. 895.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A modified objective analysis is used to determine whether a reasonable person in the plaintiff's position would have undergone the same surgery if properly informed of the risks: </w:t>
      </w:r>
      <w:r>
        <w:rPr>
          <w:rFonts w:ascii="arial" w:eastAsia="arial" w:hAnsi="arial" w:cs="arial"/>
          <w:i/>
          <w:color w:val="000000"/>
          <w:sz w:val="20"/>
          <w:lang w:val="en-US" w:eastAsia="en-US" w:bidi="ar-SA"/>
        </w:rPr>
        <w:t>Reibl</w:t>
      </w:r>
      <w:r>
        <w:rPr>
          <w:rFonts w:ascii="arial" w:eastAsia="arial" w:hAnsi="arial" w:cs="arial"/>
          <w:color w:val="000000"/>
          <w:sz w:val="20"/>
          <w:lang w:val="en-US" w:eastAsia="en-US" w:bidi="ar-SA"/>
        </w:rPr>
        <w:t xml:space="preserve"> at pp. 898-900. The question is whether a "reasonable person" who possesses the patient's reasonable beliefs, fears, desires and expectations would have undergone surgery if fully informed: </w:t>
      </w:r>
      <w:r>
        <w:rPr>
          <w:rFonts w:ascii="arial" w:eastAsia="arial" w:hAnsi="arial" w:cs="arial"/>
          <w:i/>
          <w:color w:val="000000"/>
          <w:sz w:val="20"/>
          <w:lang w:val="en-US" w:eastAsia="en-US" w:bidi="ar-SA"/>
        </w:rPr>
        <w:t>Arndt v. Smith</w:t>
      </w:r>
      <w:r>
        <w:rPr>
          <w:rFonts w:ascii="arial" w:eastAsia="arial" w:hAnsi="arial" w:cs="arial"/>
          <w:color w:val="000000"/>
          <w:sz w:val="20"/>
          <w:lang w:val="en-US" w:eastAsia="en-US" w:bidi="ar-SA"/>
        </w:rPr>
        <w:t xml:space="preserve">, </w:t>
      </w:r>
      <w:hyperlink r:id="rId745" w:history="1">
        <w:r>
          <w:rPr>
            <w:rFonts w:ascii="arial" w:eastAsia="arial" w:hAnsi="arial" w:cs="arial"/>
            <w:i/>
            <w:color w:val="0077CC"/>
            <w:sz w:val="20"/>
            <w:u w:val="single"/>
            <w:shd w:val="clear" w:color="auto" w:fill="FFFFFF"/>
            <w:lang w:val="en-US" w:eastAsia="en-US" w:bidi="ar-SA"/>
          </w:rPr>
          <w:t>[1997] 2 S.C.R. 539</w:t>
        </w:r>
      </w:hyperlink>
      <w:r>
        <w:rPr>
          <w:rFonts w:ascii="arial" w:eastAsia="arial" w:hAnsi="arial" w:cs="arial"/>
          <w:color w:val="000000"/>
          <w:sz w:val="20"/>
          <w:lang w:val="en-US" w:eastAsia="en-US" w:bidi="ar-SA"/>
        </w:rPr>
        <w:t xml:space="preserve"> at para. 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Information about the risks attendant on surgery need not come from the physician. It is sufficient if some responsible person, such as a medical office assistant, provides the patient with information about the risks: </w:t>
      </w:r>
      <w:r>
        <w:rPr>
          <w:rFonts w:ascii="arial" w:eastAsia="arial" w:hAnsi="arial" w:cs="arial"/>
          <w:i/>
          <w:color w:val="000000"/>
          <w:sz w:val="20"/>
          <w:lang w:val="en-US" w:eastAsia="en-US" w:bidi="ar-SA"/>
        </w:rPr>
        <w:t>Maher v. Sutton</w:t>
      </w:r>
      <w:r>
        <w:rPr>
          <w:rFonts w:ascii="arial" w:eastAsia="arial" w:hAnsi="arial" w:cs="arial"/>
          <w:color w:val="000000"/>
          <w:sz w:val="20"/>
          <w:lang w:val="en-US" w:eastAsia="en-US" w:bidi="ar-SA"/>
        </w:rPr>
        <w:t xml:space="preserve">, </w:t>
      </w:r>
      <w:hyperlink r:id="rId746" w:history="1">
        <w:r>
          <w:rPr>
            <w:rFonts w:ascii="arial" w:eastAsia="arial" w:hAnsi="arial" w:cs="arial"/>
            <w:i/>
            <w:color w:val="0077CC"/>
            <w:sz w:val="20"/>
            <w:u w:val="single"/>
            <w:shd w:val="clear" w:color="auto" w:fill="FFFFFF"/>
            <w:lang w:val="en-US" w:eastAsia="en-US" w:bidi="ar-SA"/>
          </w:rPr>
          <w:t>2013 BCSC 1808</w:t>
        </w:r>
      </w:hyperlink>
      <w:r>
        <w:rPr>
          <w:rFonts w:ascii="arial" w:eastAsia="arial" w:hAnsi="arial" w:cs="arial"/>
          <w:color w:val="000000"/>
          <w:sz w:val="20"/>
          <w:lang w:val="en-US" w:eastAsia="en-US" w:bidi="ar-SA"/>
        </w:rPr>
        <w:t xml:space="preserve"> at paras. 81-82.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Application to the plaintiff's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plaintiff alleges that she was not informed that intraocular lenses would be implanted during the course of the cataract surgeries, or of the specific refraction measurements that would be used by the defendant to select the appropriate lenses. The plaintiff also says that she was not informed of any risks associated with the surgeries.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Was the plaintiff fully informed?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For the reasons already stated, I prefer the defendant's evidence of events where her evidence is in conflict with that of the plaintiff. I find that the defendant did explain to the plaintiff that cataract surgery involved the implantation of intraocular lenses. I also accept that the defendant's surgical counsellor, Ms. Rolleston, explained the general procedure of the cataract surgery to the plaintiff and that enlarged photos depicting the implantation of a lens during surgery were displayed on Ms. Rolleston's wall.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The defendant's evidence on this point is corroborated by at least two pieces of external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First, the plaintiff agreed that she was provided with a pamphlet when she was at the defendant's office on August 23, 2012 with details about the surgery. The pamphlet contained reference to an "intraocular lens fee", which in the plaintiff's case was stated to be "$0". This is consistent with the defendant's evidence that the plaintiff stated at their meeting on August 23, 2012 that she was a pensioner and could not pay a fee for premium intraocular lenses.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Second, the defendant's clinical records evidence that the defendant discussed target surgical outcomes with the plaintiff at their initial visit on August 23, 2012, and prior to each of the surgeries on October 11 and 18, 2012. These records indicate that on each occasion, the plaintiff confirmed her preference to remain mildly myopic so that she could maintain her near and intermediate vision after the surgery. This discussion was directly related to the selection of an appropriate intraocular lens.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I also note that the clinical records in evidence indicate that the plaintiff saw Dr. Francis Law on November 3, 2008 and that Dr. Law recommended "elective cataract surgery with IOL implantation". This note supports that as early as 2008, the plaintiff was advised that she had cataracts and that surgery would involve the implantation of intraocular lenses.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As to the plaintiff's complaint that she was not informed of the specific refraction measurements the defendant intended to use to select the appropriate lenses, the defendant testified that she does not typically advise patients of the refractive error she has measured. Rather, the defendant takes a history from her patients as to their subjective vision in order to confirm that the refraction she has measured is consistent with that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In this case, I find that the defendant confirmed with the plaintiff that the plaintiff was able to see at near or intermediate distances without glasses but needed glasses to see clearly in the distance. This history was consistent with the refraction that the defendant measured. I also find that the defendant confirmed with the plaintiff before the surgeries that she wished to maintain her current vision after the operation.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 reject the plaintiff's evidence that the defendant assured her that there were no risks associated with cataract surgery. For the reasons already stated, I prefer the defendant's evidence on this point. I find that the defendant advised the plaintiff that cataract surgery involved the implantation of an intraocular lens, and also that there was a small risk of complications that included infection and inflammation and a slight risk of blindness.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In sum, I find that the plaintiff was fully informed about the nature of the cataract surgeries, and the associated risks, and consented to the surgeries. The plaintiff's claim based on lack of informed consent fails on this basis alone.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Materialization of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xml:space="preserve">  In the alternative, even if I had found that the plaintiff had not been fully informed about the risks of surgery, I find that the plaintiff has not established on a balance of probabilities that "an undisclosed material or special or unusual risk actually materialized" and caused the plaintiff damage, per </w:t>
      </w:r>
      <w:r>
        <w:rPr>
          <w:rFonts w:ascii="arial" w:eastAsia="arial" w:hAnsi="arial" w:cs="arial"/>
          <w:i/>
          <w:color w:val="000000"/>
          <w:sz w:val="20"/>
          <w:lang w:val="en-US" w:eastAsia="en-US" w:bidi="ar-SA"/>
        </w:rPr>
        <w:t>Rasman</w:t>
      </w:r>
      <w:r>
        <w:rPr>
          <w:rFonts w:ascii="arial" w:eastAsia="arial" w:hAnsi="arial" w:cs="arial"/>
          <w:color w:val="000000"/>
          <w:sz w:val="20"/>
          <w:lang w:val="en-US" w:eastAsia="en-US" w:bidi="ar-SA"/>
        </w:rPr>
        <w:t xml:space="preserve"> at para. 7. I have already addressed the evidence on this issue in the discussion of causation at paras. 74-78 of these reasons for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This is an additional reason why plaintiff's claim based on lack of informed consent cannot succeed.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The plaintiff's action is dismissed. The defendant is entitled to her costs of the action from the plaintiff at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HORSMAN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88" style="position:absolute;z-index:25179852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47"/>
          <w:headerReference w:type="default" r:id="rId748"/>
          <w:footerReference w:type="even" r:id="rId749"/>
          <w:footerReference w:type="default" r:id="rId750"/>
          <w:headerReference w:type="first" r:id="rId751"/>
          <w:footerReference w:type="first" r:id="rId75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53" w:history="1">
        <w:r>
          <w:rPr>
            <w:rFonts w:ascii="arial" w:eastAsia="arial" w:hAnsi="arial" w:cs="arial"/>
            <w:b/>
            <w:bCs/>
            <w:i/>
            <w:color w:val="0077CC"/>
            <w:kern w:val="32"/>
            <w:sz w:val="28"/>
            <w:szCs w:val="32"/>
            <w:u w:val="single"/>
            <w:shd w:val="clear" w:color="auto" w:fill="FFFFFF"/>
            <w:lang w:val="en-US" w:eastAsia="en-US" w:bidi="ar-SA"/>
          </w:rPr>
          <w:t>Long v. Thanas, [2019] B.C.J. No. 2528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K. Horsman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30, October 1-3, 7, 9 and 11,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30,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M168211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[2019] B.C.J. No. 2528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2019 BCSC 2255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Joseph David Long, Plaintiff, and Kristian Peter Thanas,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(124 paras.)</w:t>
      </w:r>
    </w:p>
    <w:p>
      <w:pPr>
        <w:jc w:val="both"/>
        <w:rPr>
          <w:rFonts w:ascii="arial" w:eastAsia="arial" w:hAnsi="arial" w:cs="arial"/>
          <w:sz w:val="20"/>
          <w:lang w:val="en-US" w:eastAsia="en-US" w:bidi="ar-SA"/>
        </w:rPr>
      </w:pPr>
      <w:bookmarkStart w:id="202" w:name="Counsel_37"/>
      <w:bookmarkEnd w:id="20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89" style="position:absolute;z-index:2516971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R.E. McCardell, R.W. Richardson.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M. Trischuk.</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03" w:name="Judgment_37"/>
      <w:bookmarkEnd w:id="203"/>
      <w:r>
        <w:pict>
          <v:line id="_x0000_s1190" style="position:absolute;z-index:25174835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FACTUAL BACKGROUND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Prior to the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After the Accident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plaintiff's physical condition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plaintiff's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EXPERT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plaintiff's expert witnesses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Dr. Heather Finlayson (physiatrist)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Dr. Jeffrey Pike (orthopedic surgeon)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defendant's expert witness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Dr. William Yu (orthopedic surgeon)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Issue I:</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Contributory </w:t>
            </w:r>
            <w:r>
              <w:rPr>
                <w:rFonts w:ascii="arial" w:eastAsia="arial" w:hAnsi="arial" w:cs="arial"/>
                <w:b/>
                <w:i/>
                <w:color w:val="000000"/>
                <w:sz w:val="18"/>
                <w:u w:val="single"/>
                <w:lang w:val="en-US" w:eastAsia="en-US" w:bidi="ar-SA"/>
              </w:rPr>
              <w:t>negligence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Issue II: Causation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Legal framework</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Findings on causation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Issue III: Non-pecuniary damages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Legal framework</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Assessment of the plaintiff's non-pecuniary damages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Issue IV: Loss of future earning capacity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Legal framework</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Assessment of the plaintiff's damages for loss of future earning capacity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Issue V: Future care costs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Legal framework</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Assessment of the plaintiff's future care costs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Issue VI: Duty to mitigate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Legal framework</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Did the plaintiff fail to mitigate his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5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04" w:name="K. HORSMAN J."/>
            <w:bookmarkEnd w:id="204"/>
            <w:r>
              <w:rPr>
                <w:rFonts w:ascii="arial" w:eastAsia="arial" w:hAnsi="arial" w:cs="arial"/>
                <w:b/>
                <w:color w:val="000000"/>
                <w:sz w:val="30"/>
                <w:lang w:val="en-US" w:eastAsia="en-US" w:bidi="ar-SA"/>
              </w:rPr>
              <w:t>K. HORSMAN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seeks damages for injuries he suffered on November 5, 2014, when he was struck by a car driven by the defendant while riding his bicycle on a designated bike lane heading south along Burrard Street in Vancouver (the "Accident"). The Accident occurred when the defendant made an illegal right-hand turn off Burrard Street onto Pacific Avenue, which crosses the bike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 admitted liability only in the course of final argument after the evidence had completed. The defendant was not called as a witness. While admitting liability, the defendant maintains that the plaintiff was contributorily negligent in failing to slow down his bicycle down in anticipation of the defendant's illegal right-hand turn, and failing to replace his brake pads.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says he suffered injuries in the Accident that include injuries to his right and left shoulders which continue to impact his quality of life. He seeks damages for non-pecuniary loss, loss of future earning capacity, and future care costs. The parties have agreed on the quantum of special damages and damages for past wage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FACTUAL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is presently 35 years old and was 30 years old at the time of the Accident. He resides in Vancouver with his wife, Patricia Lawson, and their twin daughters who are nine years old. The plaintiff is currently employed as a perioperative health care assistant at UBC Hospital. Ms. Lawson is a paramedic.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following summary of the plaintiff's pre- and post-Accident condition is taken primarily from the evidence of the plaintiff. With limited exceptions that I will address later in this judgment, the defendant did not contest the accuracy of the plaintiff's evidence. The defendant conceded that the plaintiff appeared as a credible and honest witness. I note that the plaintiff's evidence is corroborated in significant respects by the evidence of the plaintiff's wife, co-worker, and cross-fit trainer.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met Ms. Lawson in September 2005 when Ms. Lawson travelled from Vancouver to California for an outrigger paddling race. The plaintiff was then residing in California. The couple dated long distance for a period of time before they married in 2007. The plaintiff moved to Vancouver in October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Although the plaintiff had previously led a relatively sedentary lifestyle, with Ms. Lawson's encouragement he became very physically active after moving to Vancouver. The plaintiff became involved in outrigger paddling and by the summer of 2008 he was racing competitively. He also took up running and cycling and completed half-marathons and triathlons.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 continued his active lifestyle up to the time of the Accident. He competed in the men's outrigger paddling program with the False Creek Racing Canoe Club. He continued to cycle, including commuting to work on his bicycle. In June 2014, the plaintiff participated in the Ride to Conquer Cancer which required him to cycle halfway to Seattle. By the end of 2013, the plaintiff had added cross-fit training to his list of physical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 was also a very active father for his twin daughters, who were four years old at the time of the Accident. Ms. Lawson describes the plaintiff as the "fun dad" who was always at the centre of activity on the playground or at birthday parties. The plaintiff enjoyed roughhousing with his daughters, giving them piggy back rides, and playing tag and "tickle monster".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 saw a physiotherapist after the Ride to Conquer Cancer in order to address an inflamed Achilles tendon, which lasted for about two weeks. Otherwise, the plaintiff says he had no pre-existing medical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Following his move to Vancouver, the plaintiff obtained a commercial transport mechanic certificate from BCIT in 2011 and he began work as a mechanic. The plaintiff later decided to switch his career focus to health care. He received a certificate in care aide from Vancouver Community College (VCC) in June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After his graduation from VCC, the plaintiff secured casual employment as a care aide with the Vancouver Coastal Health Authority (VCHA) working in long-term care facilities, Kiwanis Care Centre and Evergreen House, on the North Shore. Shortly thereafter, the plaintiff started second job as a day support worker with an organization called posAbilities which supports young adults with developmental issues. In April 2014, the plaintiff moved to a full-time position with posAbilities while continuing to work on a casual basis for the VCHA.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plaintiff's job responsibilities as a care aide were physically demanding. While working at VCHA, the plaintiff's duties included such tasks as changing, cleaning, feeding, and washing patients, and moving patients on and off lifts. The plaintiff's employment at posAbilities required him to provide daily one-on-one support for an individual who required assistance with such tasks as getting out of bed, sitting up, and walking.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plaintiff did not have any difficulty in performing the physical tasks required of his employment at the VCHA and posAbilities prior to the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Accident occurred at around 4 or 5 pm as the plaintiff was cycling home to Kitsilano from downtown Vancouver. The plaintiff's route took him southbound down Burrard Street towards the Burrard Street Bridge. There is a dedicated bike lane along Burrard Street. The bike lane is painted green and is separated from the road by a barrier. A traffic light controls the intersection of Burrard Street and Pacific Avenue, which immediately precedes the entrance to the Bridge. Southbound motorists are prohibited from turning right onto Pacific Avenue from Burrard Street. There are at least three signs posted in visible locations to warn motorists that right turns are prohibited at this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On the day in question, the plaintiff was wearing a helmet, long sleeve cycling shirt, spandex leggings, and a backpack. As he travelled down Burrard Street towards the Burrard Street Bridge the plaintiff noted that the pedestrian light was green, indicating that he could safely cross Pacific Avenue to travel onto the Bridge. The final block of Burrard Street leading to the Bridge is a downhill grade so the plaintiff was travelling at a relatively high rate of speed.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plaintiff noted the defendant's car travelling next to him in the vehicle lane, and also noted that the car had its right turn signal on. The plaintiff did not attach significance to this fact because he assumed that the defendant had inadvertently left his turn signal on after switching lanes. The plaintiff assumed that the defendant did not intend to turn right at Pacific Avenue because such a turn was clearly prohibited and because the bike lane is clearly indicated by its green colour and separated from the road by a barrier.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plaintiff observed the defendant's car start to turn right at Pacific Avenue when the plaintiff was no more than 15 feet away from the defendant. When the plaintiff realized that the defendant was turning right directly in his path he pulled on both of his brake levers. However, the plaintiff was unable to stop in time to avoid a collision. The plaintiff struck the defendant's vehicle on the passenger rear door and window. The plaintiff's left shoulder hit the top part of the door frame and roof, his left forearm hit the window breaking the glass and denting the window frame, and his left hip and thigh hit the door.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plaintiff does not recall how his body moved after the impact. He does recall being on the ground following the impact. He was assisted to his feet by bystanders who also removed his bike from the road. The plaintiff was bleeding from his elbow, hand, and knee. His entire left side was in a significant amount of pain. He recalls having a brief exchange with the defendant who apologized for hitting him. An ambulance arrived and the plaintiff was checked over by paramedics. Ms. Lawson arrived while the ambulance was still there and she took responsibility for the plaintiff's care. They went straight home.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After the Accident</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The plaintiff's physical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the immediate aftermath of the Accident, the plaintiff noticed injuries to his left elbow and left forearm. The injury to his left elbow consisted of a cut that healed within a month. He also suffered abrasions and lacerations on his hands and left knee that healed over within a matter of weeks.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pain in the plaintiff's left forearm did not resolve until early 2019. He says he experienced pain in his forearm about once a week in the year following his Accident. The plaintiff eventually underwent nerve stimulation testing which ruled out the possibility of nerve damage to his left forearm.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plaintiff also injured his left thigh in the Accident when it collided with the defendant's vehicle door. His thigh was bruised and swollen. The bruising eventually became darker in colour and blood began to drain into his knee and foot. The plaintiff's left leg pain resolved within about two months of the bruising and blood pooling disappearing.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day after the Accident the plaintiff noticed pain in his neck, and lower back and hip. At the suggestion of his family doctor, the plaintiff saw a chiropractor for a period of approximately eight months. The chiropractor performed adjustments that resolved his neck, hip, and low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plaintiff says the injuries from the Accident that have endured are to his left and right shoulders. He also says he continues to suffer from sleep difficulties that he attributes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plaintiff began to notice plain in his left shoulder a couple of days after the Accident when his other injuries had subsided. Sometimes the pain is dull and achy and sometimes it is very sharp like a needle prick. The plaintiff says he began to notice pain in his right shoulder as well about six months after the Accident. By that time, the plaintiff had been compensating for his left shoulder injury by using his right shoulder to perform daily tasks.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plaintiff first recalls noticing pain in his right shoulder during Easter of 2015 when he was hiding eggs with his family. He also recalls being unable to pick up his daughters due to shoulder pain during their graduation from pre-school in June of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plaintiff continues to experience pain in his left and right shoulders, which he describes as situational. The pain comes on when the plaintiff's arms are away from his body and when he is lifting his arms above shoulder height. The plaintiff experiences pain in his shoulders when, for example, he reaches out to grab a milk carton from his fridge, puts dishes away in the cupboard, lifts his arms up to grab a box off of a shelf, or pushes a cart at work in a manner that brings his arms away from his body. Both shoulders are triggered by the same type of movements, although they flare-up independently.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plaintiff says that the pain in his left shoulder has been constant since the Accident, and in his right shoulder has been constant since he first noticed it six months after the Accident. In the past few months, the pain has been more noticeable in his right shoulder than his left. The plaintiff describes the pain as dull and achy and sometimes sharp. The plaintiff also experiences occasional grinding, clicking, and popping in both shoulders. The pain is significant enough that he notices it on a daily basis. It does not prevent him from carrying out his daily activities as he has found ways to adjust his movements to avoid the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plaintiff was diagnosed with tendonitis and bursitis of the left and right shoulders following an MRI scan of his left shoulder and MR-arthrogram of his right shoulder in August 2016. The plaintiff was referred to Dr. Jeffrey Pike, an orthopedic specialist at St. Paul's Hospital. The plaintiff first saw Dr. Pike for a consultation in July 2017. Dr. Pike performed a cortisone injection on the plaintiff's right shoulder. This provided only temporary relief from the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plaintiff's sleeping difficulties stem from the fact that he can no longer sleep on his stomach with his arms stretched above his head due to the shoulder pain that results from this position. The plaintiff says that when he sleeps on his back he wakes up through the night because he stops breathing and then has to get himself back to sleep. In 2016, the plaintiff was diagnosed with sleep apnea and advised to use a CPAP machine.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plaintiff saw his family doctor on the day after the Accident. She advised the plaintiff to see a physiotherapist and chiropractor. As noted, the plaintiff saw a chiropractor for his neck and back pain for a period of several months. On the advice of his family doctor, the plaintiff also saw a physiotherapist for a period of about eight months. The focus of physiotherapy was on restoring the plaintiff's range of motion using resistance band training. The plaintiff eventually stopped going to physiotherapy when he reached what he considered to be a plateau, although he continued the exercises at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plaintiff attempted to return to cross-fit training in December 2014. He soon became frustrated at his inability to perform the exercises that he previously could such as push-ups, pull-ups, overhead presses, and anything else that required him to raise his arms. The plaintiff tried to modify his workouts but with limited success. The plaintiff describes feeling sore, hurt, and bad about himself after workouts. He quit cross-fit altogether in January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plaintiff returned to paddling two years after the Accident. He did attempt to rejoin the men's program, but was unable to paddle competitively due to his shoulder injury. Instead, the plaintiff joined a co-ed team that was less competitive, and which involved less pressure in terms of the training schedule. The plaintiff still tries to put all of his energy and energy into paddling competitions so as not to let his teammates down. He describes feeling "beat up" after a race.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plaintiff has also resumed cycling after the Accident, out of necessity as this is his primary means of commuting to work. The plaintiff routinely feels numbness in his hands and fatigue in his shoulders while cycling but he is able to stop and shake it out. The plaintiff also notices pain in his shoulders if he cycles for an hour, less if the road is bumpy. He rests his arms on a bar on his bicycle in order to relieve the shoulder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the months immediately following the Accident, the plaintiff experienced anxiety when riding his bike in traffic. After about six months, the anxiety abated into a heightened awareness of vehicles around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plaintiff resumed running after the swelling in his leg subsided. He says that running also causes pain in his shoulders after about 20 to 40 minutes, depending on how much he has stretched. The plaintiff also took up swimming after the Accident, although this also causes him discomfort. A session in the pool causes him to experience shoulder pain for the rest of the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plaintiff believes that his relationship with his daughters has been impacted by the injuries he suffered in the Accident. He has been limited in his ability to physically interact with them. The plaintiff was no longer able to give them piggy back rides or be the tickle monster. The plaintiff regrets that he was not able to continue to be the active father than he wanted to be.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The plaintiff's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plaintiff tried to return to work at posAbilities two days after the Accident. The plaintiff requested permission to perform administrative or office tasks in light of his injuries, but this could not be accommodated. The plaintiff was unable to carry out the physical demands of his usual job duties and his employer suggested that he take additional time 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plaintiff did not return to work at posAbilities until mid-December 2014. Thereafter, the plaintiff adopted informal accommodation measures to ease the physical demands of the job. The plaintiff requested that he be assigned to clients who were more independent, and also that he be permitted to take clients on outings that he could manage more easily. The plaintiff described feeling run down and tired at the end of a work shift in the months after the Accident. He found it difficult to do physical tasks such as housework and cleaning that required him to use his shoulders.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plaintiff continued to work full-time at posAbilities until the summer of 2015. At that time, the plaintiff reduced, and eventually eliminated, his hours at posAbilities in order to accept a full-time position with the VCHA at the Kiwanis facility in North Vancouver. When the plaintiff first started full-time work at Kiwanis he regularly experienced sharp shoulder pain when carrying out employment tasks. The plaintiff adapted by modifying his body movements and requesting assistance from co-workers with tasks that required him to lift his arms.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In September 2015, the plaintiff returned to VCC to complete an acute care aide program, and accordingly reduced his hours at Kiwanis.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In order to supplement his income through this period, the plaintiff began to worker as a maintenance worker with Balfour Properties, a Vancouver-based residential property management company. The plaintiff worked for Balfour Properties on a casual basis between September 2016 and March 2017, and then moved to full-time in March 2017. His job duties included indoor and outdoor maintenance of residential buildings, including lawn mowing and weed whacking. The defendant placed considerable emphasis on the fact that the plaintiff's employment at Balfour Properties also required him to dig a ditch over the course of two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plaintiff stopped working for Balfour in July 2018. In August 2018, he started a job at St. Paul's Hospital as a temporary radiology support aid, filling in for a maternity leave. His tasks at St. Paul include setting up the CT scanning and ultrasound machines in the morning, and cleaning and stocking the examination room to receive patients. The plaintiff was able to complete his job duties, provided he received some assistance from other staff with tasks that require him to lift his arms. A co-worker of the plaintiff at St. Paul's, Georgina Fitzgerald, testified that she had to assist the plaintiff several times a day with tasks such as stocking shelves and moving machines due to his shoulder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plaintiff's temporary employment at St. Paul's ended in November 2018. He then secured a full-time position at the UBC Hospital as a perioperative health care assistant. This is where he currently works. This job does not directly involve the plaintiff in patient care, but rather requires him to ready the operating room for patients and bring patients to and from the operating room. The plaintiff says he is better able to deal with the physical demands of his job at the UBC Hospital because he is a member of a support team. There are, nevertheless, motions that aggravate his shoulder.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EXPERT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plaintiff tendered expert reports from two witnesses: Dr. Heather Finlayson, a physiatrist, and Dr. Jeffrey Pike, an orthopedic surgeon. The defendant tendered one report from Dr. William Yu, an orthopedic surgeon. All of the expert witnesses were cross-examined at trial.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plaintiff's expert witnesses</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Heather Finlayson (physiatrist)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Dr. Finlayson assessed the plaintiff on March 17, 2016, and provided a report that is dated March 17, 2016. She also provided a supplementary report dated October 2,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In preparing her report of March 17, 2016, Dr. Finlayson interviewed the plaintiff, conducted a physical examination, and reviewed his relevant clinical records. On the basis of her assessment, Dr. Finlayson concluded that the plaintiff's pain in his left and right shoulders and left forearm were all caused by the Accident. Dr. Finlayson explains her diagnoses as follows:</w:t>
      </w:r>
      <w:r>
        <w:rPr>
          <w:rFonts w:ascii="arial" w:eastAsia="arial" w:hAnsi="arial" w:cs="arial"/>
          <w:sz w:val="20"/>
          <w:lang w:val="en-US" w:eastAsia="en-US" w:bidi="ar-SA"/>
        </w:rPr>
        <w:cr/>
      </w:r>
    </w:p>
    <w:p>
      <w:pPr>
        <w:numPr>
          <w:numId w:val="119"/>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Left shoulder pain:</w:t>
      </w:r>
      <w:r>
        <w:rPr>
          <w:rFonts w:ascii="arial" w:eastAsia="arial" w:hAnsi="arial" w:cs="arial"/>
          <w:color w:val="000000"/>
          <w:sz w:val="20"/>
          <w:lang w:val="en-US" w:eastAsia="en-US" w:bidi="ar-SA"/>
        </w:rPr>
        <w:t xml:space="preserve"> Mr. Long's left shoulder symptoms and his physical examination findings are consistent with diagnoses of left rotator cuff tendinopathy and impingement syndrome.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Rotator cuff tendinopathy refers to dysfunction of the tendons of one or more of the rotator cuff muscles. These are four muscles around the shoulder that help move the arm and provide stability to the shoulder joint. Injuries to the rotator cuff tendons can involve microscopic changes in the structure and organization of the tendons or more significant tears.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Impingement syndrome is a condition in which there is "pinching" of structures between the bones of the upper shoulder joint. These structures include the rotator cuff tendons and a fluid-filled sac called a bursa. Impingement occurs when the arm is lifted out to the side and/or overhead, leading to pain with these movements. Impingement syndrome is often associated with rotator cuff tendinopathy as the repetitive pinching of the tendons can lead to injury, including tears, such that these conditions frequently co-exist.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mechanism of injury in the MVA on November 5, 2014, can reasonably be expected to have caused Mr. Long's left shoulder rotator cuff tendinopathy and impingement syndrome.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Right Shoulder pain:</w:t>
      </w:r>
      <w:r>
        <w:rPr>
          <w:rFonts w:ascii="arial" w:eastAsia="arial" w:hAnsi="arial" w:cs="arial"/>
          <w:color w:val="000000"/>
          <w:sz w:val="20"/>
          <w:lang w:val="en-US" w:eastAsia="en-US" w:bidi="ar-SA"/>
        </w:rPr>
        <w:t xml:space="preserve"> Mr. Long has likely developed pain in his right shoulder as a result of compensatory overuse due to his left shoulder pain. In other words, he has had to increase use and strain through the right shoulder in order to compensate for his reduced function of the left shoulder due to his pain. People who have pain and dysfunction in one shoulder frequently develop pain and injuries in the opposite shoulder as a result of this type of compensatory overuse.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has symptoms suggestive of an injury within the right shoulder joint called a labral tear. This is an injury to a lip of cartilage that partially surrounds the shoulder joint to help increase its depth and stability. Mr. Long's symptoms of clunking and intermittent acute excruciating pain with shoulder movements are typical of this diagnosis.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Left forearm and hand symptoms:</w:t>
      </w:r>
      <w:r>
        <w:rPr>
          <w:rFonts w:ascii="arial" w:eastAsia="arial" w:hAnsi="arial" w:cs="arial"/>
          <w:color w:val="000000"/>
          <w:sz w:val="20"/>
          <w:lang w:val="en-US" w:eastAsia="en-US" w:bidi="ar-SA"/>
        </w:rPr>
        <w:t xml:space="preserve"> Mr. Long likely suffered an injury to the bone and soft tissues of his left forearm as a result of direct trauma in the MVA of November 5, 2014. Based on the history that he reported to me today and the clinical records provided, he had bruising and pain in the left medial (inner) forearm immediately after the injury. This area has remained sensitive to pressure over time.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Long's left forearm pain is associated with symptoms of numbness and tingling in the inner aspect of his hand and his ring and pinkie fingers. These symptoms are suggestive of irritation of the ulnar nerve.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In terms of the impact of the plaintiff's injuries on his employment functioning, Dr. Finlayson opines: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my opinion that Mr. Long will be able to continue to work at his current jobs into the foreseeable future despite his pain resulting from the MVA. However, it is unlikely that he would be able to work at another job that requires heavier and/or more frequent physical labour. He is best suited to a line of work in which he has an accommodating employer who allows him the opportunity for rest breaks at work as needed and potential time off of work if there are flares of pain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Dr. Finlayson's treatment recommendations for the plaintiff include eight to 10 sessions per year of physiotherapy for the foreseeable future, and at least 10 to 12 sessions with a kinesiologist followed by five to six review sessions after a period of a few months. Dr. Finlayson sees potential for improvement in the plaintiff's condition with time and treatment. However, she cautions: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more likely than not that he will continue to have at least intermittent flares of his pain into the foreseeable future. It is unlikely that his symptoms will ever completely resolve, i.e., be eliminated. I expect that his pain will be present most days, particularly with work and recreational pursuits. It is unlikely that his symptoms will resolve simply with the passage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On August 10, 2016, the plaintiff underwent a left shoulder MRI and a right shoulder MR-arthrogram. In her October 2, 2016 supplementary report, Dr. Finlayson states that the results from these imaging tests support and confirm her original diagnosis.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Dr. Finlayson testified at trial. In cross-examination, a number of hypothetical scenarios were put to her. She agreed that, hypothetically, the type of shoulder injury the plaintiff has suffered could result from such activities as improper form during exercise, a rugby injury, a slip and fall, or having to unexpectedly catch someone from falling. It was not put to Dr. Finlayson that any of these hypotheticals could explain the likely cause of the plaintiff's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Dr. Finlayson agreed in cross-examination that she did not perform functional testing on the plaintiff, however she considered this unnecessary in order to form her opinion on the plaintiff's functional impairment as a result of the Accident. She did not agree with the proposition put to her in cross-examination that if a person was able to dig a ditch over multiple days this would suggest there were no functional limits. In Dr. Finlayson's view the fact that a person may be able to carry out a physical task despite the presence of pain does not indicate that the same task could be carried out repetitively and without pain for the foreseeable future.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Jeffrey Pike (orthopedic surgeon)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As noted, the plaintiff first saw Dr. Pike for treatment in 2017 following a referral from his family physician. Dr. Pike assessed the plaintiff on July 17, 2019, for the purpose of providing a medical-legal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Dr. Pike diagnoses the plaintiff as suffering from rotator cuff syndrome in his left and right shoulders. Dr. Pike explains that rotator cuff syndrome is a general term inclusive of the clinical findings of rotator cuff impingement, bursitis and tendinopathy, but not including a rotator cuff tear. In Dr. Pike's view, the timing of the onset of the plaintiff's shoulder pain supports the conclusion that the Accident is the likely cause of the plaintiff's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In terms of prognosis and vocational impacts, Dr. Pike opines: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Mr. Long's most recent assessment on February 6, 2019 he continued to experience mild pain in both shoulders. Now more than 4 years post injury it is likely that Mr. Long has reached maximal medical improvement. Therefore it is likely that he will continue to have low-grade shoulder pain. He would benefit from regular physiotherapy or kinesiology programming, as per the schedule outlined by Dr. Finlayson, to maintain posture, strength, and mobility.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he has been able to maintain work as a care aide, and maintained a good level of fitness through sporting activities outside of his work, it is likely that he will be able to continue with his current role indefinitely. However, there is a possibility particularly if he has another injury that continuing with the physical nature as a care aide will be sufficiently difficult that he will require retraining for a less physical occupation.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In direct examination, Dr. Pike explained that the term "mild pain" did not come from the plaintiff but rather was Dr. Pike's interpretation of the plaintiff's pain. This interpretation was based on the plaintiff's statement to Dr. Pike that his shoulders were at 75% of normal functioning at the time of Dr. Pike's assessment and his pain level was at three or four out of 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same hypotheticals that were put to Dr. Finlayson in cross-examination were also put to Dr. Pike. Dr. Pike agreed that, hypothetically, a rotator cuff injury could result from improper exercise techniques or a slip and fall. Once again it was not put to Dr. Pike that these alternative methods of injury might be a more likely explanation for the plaintiff's condition than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Dr. Pike also disagreed in cross-examination with the proposition that the plaintiff's ability to dig a ditch over multiple days indicates that the plaintiff has no functional impairment despite his rotator cuff injury. Dr. Pike explained that the real question is the long-term consequence of undertaking such activity. If it worsens the pain, then the plaintiff will be unable to tolerate the activity in the long-term.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Dr. Pike agreed that his opinion that the Accident caused the plaintiff's right shoulder injury might change if the shoulder pain had first appeared 18 months after the Accident as opposed to six months. Dr. Pike agreed that the longer the time that elapses between the index event and the development of symptoms, the weaker the causative link.</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defendant's expert witness</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William Yu (orthopedic surgeon)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Dr. Yu assessed the plaintiff on June 26, 2019, and prepared a report dated June 27, 2019. For the purpose of preparing his report, Dr. Yu interviewed the plaintiff, conducted a physical examination, and reviewed the plaintiff's clinical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Dr. Yu concludes that the plaintiff suffers from left shoulder pain and numbness in left hand as a result of the Accident. In this respect he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Regarding his left shoulder, clinically he has some mild tenderness over the long head of the bicep and some mild impingement signs consistent with bicipital tendinitis and probable rotator cuff sprain with subacromial bursitis. It is probable his left shoulder pain is the direct result of the accident on November 5, 2014. His left shoulder pain is not severe but somewhat bothersome with some of his activities. It is probable that his left shoulder injuries will not require surgical treatment in the absence of any major rotator cuff tear and that clinically he has full range of motion with some discomfort.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some residual tingling and numbness in the ulnar nerve distribution of his left hand, likely due to some blunt trauma to the ulnar nerve. In the absence of motor weakness or sensory deficit and normal nerve conduction study of the left ulnar nerve, I anticipate the numbness in his left hand will gradually improve over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Dr. Yu opines that the plaintiff's right shoulder pain is not caused by the Accident. Dr. Yu bases this conclusion on his understanding that the plaintiff did not experience right shoulder pain until 18 months after the Accident. Dr. Yu says this was the information given to him by the plaintiff during the assessment, and it is consistent with the notes of the plaintiff's family physician which first records a report of right shoulder pain in August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In cross-examination, Dr. Yu acknowledged he did not reference the clinical records of the plaintiff's chiropractor, Dr. Glenn MacDonald, in his report although those records were provided to him. A note from Dr. MacDonald's records was put to Dr. Yu in cross-examination which suggests that the plaintiff complained to Dr. MacDonald in May 2015 of pain in both shoulders. Dr. Yu also does not reference the report of Dr. Finlayson which notes that the plaintiff reported to Dr. Finlayson that his right shoulder pain started a year prior to his assessment by Dr. Finlayson on March 17,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Dr. Yu agreed that Dr. MacDonald's clinical records and Dr. Finlayson's expert report suggest that there may have been a miscommunication between Dr. Yu and the plaintiff over the onset of right shoulder pain. Dr. Yu agreed that he did not attempt to follow up with the plaintiff after reviewing his clinical records to sort out the apparent contradiction between the clinical records and Dr. Yu's understanding of the timing of the right shoulder pain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Dr. Yu also agreed that the foundation for his conclusion that the plaintiff's right shoulder pain is not causally related to the Accident is his factual assumption that the pain did not appear until 18 months after the Accident. Dr. Yu became somewhat argumentative and evasive in cross-examination in refusing to agree to the seemingly straightforward proposition that if the onset of right shoulder pain was six months rather than 18 months after the Accident, this would strengthen the foundation for a causative link.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Dr. Yu agreed in cross-examination that his description of the plaintiff's pain as "mild" and "not severe but somewhat bothersome" reflected Dr. Yu's perception rather than information expressly conveyed to him by the plaintiff. Dr. Yu also agreed that if the plaintiff was having difficulties with pushing and pulling, lifting his arms outstretched and above shoulder height, and bearing weight above shoulder height, this was all consistent with his diagnosis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Dr. Yu agreed that his notes of his interview with the plaintiff reflect a limited discussion about the plaintiff's functional limitations at work. Dr. Yu does not believe that the plaintiff has "significant limitations" or that he is disabled from work. Dr. Yu acknowledged that the plaintiff did inform him of some difficulties at work. Dr. Yu's opinion that the plaintiff does not have functional impairment appears premised on the fact that the plaintiff has been able to continue to perform his job despite the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Dr. Yu agreed that it is reasonable for a person with chronic pain to have periodic access to assistance from a kinesiologist and physiotherapist. He agreed that the plaintiff could experience benefits from such an exercise management program that would include pain management, improving or maintaining functional capacity, and strengthening muscles.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As noted, the defendant admitted liability in the course of final argument at trial. However, the defendant maintains that the plaintiff was also negligent in failing to take reasonable precautions to avoid the Accident. The only liability issue remaining, therefore, is that of the defence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parties have agreed that the plaintiff's net pre-trial wage loss attributable to the Accident is $1,991, and that the plaintiff has incurred special damages in the amount of $1,969. The disputed heads of damages are non-pecuniary, loss of future earning capacity, and future care costs. The defendant also argues that the plaintiff's damages should be reduced to reflect his failure to mitigate by consistently engaging in physical rehabilitation prior to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Accordingly, I must decide the following issues:</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Did the plaintiff's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contribute to the Accident, and if so how should fault be apportioned?</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Has the Accident caused or contributed to any of the plaintiff's injuries?</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the appropriate measure of damages for the plaintiff's non-pecuniary loss?</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the appropriate measure of damages for the plaintiff's loss of future earning capacity?</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the appropriate measure of damages for the plaintiff's future care costs?</w:t>
      </w:r>
    </w:p>
    <w:p>
      <w:pPr>
        <w:numPr>
          <w:numId w:val="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plaintiff breach his duty to mitigate?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Issue I: Contributory </w:t>
      </w: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The defendant argues that the plaintiff failed to take reasonable care to avoid the Accident. The particulars of the plaintiff's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as I understand them, are that: (i) the brake pads on the plaintiff's bike had worn down to the point that he could not safely stop; and (ii) that the plaintiff ought to have anticipated that the defendant would make an illegal right hand turn at the intersection of Burrard Street and Pacific Avenue, and slowed his speed to avoid a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It is common ground that the plaintiff was under a duty to take reasonable steps to protect his own safety. The onus is on the defendant to prove that the plaintiff was contributorily negligent, which requires that the defendant prove that the plaintiff could reasonably have avoided the Accident: </w:t>
      </w:r>
      <w:r>
        <w:rPr>
          <w:rFonts w:ascii="arial" w:eastAsia="arial" w:hAnsi="arial" w:cs="arial"/>
          <w:i/>
          <w:color w:val="000000"/>
          <w:sz w:val="20"/>
          <w:lang w:val="en-US" w:eastAsia="en-US" w:bidi="ar-SA"/>
        </w:rPr>
        <w:t>Mullens v. Toor</w:t>
      </w:r>
      <w:r>
        <w:rPr>
          <w:rFonts w:ascii="arial" w:eastAsia="arial" w:hAnsi="arial" w:cs="arial"/>
          <w:color w:val="000000"/>
          <w:sz w:val="20"/>
          <w:lang w:val="en-US" w:eastAsia="en-US" w:bidi="ar-SA"/>
        </w:rPr>
        <w:t xml:space="preserve">, </w:t>
      </w:r>
      <w:hyperlink r:id="rId754" w:history="1">
        <w:r>
          <w:rPr>
            <w:rFonts w:ascii="arial" w:eastAsia="arial" w:hAnsi="arial" w:cs="arial"/>
            <w:i/>
            <w:color w:val="0077CC"/>
            <w:sz w:val="20"/>
            <w:u w:val="single"/>
            <w:shd w:val="clear" w:color="auto" w:fill="FFFFFF"/>
            <w:lang w:val="en-US" w:eastAsia="en-US" w:bidi="ar-SA"/>
          </w:rPr>
          <w:t>2016 BCSC 1645</w:t>
        </w:r>
      </w:hyperlink>
      <w:r>
        <w:rPr>
          <w:rFonts w:ascii="arial" w:eastAsia="arial" w:hAnsi="arial" w:cs="arial"/>
          <w:color w:val="000000"/>
          <w:sz w:val="20"/>
          <w:lang w:val="en-US" w:eastAsia="en-US" w:bidi="ar-SA"/>
        </w:rPr>
        <w:t xml:space="preserve"> at paras. 20-21, aff'd </w:t>
      </w:r>
      <w:hyperlink r:id="rId755" w:history="1">
        <w:r>
          <w:rPr>
            <w:rFonts w:ascii="arial" w:eastAsia="arial" w:hAnsi="arial" w:cs="arial"/>
            <w:i/>
            <w:color w:val="0077CC"/>
            <w:sz w:val="20"/>
            <w:u w:val="single"/>
            <w:shd w:val="clear" w:color="auto" w:fill="FFFFFF"/>
            <w:lang w:val="en-US" w:eastAsia="en-US" w:bidi="ar-SA"/>
          </w:rPr>
          <w:t>2017 BCCA 384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The defendant has not tendered any evidence to establish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plaintiff. The argument that the plaintiff was negligent in not replacing his brake pads requires me to infer that the plaintiff was not able to safely stop with worn brake pads and that he would have been able to avoid a collision with new brake pads. There is no evidence to support such an inference; it would be an exercise in speculation to find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this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The plaintiff testified that he considered it safe to proceed through the intersection of Burrard Street and Pacific Avenue because the pedestrian light was green in his direction, there were many signs warning motorists that right hand turns were prohibited, and the plaintiff was travelling in a dedicated bike line. The plaintiff says, and I accept, that he was 15 feet away from the defendant when the defendant began his right hand turn. As such, there was insufficient time to brake to avoid a collision. There is no evidence contradicting the plaintiff's version of events. The defence led no evidence at all, including from the defendant, on the issue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In the circumstances I conclude that the plaintiff was not contributorily negligent. Fault for the Accident is solely attributable to the defendant who, inexplicably, made an illegal and highly dangerous right hand turn directly into the path of the plaintiff.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Issue II: Causation</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Legal framework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The onus is on the plaintiff to prove on a balance of probabilities that the defendant caused or contributed to his injuries. The general test for causation is the "but for" test, which requires a plaintiff to show that the injury for which they seek compensation would not have occurred but for the defendant's tortious act: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505"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paras. 13-14.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process of damage assessment must consider any pre-existing injuries that would have led the plaintiff to suffer all or a portion of the injuries for which he claims compensation even without the Accident. It must also consider if there are events occurring after the Accident which have contributed to his injuries but which are unrelated to the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Findings on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There is no dispute between the parties that the Accident caused injuries to the plaintiff's left shoulder, left arm, left elbow, left forearm, and left leg. All of these injuries had resolved by the time of trial, with the exception of the injury to the plaintiff's left shoulder. The experts are consistent in their opinions that the plaintiff suffered an injury to the rotator cuff in his left shoulder as a result of the Accident. The experts are also in agreement that the plaintiff's left shoulder injury is unlikely to resolve in the foreseeable future, although he may benefit from a structured exercise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main point of contention on the issue of causation is whether the plaintiff's right shoulder injury is also attributable to the Accident. The defendant relies on the opinion of Dr. Yu that there is no causative link between the Accident and the plaintiff's right shoulder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As I have noted, the foundation for Dr. Yu's opinion in this respect is his factual assumption that the onset of right shoulder pain occurred 18 months after the Accident. By contrast, Dr. Pike and Dr. Finlayson opine that the plaintiff's right shoulder pain resulted from the plaintiff's use of his right arm and shoulder to compensate for his left shoulder pain and discomfort. They therefore view his right shoulder injury as causally related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 prefer the opinions of Dr. Pike and Dr. Finlayson over the opinion of Dr. Yu for the simple reason that Dr. Yu's critical factual assumption is inaccurate. I find that the plaintiff's right shoulder pain developed at a much earlier date than the date assumed by Dr. Yu.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 accept the plaintiff's evidence that his right shoulder pain came on within about six months of the Accident. The plaintiff was able to point to specific memories of events such as the Easter egg hunt and his daughters' preschool graduation in 2015 to situate the timing. The defendant did not challenge the plaintiff's credibility. No argument was made to me that the plaintiff was fabricating or exaggerating his evidence. The plaintiff's evidence is, furthermore, corroborated by the clinical records of Dr. MacDonald and the report of Dr. Finlayson.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 conclude that Dr. Yu's assumption that the plaintiff's right shoulder pain did not appear until 18 months after the Accident is factually untenable. Indeed, Dr. Yu himself acknowledged in cross-examination that there may have been a miscommunication between him and the plaintiff about the timing of the onset of right shoulder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Finally, I note that the defendant did not point to any alternative explanation for the cause of the plaintiff's right shoulder pain other than the Accident. There was no obvious injury mechanism in the post-Accident period. The plaintiff had, in fact, reduced his physical activities. He quit cross-fit, did not resume paddling for two years, and generally moderated his movements so as to avoid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 therefore conclude that the plaintiff has met his burden of proof to show that his right shoulder injury would not have occurred but for the Accident. I accept the expert opinions of Dr. Pike and Dr. Finlayson that the plaintiff developed right shoulder pain as a result of compensatory overuse due to the injury to his left shoulder caused by the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Issue III: Non-pecuniary damages</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Legal framework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The purpose of non-pecuniary damages is to compensate the plaintiff for pain, suffering, disability, and loss of enjoyment of life. Non-pecuniary loss must be assessed for both losses suffered by the plaintiff to the date of trial and in the future: </w:t>
      </w:r>
      <w:r>
        <w:rPr>
          <w:rFonts w:ascii="arial" w:eastAsia="arial" w:hAnsi="arial" w:cs="arial"/>
          <w:i/>
          <w:color w:val="000000"/>
          <w:sz w:val="20"/>
          <w:lang w:val="en-US" w:eastAsia="en-US" w:bidi="ar-SA"/>
        </w:rPr>
        <w:t>Tisalona v. Easton</w:t>
      </w:r>
      <w:r>
        <w:rPr>
          <w:rFonts w:ascii="arial" w:eastAsia="arial" w:hAnsi="arial" w:cs="arial"/>
          <w:color w:val="000000"/>
          <w:sz w:val="20"/>
          <w:lang w:val="en-US" w:eastAsia="en-US" w:bidi="ar-SA"/>
        </w:rPr>
        <w:t xml:space="preserve">, </w:t>
      </w:r>
      <w:hyperlink r:id="rId756" w:history="1">
        <w:r>
          <w:rPr>
            <w:rFonts w:ascii="arial" w:eastAsia="arial" w:hAnsi="arial" w:cs="arial"/>
            <w:i/>
            <w:color w:val="0077CC"/>
            <w:sz w:val="20"/>
            <w:u w:val="single"/>
            <w:shd w:val="clear" w:color="auto" w:fill="FFFFFF"/>
            <w:lang w:val="en-US" w:eastAsia="en-US" w:bidi="ar-SA"/>
          </w:rPr>
          <w:t>2017 BCCA 272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Tisalona</w:t>
      </w:r>
      <w:r>
        <w:rPr>
          <w:rFonts w:ascii="arial" w:eastAsia="arial" w:hAnsi="arial" w:cs="arial"/>
          <w:color w:val="000000"/>
          <w:sz w:val="20"/>
          <w:lang w:val="en-US" w:eastAsia="en-US" w:bidi="ar-SA"/>
        </w:rPr>
        <w:t>] at para. 39.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As set out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512"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at para. 46, leave to appeal ref'd </w:t>
      </w:r>
      <w:hyperlink r:id="rId757" w:history="1">
        <w:r>
          <w:rPr>
            <w:rFonts w:ascii="arial" w:eastAsia="arial" w:hAnsi="arial" w:cs="arial"/>
            <w:i/>
            <w:color w:val="0077CC"/>
            <w:sz w:val="20"/>
            <w:u w:val="single"/>
            <w:shd w:val="clear" w:color="auto" w:fill="FFFFFF"/>
            <w:lang w:val="en-US" w:eastAsia="en-US" w:bidi="ar-SA"/>
          </w:rPr>
          <w:t>[2006] S.C.C.A. No. 100</w:t>
        </w:r>
      </w:hyperlink>
      <w:r>
        <w:rPr>
          <w:rFonts w:ascii="arial" w:eastAsia="arial" w:hAnsi="arial" w:cs="arial"/>
          <w:color w:val="000000"/>
          <w:sz w:val="20"/>
          <w:lang w:val="en-US" w:eastAsia="en-US" w:bidi="ar-SA"/>
        </w:rPr>
        <w:t>, common factors influencing an award of non-pecuniary damages include:</w:t>
      </w:r>
      <w:r>
        <w:rPr>
          <w:rFonts w:ascii="arial" w:eastAsia="arial" w:hAnsi="arial" w:cs="arial"/>
          <w:sz w:val="20"/>
          <w:lang w:val="en-US" w:eastAsia="en-US" w:bidi="ar-SA"/>
        </w:rPr>
        <w:cr/>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age of the plaintiff;</w:t>
      </w:r>
    </w:p>
    <w:p>
      <w:pPr>
        <w:numPr>
          <w:numId w:val="1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nature of the injury;</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severity and duration of pain;</w:t>
      </w:r>
    </w:p>
    <w:p>
      <w:pPr>
        <w:numPr>
          <w:numId w:val="1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disability;</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emotional suffering;</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or impairment of life;</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family, marital and social relationships;</w:t>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physical and mental abilities; and</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lifestyle.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plaintiff's stoicism should not, generally speaking, penalize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An award of non-pecuniary damages must be fair and reasonable to each party. Fairness is measured in part against awards made in comparable cases. However, other cases only serve as a rough guide as each case must be decided on its own facts: </w:t>
      </w:r>
      <w:r>
        <w:rPr>
          <w:rFonts w:ascii="arial" w:eastAsia="arial" w:hAnsi="arial" w:cs="arial"/>
          <w:i/>
          <w:color w:val="000000"/>
          <w:sz w:val="20"/>
          <w:lang w:val="en-US" w:eastAsia="en-US" w:bidi="ar-SA"/>
        </w:rPr>
        <w:t>Trites v. Penner</w:t>
      </w:r>
      <w:r>
        <w:rPr>
          <w:rFonts w:ascii="arial" w:eastAsia="arial" w:hAnsi="arial" w:cs="arial"/>
          <w:color w:val="000000"/>
          <w:sz w:val="20"/>
          <w:lang w:val="en-US" w:eastAsia="en-US" w:bidi="ar-SA"/>
        </w:rPr>
        <w:t xml:space="preserve">, </w:t>
      </w:r>
      <w:hyperlink r:id="rId511" w:history="1">
        <w:r>
          <w:rPr>
            <w:rFonts w:ascii="arial" w:eastAsia="arial" w:hAnsi="arial" w:cs="arial"/>
            <w:i/>
            <w:color w:val="0077CC"/>
            <w:sz w:val="20"/>
            <w:u w:val="single"/>
            <w:shd w:val="clear" w:color="auto" w:fill="FFFFFF"/>
            <w:lang w:val="en-US" w:eastAsia="en-US" w:bidi="ar-SA"/>
          </w:rPr>
          <w:t>2010 BCSC 882</w:t>
        </w:r>
      </w:hyperlink>
      <w:r>
        <w:rPr>
          <w:rFonts w:ascii="arial" w:eastAsia="arial" w:hAnsi="arial" w:cs="arial"/>
          <w:color w:val="000000"/>
          <w:sz w:val="20"/>
          <w:lang w:val="en-US" w:eastAsia="en-US" w:bidi="ar-SA"/>
        </w:rPr>
        <w:t xml:space="preserve"> at para. 189. The amount of the award does not depend on the seriousness of the injury, but rather on the loss in the context of the specific plaintiff's circumstances: </w:t>
      </w:r>
      <w:r>
        <w:rPr>
          <w:rFonts w:ascii="arial" w:eastAsia="arial" w:hAnsi="arial" w:cs="arial"/>
          <w:i/>
          <w:color w:val="000000"/>
          <w:sz w:val="20"/>
          <w:lang w:val="en-US" w:eastAsia="en-US" w:bidi="ar-SA"/>
        </w:rPr>
        <w:t>Tisalona</w:t>
      </w:r>
      <w:r>
        <w:rPr>
          <w:rFonts w:ascii="arial" w:eastAsia="arial" w:hAnsi="arial" w:cs="arial"/>
          <w:color w:val="000000"/>
          <w:sz w:val="20"/>
          <w:lang w:val="en-US" w:eastAsia="en-US" w:bidi="ar-SA"/>
        </w:rPr>
        <w:t xml:space="preserve"> at para. 39.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Assessment of the plaintiff's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I have already indicated my conclusions on the issue of causation. My findings as to the impact of the plaintiff's Accident-related injuries as they pertain the assessment of non-pecuniary damages are as follows:</w:t>
      </w:r>
      <w:r>
        <w:rPr>
          <w:rFonts w:ascii="arial" w:eastAsia="arial" w:hAnsi="arial" w:cs="arial"/>
          <w:sz w:val="20"/>
          <w:lang w:val="en-US" w:eastAsia="en-US" w:bidi="ar-SA"/>
        </w:rPr>
        <w:cr/>
      </w:r>
    </w:p>
    <w:p>
      <w:pPr>
        <w:numPr>
          <w:numId w:val="1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Accident-related injuries included a cut to his left elbow, abrasions and lacerations on his hand and left knee, bruising to his left thigh which led to blood draining into his knee and foot, and pain in his neck, hip and lower back. All of these injuries resolved within a matter of months after the Accident.</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also suffered an injury to his left forearm that did not finally resolve until 2019, almost four years after the Accident. The plaintiff experienced daily pain in his arm and tingling in his fingers, although the possibility of nerve damage was ruled out.</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suffered injuries to the rotator cuff in both shoulders that continue to cause him pain. The expert evidence suggests that the plaintiff has reached maximum medical recovery and that he will likely continue to experience a similar level of pain in the foreseeable future. The expert evidence supports that the plaintiff is unlikely to require surgery in the future, although that is a possibility.</w:t>
      </w:r>
    </w:p>
    <w:p>
      <w:pPr>
        <w:numPr>
          <w:numId w:val="2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shoulder injuries cause pain when he lifts his arms away from his body and above shoulder height. The plaintiff has developed techniques (which he calls "cheats") to modify his movements to avoid pain. However, the pain remains a constant presence.</w:t>
      </w:r>
    </w:p>
    <w:p>
      <w:pPr>
        <w:numPr>
          <w:numId w:val="24"/>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was 30 years old at the time of the Accident and is now 35. He was very physically active prior to the Accident, participating in competitive outrigger paddling, cycling, running, triathlons and biathlons, and cross-fit training. The plaintiff continues to be physically active after the Accident but to a reduced extent. He cannot compete in paddling at the same competitive level and has had to quit cross-fit. The plaintiff continues to cycle and run and has taken up swimming. However, all of these activities cause pain.</w:t>
      </w:r>
    </w:p>
    <w:p>
      <w:pPr>
        <w:numPr>
          <w:numId w:val="25"/>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been able to continue in his job as a health care aide with limited interruption, although the effort of getting through a workday leaves him tired at the end of the day. The plaintiff relies on co-workers to assist him in tasks that would require him to raise his arms.</w:t>
      </w:r>
    </w:p>
    <w:p>
      <w:pPr>
        <w:numPr>
          <w:numId w:val="26"/>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shoulder injury does not prevent him from performing household tasks, although tasks that require him to lift his arms, such as putting dishes away in the cupboard, cause pain.</w:t>
      </w:r>
    </w:p>
    <w:p>
      <w:pPr>
        <w:numPr>
          <w:numId w:val="27"/>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injuries have impacted the plaintiff's relationship with his daughters in that he cannot engage at the same physical level that he previously did. His physical restrictions may be expected to have less impact as his daughters age. However, I accept that the plaintiff's inability to be the active father he previously was has caused him emotional distress since the Accident.</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fears for his future, in his personal and working life, if the shoulder pain gets worse over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 did not understand the defendant to seriously contest that the plaintiff has suffered these impacts as a result of the injuries caused by the Accident, other than disputing causation in relation to the plaintiff's right shoulder pain. The defendant did tender evidence in the form of video surveillance of the plaintiff participating in an outrigger paddling training session. However, this video confirms rather than undermines the plaintiff's testimony. The plaintiff testified that he was able to continue paddling two years after the Accident. However, he cannot compete at previous levels. The surveillance video evidences the type of adjustment to his technique that the plaintiff has had to make to alleviate his shoulder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xml:space="preserve">  The plaintiff seeks an award for non-pecuniary damages in the amount of $80,000. He relies on the following cases as establishing the appropriate range: </w:t>
      </w:r>
      <w:r>
        <w:rPr>
          <w:rFonts w:ascii="arial" w:eastAsia="arial" w:hAnsi="arial" w:cs="arial"/>
          <w:i/>
          <w:color w:val="000000"/>
          <w:sz w:val="20"/>
          <w:lang w:val="en-US" w:eastAsia="en-US" w:bidi="ar-SA"/>
        </w:rPr>
        <w:t>Owen v. Peljhan</w:t>
      </w:r>
      <w:r>
        <w:rPr>
          <w:rFonts w:ascii="arial" w:eastAsia="arial" w:hAnsi="arial" w:cs="arial"/>
          <w:color w:val="000000"/>
          <w:sz w:val="20"/>
          <w:lang w:val="en-US" w:eastAsia="en-US" w:bidi="ar-SA"/>
        </w:rPr>
        <w:t xml:space="preserve">, </w:t>
      </w:r>
      <w:hyperlink r:id="rId758" w:history="1">
        <w:r>
          <w:rPr>
            <w:rFonts w:ascii="arial" w:eastAsia="arial" w:hAnsi="arial" w:cs="arial"/>
            <w:i/>
            <w:color w:val="0077CC"/>
            <w:sz w:val="20"/>
            <w:u w:val="single"/>
            <w:shd w:val="clear" w:color="auto" w:fill="FFFFFF"/>
            <w:lang w:val="en-US" w:eastAsia="en-US" w:bidi="ar-SA"/>
          </w:rPr>
          <w:t>2017 BCSC 423</w:t>
        </w:r>
      </w:hyperlink>
      <w:r>
        <w:rPr>
          <w:rFonts w:ascii="arial" w:eastAsia="arial" w:hAnsi="arial" w:cs="arial"/>
          <w:color w:val="000000"/>
          <w:sz w:val="20"/>
          <w:lang w:val="en-US" w:eastAsia="en-US" w:bidi="ar-SA"/>
        </w:rPr>
        <w:t xml:space="preserve"> ($75,000); </w:t>
      </w:r>
      <w:r>
        <w:rPr>
          <w:rFonts w:ascii="arial" w:eastAsia="arial" w:hAnsi="arial" w:cs="arial"/>
          <w:i/>
          <w:color w:val="000000"/>
          <w:sz w:val="20"/>
          <w:lang w:val="en-US" w:eastAsia="en-US" w:bidi="ar-SA"/>
        </w:rPr>
        <w:t>Vershinin v. Hayward</w:t>
      </w:r>
      <w:r>
        <w:rPr>
          <w:rFonts w:ascii="arial" w:eastAsia="arial" w:hAnsi="arial" w:cs="arial"/>
          <w:color w:val="000000"/>
          <w:sz w:val="20"/>
          <w:lang w:val="en-US" w:eastAsia="en-US" w:bidi="ar-SA"/>
        </w:rPr>
        <w:t xml:space="preserve">, </w:t>
      </w:r>
      <w:hyperlink r:id="rId759" w:history="1">
        <w:r>
          <w:rPr>
            <w:rFonts w:ascii="arial" w:eastAsia="arial" w:hAnsi="arial" w:cs="arial"/>
            <w:i/>
            <w:color w:val="0077CC"/>
            <w:sz w:val="20"/>
            <w:u w:val="single"/>
            <w:shd w:val="clear" w:color="auto" w:fill="FFFFFF"/>
            <w:lang w:val="en-US" w:eastAsia="en-US" w:bidi="ar-SA"/>
          </w:rPr>
          <w:t>2010 BCSC 1315</w:t>
        </w:r>
      </w:hyperlink>
      <w:r>
        <w:rPr>
          <w:rFonts w:ascii="arial" w:eastAsia="arial" w:hAnsi="arial" w:cs="arial"/>
          <w:color w:val="000000"/>
          <w:sz w:val="20"/>
          <w:lang w:val="en-US" w:eastAsia="en-US" w:bidi="ar-SA"/>
        </w:rPr>
        <w:t xml:space="preserve"> ($70,000); </w:t>
      </w:r>
      <w:r>
        <w:rPr>
          <w:rFonts w:ascii="arial" w:eastAsia="arial" w:hAnsi="arial" w:cs="arial"/>
          <w:i/>
          <w:color w:val="000000"/>
          <w:sz w:val="20"/>
          <w:lang w:val="en-US" w:eastAsia="en-US" w:bidi="ar-SA"/>
        </w:rPr>
        <w:t>Khademolhosseini v. Ji</w:t>
      </w:r>
      <w:r>
        <w:rPr>
          <w:rFonts w:ascii="arial" w:eastAsia="arial" w:hAnsi="arial" w:cs="arial"/>
          <w:color w:val="000000"/>
          <w:sz w:val="20"/>
          <w:lang w:val="en-US" w:eastAsia="en-US" w:bidi="ar-SA"/>
        </w:rPr>
        <w:t xml:space="preserve">, </w:t>
      </w:r>
      <w:hyperlink r:id="rId760" w:history="1">
        <w:r>
          <w:rPr>
            <w:rFonts w:ascii="arial" w:eastAsia="arial" w:hAnsi="arial" w:cs="arial"/>
            <w:i/>
            <w:color w:val="0077CC"/>
            <w:sz w:val="20"/>
            <w:u w:val="single"/>
            <w:shd w:val="clear" w:color="auto" w:fill="FFFFFF"/>
            <w:lang w:val="en-US" w:eastAsia="en-US" w:bidi="ar-SA"/>
          </w:rPr>
          <w:t>2019 BCSC 854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Khademolhosseini</w:t>
      </w:r>
      <w:r>
        <w:rPr>
          <w:rFonts w:ascii="arial" w:eastAsia="arial" w:hAnsi="arial" w:cs="arial"/>
          <w:color w:val="000000"/>
          <w:sz w:val="20"/>
          <w:lang w:val="en-US" w:eastAsia="en-US" w:bidi="ar-SA"/>
        </w:rPr>
        <w:t xml:space="preserve">] ($85,000); and </w:t>
      </w:r>
      <w:r>
        <w:rPr>
          <w:rFonts w:ascii="arial" w:eastAsia="arial" w:hAnsi="arial" w:cs="arial"/>
          <w:i/>
          <w:color w:val="000000"/>
          <w:sz w:val="20"/>
          <w:lang w:val="en-US" w:eastAsia="en-US" w:bidi="ar-SA"/>
        </w:rPr>
        <w:t>Park v. Donnelly</w:t>
      </w:r>
      <w:r>
        <w:rPr>
          <w:rFonts w:ascii="arial" w:eastAsia="arial" w:hAnsi="arial" w:cs="arial"/>
          <w:color w:val="000000"/>
          <w:sz w:val="20"/>
          <w:lang w:val="en-US" w:eastAsia="en-US" w:bidi="ar-SA"/>
        </w:rPr>
        <w:t xml:space="preserve">, </w:t>
      </w:r>
      <w:hyperlink r:id="rId761" w:history="1">
        <w:r>
          <w:rPr>
            <w:rFonts w:ascii="arial" w:eastAsia="arial" w:hAnsi="arial" w:cs="arial"/>
            <w:i/>
            <w:color w:val="0077CC"/>
            <w:sz w:val="20"/>
            <w:u w:val="single"/>
            <w:shd w:val="clear" w:color="auto" w:fill="FFFFFF"/>
            <w:lang w:val="en-US" w:eastAsia="en-US" w:bidi="ar-SA"/>
          </w:rPr>
          <w:t>2017 BCSC 778</w:t>
        </w:r>
      </w:hyperlink>
      <w:r>
        <w:rPr>
          <w:rFonts w:ascii="arial" w:eastAsia="arial" w:hAnsi="arial" w:cs="arial"/>
          <w:color w:val="000000"/>
          <w:sz w:val="20"/>
          <w:lang w:val="en-US" w:eastAsia="en-US" w:bidi="ar-SA"/>
        </w:rPr>
        <w:t xml:space="preserve"> ($85,000).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The defendant argues that $50,000-$65,000 is an appropriate range, citing </w:t>
      </w:r>
      <w:r>
        <w:rPr>
          <w:rFonts w:ascii="arial" w:eastAsia="arial" w:hAnsi="arial" w:cs="arial"/>
          <w:i/>
          <w:color w:val="000000"/>
          <w:sz w:val="20"/>
          <w:lang w:val="en-US" w:eastAsia="en-US" w:bidi="ar-SA"/>
        </w:rPr>
        <w:t>Thorson v. Vandop</w:t>
      </w:r>
      <w:r>
        <w:rPr>
          <w:rFonts w:ascii="arial" w:eastAsia="arial" w:hAnsi="arial" w:cs="arial"/>
          <w:color w:val="000000"/>
          <w:sz w:val="20"/>
          <w:lang w:val="en-US" w:eastAsia="en-US" w:bidi="ar-SA"/>
        </w:rPr>
        <w:t xml:space="preserve">, </w:t>
      </w:r>
      <w:hyperlink r:id="rId762" w:history="1">
        <w:r>
          <w:rPr>
            <w:rFonts w:ascii="arial" w:eastAsia="arial" w:hAnsi="arial" w:cs="arial"/>
            <w:i/>
            <w:color w:val="0077CC"/>
            <w:sz w:val="20"/>
            <w:u w:val="single"/>
            <w:shd w:val="clear" w:color="auto" w:fill="FFFFFF"/>
            <w:lang w:val="en-US" w:eastAsia="en-US" w:bidi="ar-SA"/>
          </w:rPr>
          <w:t>2016 BCSC 221</w:t>
        </w:r>
      </w:hyperlink>
      <w:r>
        <w:rPr>
          <w:rFonts w:ascii="arial" w:eastAsia="arial" w:hAnsi="arial" w:cs="arial"/>
          <w:color w:val="000000"/>
          <w:sz w:val="20"/>
          <w:lang w:val="en-US" w:eastAsia="en-US" w:bidi="ar-SA"/>
        </w:rPr>
        <w:t xml:space="preserve"> ($50,000), and </w:t>
      </w:r>
      <w:r>
        <w:rPr>
          <w:rFonts w:ascii="arial" w:eastAsia="arial" w:hAnsi="arial" w:cs="arial"/>
          <w:i/>
          <w:color w:val="000000"/>
          <w:sz w:val="20"/>
          <w:lang w:val="en-US" w:eastAsia="en-US" w:bidi="ar-SA"/>
        </w:rPr>
        <w:t>Williamson v. Rutter</w:t>
      </w:r>
      <w:r>
        <w:rPr>
          <w:rFonts w:ascii="arial" w:eastAsia="arial" w:hAnsi="arial" w:cs="arial"/>
          <w:color w:val="000000"/>
          <w:sz w:val="20"/>
          <w:lang w:val="en-US" w:eastAsia="en-US" w:bidi="ar-SA"/>
        </w:rPr>
        <w:t xml:space="preserve">, </w:t>
      </w:r>
      <w:hyperlink r:id="rId763" w:history="1">
        <w:r>
          <w:rPr>
            <w:rFonts w:ascii="arial" w:eastAsia="arial" w:hAnsi="arial" w:cs="arial"/>
            <w:i/>
            <w:color w:val="0077CC"/>
            <w:sz w:val="20"/>
            <w:u w:val="single"/>
            <w:shd w:val="clear" w:color="auto" w:fill="FFFFFF"/>
            <w:lang w:val="en-US" w:eastAsia="en-US" w:bidi="ar-SA"/>
          </w:rPr>
          <w:t>2016 BCSC 381</w:t>
        </w:r>
      </w:hyperlink>
      <w:r>
        <w:rPr>
          <w:rFonts w:ascii="arial" w:eastAsia="arial" w:hAnsi="arial" w:cs="arial"/>
          <w:color w:val="000000"/>
          <w:sz w:val="20"/>
          <w:lang w:val="en-US" w:eastAsia="en-US" w:bidi="ar-SA"/>
        </w:rPr>
        <w:t xml:space="preserve"> ($65,000).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xml:space="preserve">  Bearing in mind that the assessment of non-pecuniary damages must be driven by the facts specific to each case, I find the cases relied on by the plaintiff to be of greater assistance in assessing an appropriate award for non-pecuniary damages in the present case. The decision of Madam Justice Baker in </w:t>
      </w:r>
      <w:r>
        <w:rPr>
          <w:rFonts w:ascii="arial" w:eastAsia="arial" w:hAnsi="arial" w:cs="arial"/>
          <w:i/>
          <w:color w:val="000000"/>
          <w:sz w:val="20"/>
          <w:lang w:val="en-US" w:eastAsia="en-US" w:bidi="ar-SA"/>
        </w:rPr>
        <w:t>Khademolhosseini</w:t>
      </w:r>
      <w:r>
        <w:rPr>
          <w:rFonts w:ascii="arial" w:eastAsia="arial" w:hAnsi="arial" w:cs="arial"/>
          <w:color w:val="000000"/>
          <w:sz w:val="20"/>
          <w:lang w:val="en-US" w:eastAsia="en-US" w:bidi="ar-SA"/>
        </w:rPr>
        <w:t xml:space="preserve"> is of particular help in establishing an appropriate range given the similarities in the age of the plaintiff, and the severity of injuries and functional impacts. Also of assistance by analogy are the cases of </w:t>
      </w:r>
      <w:r>
        <w:rPr>
          <w:rFonts w:ascii="arial" w:eastAsia="arial" w:hAnsi="arial" w:cs="arial"/>
          <w:i/>
          <w:color w:val="000000"/>
          <w:sz w:val="20"/>
          <w:lang w:val="en-US" w:eastAsia="en-US" w:bidi="ar-SA"/>
        </w:rPr>
        <w:t>Stocking-Pearson v. Vinette</w:t>
      </w:r>
      <w:r>
        <w:rPr>
          <w:rFonts w:ascii="arial" w:eastAsia="arial" w:hAnsi="arial" w:cs="arial"/>
          <w:color w:val="000000"/>
          <w:sz w:val="20"/>
          <w:lang w:val="en-US" w:eastAsia="en-US" w:bidi="ar-SA"/>
        </w:rPr>
        <w:t xml:space="preserve">, </w:t>
      </w:r>
      <w:hyperlink r:id="rId764" w:history="1">
        <w:r>
          <w:rPr>
            <w:rFonts w:ascii="arial" w:eastAsia="arial" w:hAnsi="arial" w:cs="arial"/>
            <w:i/>
            <w:color w:val="0077CC"/>
            <w:sz w:val="20"/>
            <w:u w:val="single"/>
            <w:shd w:val="clear" w:color="auto" w:fill="FFFFFF"/>
            <w:lang w:val="en-US" w:eastAsia="en-US" w:bidi="ar-SA"/>
          </w:rPr>
          <w:t>2019 BCSC 2182</w:t>
        </w:r>
      </w:hyperlink>
      <w:r>
        <w:rPr>
          <w:rFonts w:ascii="arial" w:eastAsia="arial" w:hAnsi="arial" w:cs="arial"/>
          <w:color w:val="000000"/>
          <w:sz w:val="20"/>
          <w:lang w:val="en-US" w:eastAsia="en-US" w:bidi="ar-SA"/>
        </w:rPr>
        <w:t xml:space="preserve"> ($80,000), </w:t>
      </w:r>
      <w:r>
        <w:rPr>
          <w:rFonts w:ascii="arial" w:eastAsia="arial" w:hAnsi="arial" w:cs="arial"/>
          <w:i/>
          <w:color w:val="000000"/>
          <w:sz w:val="20"/>
          <w:lang w:val="en-US" w:eastAsia="en-US" w:bidi="ar-SA"/>
        </w:rPr>
        <w:t>Jellis v. Lukinuk</w:t>
      </w:r>
      <w:r>
        <w:rPr>
          <w:rFonts w:ascii="arial" w:eastAsia="arial" w:hAnsi="arial" w:cs="arial"/>
          <w:color w:val="000000"/>
          <w:sz w:val="20"/>
          <w:lang w:val="en-US" w:eastAsia="en-US" w:bidi="ar-SA"/>
        </w:rPr>
        <w:t xml:space="preserve">, </w:t>
      </w:r>
      <w:hyperlink r:id="rId765" w:history="1">
        <w:r>
          <w:rPr>
            <w:rFonts w:ascii="arial" w:eastAsia="arial" w:hAnsi="arial" w:cs="arial"/>
            <w:i/>
            <w:color w:val="0077CC"/>
            <w:sz w:val="20"/>
            <w:u w:val="single"/>
            <w:shd w:val="clear" w:color="auto" w:fill="FFFFFF"/>
            <w:lang w:val="en-US" w:eastAsia="en-US" w:bidi="ar-SA"/>
          </w:rPr>
          <w:t>2019 BCSC 1577</w:t>
        </w:r>
      </w:hyperlink>
      <w:r>
        <w:rPr>
          <w:rFonts w:ascii="arial" w:eastAsia="arial" w:hAnsi="arial" w:cs="arial"/>
          <w:color w:val="000000"/>
          <w:sz w:val="20"/>
          <w:lang w:val="en-US" w:eastAsia="en-US" w:bidi="ar-SA"/>
        </w:rPr>
        <w:t xml:space="preserve"> ($85,000), and </w:t>
      </w:r>
      <w:r>
        <w:rPr>
          <w:rFonts w:ascii="arial" w:eastAsia="arial" w:hAnsi="arial" w:cs="arial"/>
          <w:i/>
          <w:color w:val="000000"/>
          <w:sz w:val="20"/>
          <w:lang w:val="en-US" w:eastAsia="en-US" w:bidi="ar-SA"/>
        </w:rPr>
        <w:t>Gunson v. Sekhon</w:t>
      </w:r>
      <w:r>
        <w:rPr>
          <w:rFonts w:ascii="arial" w:eastAsia="arial" w:hAnsi="arial" w:cs="arial"/>
          <w:color w:val="000000"/>
          <w:sz w:val="20"/>
          <w:lang w:val="en-US" w:eastAsia="en-US" w:bidi="ar-SA"/>
        </w:rPr>
        <w:t xml:space="preserve">, </w:t>
      </w:r>
      <w:hyperlink r:id="rId766" w:history="1">
        <w:r>
          <w:rPr>
            <w:rFonts w:ascii="arial" w:eastAsia="arial" w:hAnsi="arial" w:cs="arial"/>
            <w:i/>
            <w:color w:val="0077CC"/>
            <w:sz w:val="20"/>
            <w:u w:val="single"/>
            <w:shd w:val="clear" w:color="auto" w:fill="FFFFFF"/>
            <w:lang w:val="en-US" w:eastAsia="en-US" w:bidi="ar-SA"/>
          </w:rPr>
          <w:t>2015 BCSC 2491</w:t>
        </w:r>
      </w:hyperlink>
      <w:r>
        <w:rPr>
          <w:rFonts w:ascii="arial" w:eastAsia="arial" w:hAnsi="arial" w:cs="arial"/>
          <w:color w:val="000000"/>
          <w:sz w:val="20"/>
          <w:lang w:val="en-US" w:eastAsia="en-US" w:bidi="ar-SA"/>
        </w:rPr>
        <w:t xml:space="preserve"> ($80,000).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In the present case, I consider that an award of $80,000 for non-pecuniary damages is appropriate and fair in the circumstances.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Issue IV: Loss of future earning capacity</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Legal framework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xml:space="preserve">  A claim for loss of future earning capacity requires the court to compare the likely future of the plaintiff's working life if the accident had not happened with the plaintiff's likely future working life after its occurrence, accounting for negative and positive contingencies: </w:t>
      </w:r>
      <w:r>
        <w:rPr>
          <w:rFonts w:ascii="arial" w:eastAsia="arial" w:hAnsi="arial" w:cs="arial"/>
          <w:i/>
          <w:color w:val="000000"/>
          <w:sz w:val="20"/>
          <w:lang w:val="en-US" w:eastAsia="en-US" w:bidi="ar-SA"/>
        </w:rPr>
        <w:t>Gregory v. Insurance Corp. of British Columbia</w:t>
      </w:r>
      <w:r>
        <w:rPr>
          <w:rFonts w:ascii="arial" w:eastAsia="arial" w:hAnsi="arial" w:cs="arial"/>
          <w:color w:val="000000"/>
          <w:sz w:val="20"/>
          <w:lang w:val="en-US" w:eastAsia="en-US" w:bidi="ar-SA"/>
        </w:rPr>
        <w:t xml:space="preserve">, </w:t>
      </w:r>
      <w:hyperlink r:id="rId648" w:history="1">
        <w:r>
          <w:rPr>
            <w:rFonts w:ascii="arial" w:eastAsia="arial" w:hAnsi="arial" w:cs="arial"/>
            <w:i/>
            <w:color w:val="0077CC"/>
            <w:sz w:val="20"/>
            <w:u w:val="single"/>
            <w:shd w:val="clear" w:color="auto" w:fill="FFFFFF"/>
            <w:lang w:val="en-US" w:eastAsia="en-US" w:bidi="ar-SA"/>
          </w:rPr>
          <w:t>2011 BCCA 144</w:t>
        </w:r>
      </w:hyperlink>
      <w:r>
        <w:rPr>
          <w:rFonts w:ascii="arial" w:eastAsia="arial" w:hAnsi="arial" w:cs="arial"/>
          <w:color w:val="000000"/>
          <w:sz w:val="20"/>
          <w:lang w:val="en-US" w:eastAsia="en-US" w:bidi="ar-SA"/>
        </w:rPr>
        <w:t xml:space="preserve"> at para. 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xml:space="preserve">  The principles governing the assessment of damages under this head of loss were summarized by Low J.A. in </w:t>
      </w:r>
      <w:r>
        <w:rPr>
          <w:rFonts w:ascii="arial" w:eastAsia="arial" w:hAnsi="arial" w:cs="arial"/>
          <w:i/>
          <w:color w:val="000000"/>
          <w:sz w:val="20"/>
          <w:lang w:val="en-US" w:eastAsia="en-US" w:bidi="ar-SA"/>
        </w:rPr>
        <w:t>Reilly v. Lynn</w:t>
      </w:r>
      <w:r>
        <w:rPr>
          <w:rFonts w:ascii="arial" w:eastAsia="arial" w:hAnsi="arial" w:cs="arial"/>
          <w:color w:val="000000"/>
          <w:sz w:val="20"/>
          <w:lang w:val="en-US" w:eastAsia="en-US" w:bidi="ar-SA"/>
        </w:rPr>
        <w:t xml:space="preserve">, </w:t>
      </w:r>
      <w:hyperlink r:id="rId710" w:history="1">
        <w:r>
          <w:rPr>
            <w:rFonts w:ascii="arial" w:eastAsia="arial" w:hAnsi="arial" w:cs="arial"/>
            <w:i/>
            <w:color w:val="0077CC"/>
            <w:sz w:val="20"/>
            <w:u w:val="single"/>
            <w:shd w:val="clear" w:color="auto" w:fill="FFFFFF"/>
            <w:lang w:val="en-US" w:eastAsia="en-US" w:bidi="ar-SA"/>
          </w:rPr>
          <w:t>2003 BCCA 49</w:t>
        </w:r>
      </w:hyperlink>
      <w:r>
        <w:rPr>
          <w:rFonts w:ascii="arial" w:eastAsia="arial" w:hAnsi="arial" w:cs="arial"/>
          <w:color w:val="000000"/>
          <w:sz w:val="20"/>
          <w:lang w:val="en-US" w:eastAsia="en-US" w:bidi="ar-SA"/>
        </w:rPr>
        <w:t xml:space="preserve"> at para. 101: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standard of proof in relation to future events is simple probability, not the balance of probabilities, and hypothetical events are to be given weight according to their relative likelihood: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505"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 27. A plaintiff is entitled to compensation for real and substantial possibilities of loss, which are to be quantified by estimating the chance of the loss occurring: </w:t>
      </w:r>
      <w:r>
        <w:rPr>
          <w:rFonts w:ascii="arial" w:eastAsia="arial" w:hAnsi="arial" w:cs="arial"/>
          <w:i/>
          <w:color w:val="000000"/>
          <w:sz w:val="20"/>
          <w:lang w:val="en-US" w:eastAsia="en-US" w:bidi="ar-SA"/>
        </w:rPr>
        <w:t>Athey v. Leonati, supra</w:t>
      </w:r>
      <w:r>
        <w:rPr>
          <w:rFonts w:ascii="arial" w:eastAsia="arial" w:hAnsi="arial" w:cs="arial"/>
          <w:color w:val="000000"/>
          <w:sz w:val="20"/>
          <w:lang w:val="en-US" w:eastAsia="en-US" w:bidi="ar-SA"/>
        </w:rPr>
        <w:t xml:space="preserve">, at para. 27, </w:t>
      </w:r>
      <w:r>
        <w:rPr>
          <w:rFonts w:ascii="arial" w:eastAsia="arial" w:hAnsi="arial" w:cs="arial"/>
          <w:i/>
          <w:color w:val="000000"/>
          <w:sz w:val="20"/>
          <w:lang w:val="en-US" w:eastAsia="en-US" w:bidi="ar-SA"/>
        </w:rPr>
        <w:t>Steenblok v. Funk</w:t>
      </w:r>
      <w:r>
        <w:rPr>
          <w:rFonts w:ascii="arial" w:eastAsia="arial" w:hAnsi="arial" w:cs="arial"/>
          <w:color w:val="000000"/>
          <w:sz w:val="20"/>
          <w:lang w:val="en-US" w:eastAsia="en-US" w:bidi="ar-SA"/>
        </w:rPr>
        <w:t xml:space="preserve"> </w:t>
      </w:r>
      <w:hyperlink r:id="rId711" w:history="1">
        <w:r>
          <w:rPr>
            <w:rFonts w:ascii="arial" w:eastAsia="arial" w:hAnsi="arial" w:cs="arial"/>
            <w:i/>
            <w:color w:val="0077CC"/>
            <w:sz w:val="20"/>
            <w:u w:val="single"/>
            <w:shd w:val="clear" w:color="auto" w:fill="FFFFFF"/>
            <w:lang w:val="en-US" w:eastAsia="en-US" w:bidi="ar-SA"/>
          </w:rPr>
          <w:t>(1990), 46 B.C.L.R. (2d) 133</w:t>
        </w:r>
      </w:hyperlink>
      <w:r>
        <w:rPr>
          <w:rFonts w:ascii="arial" w:eastAsia="arial" w:hAnsi="arial" w:cs="arial"/>
          <w:color w:val="000000"/>
          <w:sz w:val="20"/>
          <w:lang w:val="en-US" w:eastAsia="en-US" w:bidi="ar-SA"/>
        </w:rPr>
        <w:t xml:space="preserve"> at 135 (C.A.). The valuation of the loss of earning capacity may involve a comparison of what the plaintiff would probably have earned but for the accident with what he will probably earn in his injured condition: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539"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at 93 (S.C.). However, that is not the end of the inquiry; the overall fairness and reasonableness of the award must be considered: </w:t>
      </w: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529"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at para. 11; </w:t>
      </w:r>
      <w:r>
        <w:rPr>
          <w:rFonts w:ascii="arial" w:eastAsia="arial" w:hAnsi="arial" w:cs="arial"/>
          <w:i/>
          <w:color w:val="000000"/>
          <w:sz w:val="20"/>
          <w:lang w:val="en-US" w:eastAsia="en-US" w:bidi="ar-SA"/>
        </w:rPr>
        <w:t>Ryder v. Paquette</w:t>
      </w:r>
      <w:r>
        <w:rPr>
          <w:rFonts w:ascii="arial" w:eastAsia="arial" w:hAnsi="arial" w:cs="arial"/>
          <w:color w:val="000000"/>
          <w:sz w:val="20"/>
          <w:lang w:val="en-US" w:eastAsia="en-US" w:bidi="ar-SA"/>
        </w:rPr>
        <w:t xml:space="preserve">, </w:t>
      </w:r>
      <w:hyperlink r:id="rId535" w:history="1">
        <w:r>
          <w:rPr>
            <w:rFonts w:ascii="arial" w:eastAsia="arial" w:hAnsi="arial" w:cs="arial"/>
            <w:i/>
            <w:color w:val="0077CC"/>
            <w:sz w:val="20"/>
            <w:u w:val="single"/>
            <w:shd w:val="clear" w:color="auto" w:fill="FFFFFF"/>
            <w:lang w:val="en-US" w:eastAsia="en-US" w:bidi="ar-SA"/>
          </w:rPr>
          <w:t>[1995] B.C.J. No. 644</w:t>
        </w:r>
      </w:hyperlink>
      <w:r>
        <w:rPr>
          <w:rFonts w:ascii="arial" w:eastAsia="arial" w:hAnsi="arial" w:cs="arial"/>
          <w:color w:val="000000"/>
          <w:sz w:val="20"/>
          <w:lang w:val="en-US" w:eastAsia="en-US" w:bidi="ar-SA"/>
        </w:rPr>
        <w:t xml:space="preserve"> (C.A.) (Q.L.). Moreover, the task of the Court is to assess the losses, not to calculate them mathematically: </w:t>
      </w:r>
      <w:r>
        <w:rPr>
          <w:rFonts w:ascii="arial" w:eastAsia="arial" w:hAnsi="arial" w:cs="arial"/>
          <w:i/>
          <w:color w:val="000000"/>
          <w:sz w:val="20"/>
          <w:lang w:val="en-US" w:eastAsia="en-US" w:bidi="ar-SA"/>
        </w:rPr>
        <w:t>Mulholland (Guardian ad litem of) v. Riley Estate</w:t>
      </w:r>
      <w:r>
        <w:rPr>
          <w:rFonts w:ascii="arial" w:eastAsia="arial" w:hAnsi="arial" w:cs="arial"/>
          <w:color w:val="000000"/>
          <w:sz w:val="20"/>
          <w:lang w:val="en-US" w:eastAsia="en-US" w:bidi="ar-SA"/>
        </w:rPr>
        <w:t xml:space="preserve"> </w:t>
      </w:r>
      <w:hyperlink r:id="rId534" w:history="1">
        <w:r>
          <w:rPr>
            <w:rFonts w:ascii="arial" w:eastAsia="arial" w:hAnsi="arial" w:cs="arial"/>
            <w:i/>
            <w:color w:val="0077CC"/>
            <w:sz w:val="20"/>
            <w:u w:val="single"/>
            <w:shd w:val="clear" w:color="auto" w:fill="FFFFFF"/>
            <w:lang w:val="en-US" w:eastAsia="en-US" w:bidi="ar-SA"/>
          </w:rPr>
          <w:t>(1995), 12 B.C.L.R. (3d) 248</w:t>
        </w:r>
      </w:hyperlink>
      <w:r>
        <w:rPr>
          <w:rFonts w:ascii="arial" w:eastAsia="arial" w:hAnsi="arial" w:cs="arial"/>
          <w:color w:val="000000"/>
          <w:sz w:val="20"/>
          <w:lang w:val="en-US" w:eastAsia="en-US" w:bidi="ar-SA"/>
        </w:rPr>
        <w:t xml:space="preserve"> (C.A.). Finally, since the course of future events is unknown, allowance must be made for the contingency that the assumptions upon which the award is based may prove to be wrong: </w:t>
      </w:r>
      <w:r>
        <w:rPr>
          <w:rFonts w:ascii="arial" w:eastAsia="arial" w:hAnsi="arial" w:cs="arial"/>
          <w:i/>
          <w:color w:val="000000"/>
          <w:sz w:val="20"/>
          <w:lang w:val="en-US" w:eastAsia="en-US" w:bidi="ar-SA"/>
        </w:rPr>
        <w:t>Milina v. Bartsch, supra</w:t>
      </w:r>
      <w:r>
        <w:rPr>
          <w:rFonts w:ascii="arial" w:eastAsia="arial" w:hAnsi="arial" w:cs="arial"/>
          <w:color w:val="000000"/>
          <w:sz w:val="20"/>
          <w:lang w:val="en-US" w:eastAsia="en-US" w:bidi="ar-SA"/>
        </w:rPr>
        <w:t>, at 79.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xml:space="preserve">  There are two possible approaches to loss of future earning capacity: the "earnings approach" and the "capital asset approach". Both approaches are correct and will be more or less appropriate depending on whether the loss in question can be quantified in a measurable way: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536"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 at para. 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xml:space="preserve">  In light of the arguments advanced by the defendant in this case, it should be emphasized that an award under this heading compensates for loss of earning capacity - a capital asset - rather than loss of earnings. Even a plaintiff who has been able to return to his or her usual employment, at the same salary, will be entitled to compensation where the evidences establishes a substantial possibility that the plaintiff's income earning capacity may be impaired in the future: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 xml:space="preserve"> at paras. 30-32.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xml:space="preserve">  In the present case, the plaintiff says his loss should be valued using the capital asset approach. This approach involves considering factors such as i) whether the plaintiff has been rendered less capable overall of earning income from all types of employment; ii) whether the plaintiff is less marketable or attractive as a potential employee; iii) whether the plaintiff has lost the ability to take advantage of all job opportunities that might otherwise have been open; and iv) whether the plaintiff is less valuable to herself as a person capable of earning income in a competitive labour market: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533"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(S.C.) at 356; </w:t>
      </w: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529"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at para. 10.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Assessment of the plaintiff's damages for 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I find that the evidence in this case establishes that there is a substantial possibility that the plaintiff's ability to earn an income in the future will be impaired by injuries he suffered in the Accident. As a result of the injuries to his shoulders, the plaintiff is unable to perform frequent or heavy physical labour that requires him, on a sustained basis, to lift his arms away from his body and over his shoulders.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The defendant stresses that the plaintiff has continued to perform full-time work as a care aide. This is true, but it is also true that the plaintiff has relied on the assistance of his co-workers to carry out work tasks that would require him to use his arms in a manner that provokes his shoulder pain. It is also true that the plaintiff is young and physically fit. The plaintiff's ability to work through his pain can reasonably be expected to diminish with age. There is a substantial possibility in the future that the plaintiff will have to work fewer hours, work more sick days, or even change careers if the physical demands of the job of care aide become too much.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The plaintiff's loss of future earning capacity is also supported by the expert evidence. Dr. Finlayson believes it is more likely than not that the plaintiff will have intermittent flares of pain in the foreseeable future and that it is unlikely that the plaintiff's pain symptoms will resolve simply with the passage of time. Dr. Pike describes the plaintiff as having achieved "maximum medical recovery". Dr. Finlayson opines that the plaintiff will require likely require accommodation from his employer during period of pain flare-ups, and that he will be unable to perform a different job that requires heavier or more frequent physical labour.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I acknowledge that Dr. Yu states that the plaintiff's Accident-related injuries have not resulted in functional impairments for him. However, in my view Dr. Yu's conclusion is not based on the type of nuanced analysis required to assess a claim for loss of future earning capacity. The question is not, as Dr. Yu seemed to assume, simply whether the plaintiff has been able to continue with full-time employment after the Accident. The question is what future impacts, if any, the plaintiff's Accident-related injuries might reasonably be expected to have on his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I conclude that the plaintiff's injuries to his right and left shoulder have rendered him less capable overall of earning income from all types of employment and less capable to taking advantage of all job opportunities that might otherwise be available. As a result of his physical limitations, the plaintiff will be less marketable or attractive as an employee in a competitive labour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It is not possible to measure the plaintiff's loss in precise monetary terms. Relying on the capital asset approach to assessing damages for loss of future earning capacity, the plaintiff seeks an award in the amount of $75,000. The plaintiff says this represents about 5% of the plaintiff's projected future earnings stream, based on an annual salary of $54,000. The plaintiff says that such an award properly reflects the real risk of a future loss, bearing in mind that the plaintiff has thus far shown a good work ethic and ability to function in his post-Accident jobs.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The defendant's primary argument is that the plaintiff should not be awarded any compensation at all for loss of future earning capacity because he has not shown any loss of income. I have already stated my reasons for rejecting this argument. In the alternative, the defendant argues that $75,000 is too high an award, although the defendant declined to state what he considered to be an appropriate amount to compensate the plaintiff for his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Having considered the evidence and the principles applicable to the capital asset approach to assessing future loss of earning capacity, I conclude that the plaintiff's proposed award is a fair and reasonable one in the circumstances of this case. Accordingly, I award the plaintiff $75,000 in damages for loss of future earning capacity.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Issue V: Future care costs</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Legal framework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xml:space="preserve">  The purpose of an award for future care costs is to restore the plaintiff to his pre-Accident condition, to the extent that is possible with a monetary award: </w:t>
      </w:r>
      <w:r>
        <w:rPr>
          <w:rFonts w:ascii="arial" w:eastAsia="arial" w:hAnsi="arial" w:cs="arial"/>
          <w:i/>
          <w:color w:val="000000"/>
          <w:sz w:val="20"/>
          <w:lang w:val="en-US" w:eastAsia="en-US" w:bidi="ar-SA"/>
        </w:rPr>
        <w:t>Gignac v. Insurance Corporation of British Columbia</w:t>
      </w:r>
      <w:r>
        <w:rPr>
          <w:rFonts w:ascii="arial" w:eastAsia="arial" w:hAnsi="arial" w:cs="arial"/>
          <w:color w:val="000000"/>
          <w:sz w:val="20"/>
          <w:lang w:val="en-US" w:eastAsia="en-US" w:bidi="ar-SA"/>
        </w:rPr>
        <w:t xml:space="preserve">, </w:t>
      </w:r>
      <w:hyperlink r:id="rId639" w:history="1">
        <w:r>
          <w:rPr>
            <w:rFonts w:ascii="arial" w:eastAsia="arial" w:hAnsi="arial" w:cs="arial"/>
            <w:i/>
            <w:color w:val="0077CC"/>
            <w:sz w:val="20"/>
            <w:u w:val="single"/>
            <w:shd w:val="clear" w:color="auto" w:fill="FFFFFF"/>
            <w:lang w:val="en-US" w:eastAsia="en-US" w:bidi="ar-SA"/>
          </w:rPr>
          <w:t>2012 BCCA 351</w:t>
        </w:r>
      </w:hyperlink>
      <w:r>
        <w:rPr>
          <w:rFonts w:ascii="arial" w:eastAsia="arial" w:hAnsi="arial" w:cs="arial"/>
          <w:color w:val="000000"/>
          <w:sz w:val="20"/>
          <w:lang w:val="en-US" w:eastAsia="en-US" w:bidi="ar-SA"/>
        </w:rPr>
        <w:t xml:space="preserve"> at para. 29. The award is based on what is reasonably necessary on the medical evidence to preserve and promote the plaintiff's mental and physical health. Claims must be reasonable and medically justified: </w:t>
      </w:r>
      <w:r>
        <w:rPr>
          <w:rFonts w:ascii="arial" w:eastAsia="arial" w:hAnsi="arial" w:cs="arial"/>
          <w:i/>
          <w:color w:val="000000"/>
          <w:sz w:val="20"/>
          <w:lang w:val="en-US" w:eastAsia="en-US" w:bidi="ar-SA"/>
        </w:rPr>
        <w:t>Hardychuk v. Johnstone</w:t>
      </w:r>
      <w:r>
        <w:rPr>
          <w:rFonts w:ascii="arial" w:eastAsia="arial" w:hAnsi="arial" w:cs="arial"/>
          <w:color w:val="000000"/>
          <w:sz w:val="20"/>
          <w:lang w:val="en-US" w:eastAsia="en-US" w:bidi="ar-SA"/>
        </w:rPr>
        <w:t xml:space="preserve">, </w:t>
      </w:r>
      <w:hyperlink r:id="rId767" w:history="1">
        <w:r>
          <w:rPr>
            <w:rFonts w:ascii="arial" w:eastAsia="arial" w:hAnsi="arial" w:cs="arial"/>
            <w:i/>
            <w:color w:val="0077CC"/>
            <w:sz w:val="20"/>
            <w:u w:val="single"/>
            <w:shd w:val="clear" w:color="auto" w:fill="FFFFFF"/>
            <w:lang w:val="en-US" w:eastAsia="en-US" w:bidi="ar-SA"/>
          </w:rPr>
          <w:t>2012 BCSC 1359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Hardychuk</w:t>
      </w:r>
      <w:r>
        <w:rPr>
          <w:rFonts w:ascii="arial" w:eastAsia="arial" w:hAnsi="arial" w:cs="arial"/>
          <w:color w:val="000000"/>
          <w:sz w:val="20"/>
          <w:lang w:val="en-US" w:eastAsia="en-US" w:bidi="ar-SA"/>
        </w:rPr>
        <w:t>] at paras. 210-211.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xml:space="preserve">  The test for determining the appropriate award under the cost of future care heading is objective and based on medical evidence. An award of future care costs requires: (1) a medical justification for claims for cost of future care, and (2) that the claims are reasonable: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539"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(S.C.) at 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xml:space="preserve">  Future care costs must be justified both because they are medically justified and also that they are likely to be incurred by the plaintiff. The award of damages for cost of future care predicts what will happen in the future, and thus is not a precise accounting exercise: </w:t>
      </w:r>
      <w:r>
        <w:rPr>
          <w:rFonts w:ascii="arial" w:eastAsia="arial" w:hAnsi="arial" w:cs="arial"/>
          <w:i/>
          <w:color w:val="000000"/>
          <w:sz w:val="20"/>
          <w:lang w:val="en-US" w:eastAsia="en-US" w:bidi="ar-SA"/>
        </w:rPr>
        <w:t>Hardychuk</w:t>
      </w:r>
      <w:r>
        <w:rPr>
          <w:rFonts w:ascii="arial" w:eastAsia="arial" w:hAnsi="arial" w:cs="arial"/>
          <w:color w:val="000000"/>
          <w:sz w:val="20"/>
          <w:lang w:val="en-US" w:eastAsia="en-US" w:bidi="ar-SA"/>
        </w:rPr>
        <w:t xml:space="preserve"> at paras. 212-214.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Assessment of the plaintiff's future care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The plaintiff seeks an award of damages to cover the 15-18 kinesiology sessions recommended by Dr. Finlayson ($1,200), and also the present value of the annual cost of 8-10 physiotherapy sessions until the plaintiff reaches the age of 80 (approximately $20,000).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All of the expert witnesses agreed, and the defendant does not dispute, that a structured exercise program for the plaintiff is medically justified and reasonable. However, the defendant objects to an award to cover physiotherapy sessions for the plaintiff over a period of 45 years. The defendant argues that an award to cover five years of physiotherapy is more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I agree with the defendant that the physiotherapy costs sought by the plaintiff are not reasonable and are unlikely to be incurred by the plaintiff. In my view, it is unrealistic to presume that the plaintiff will attend monthly physiotherapy sessions until he is 80 years old. I note that in the pre-trial period, the plaintiff attended physiotherapy for a period of eight months before deciding that physiotherapy provided no additional benefit beyond what the plaintiff could achieve through a self-directed exercise program at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In my view, a fair and reasonable award for future care costs should compensate the plaintiff for the cost of the kinesiology sessions recommended by Dr. Finlayson ($1,200), plus the cost of 8-10 physiotherapy sessions per year at a rate of $75 per session for a period of five years (present value: $2,828-$3,535). I therefore conclude that $4,500 is an appropriate award for future care costs.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Issue VI: Duty to mitigate</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Legal framework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xml:space="preserve">  A plaintiff in a personal injury action has a duty to take reasonable steps to limit their loss. The defence has the burden of proof on the issue of mitigation. This involves proving two elements: first that the plaintiff acted unreasonably in not taking the steps that the defendants say ought to have been taken, and second that the plaintiff's loss would in fact have been eliminated or reduced had the step been taken: </w:t>
      </w:r>
      <w:r>
        <w:rPr>
          <w:rFonts w:ascii="arial" w:eastAsia="arial" w:hAnsi="arial" w:cs="arial"/>
          <w:i/>
          <w:color w:val="000000"/>
          <w:sz w:val="20"/>
          <w:lang w:val="en-US" w:eastAsia="en-US" w:bidi="ar-SA"/>
        </w:rPr>
        <w:t>Chiu (Guardian ad litem of) v. Chiu</w:t>
      </w:r>
      <w:r>
        <w:rPr>
          <w:rFonts w:ascii="arial" w:eastAsia="arial" w:hAnsi="arial" w:cs="arial"/>
          <w:color w:val="000000"/>
          <w:sz w:val="20"/>
          <w:lang w:val="en-US" w:eastAsia="en-US" w:bidi="ar-SA"/>
        </w:rPr>
        <w:t xml:space="preserve">, </w:t>
      </w:r>
      <w:hyperlink r:id="rId509" w:history="1">
        <w:r>
          <w:rPr>
            <w:rFonts w:ascii="arial" w:eastAsia="arial" w:hAnsi="arial" w:cs="arial"/>
            <w:i/>
            <w:color w:val="0077CC"/>
            <w:sz w:val="20"/>
            <w:u w:val="single"/>
            <w:shd w:val="clear" w:color="auto" w:fill="FFFFFF"/>
            <w:lang w:val="en-US" w:eastAsia="en-US" w:bidi="ar-SA"/>
          </w:rPr>
          <w:t>2002 BCCA 618</w:t>
        </w:r>
      </w:hyperlink>
      <w:r>
        <w:rPr>
          <w:rFonts w:ascii="arial" w:eastAsia="arial" w:hAnsi="arial" w:cs="arial"/>
          <w:color w:val="000000"/>
          <w:sz w:val="20"/>
          <w:lang w:val="en-US" w:eastAsia="en-US" w:bidi="ar-SA"/>
        </w:rPr>
        <w:t xml:space="preserve"> at para. 57.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xml:space="preserve">  A failure to attend counselling or pursue an active rehabilitation or exercise program may constitute a failure to mitigate: </w:t>
      </w:r>
      <w:r>
        <w:rPr>
          <w:rFonts w:ascii="arial" w:eastAsia="arial" w:hAnsi="arial" w:cs="arial"/>
          <w:i/>
          <w:color w:val="000000"/>
          <w:sz w:val="20"/>
          <w:lang w:val="en-US" w:eastAsia="en-US" w:bidi="ar-SA"/>
        </w:rPr>
        <w:t>Hsu v. Williams</w:t>
      </w:r>
      <w:r>
        <w:rPr>
          <w:rFonts w:ascii="arial" w:eastAsia="arial" w:hAnsi="arial" w:cs="arial"/>
          <w:color w:val="000000"/>
          <w:sz w:val="20"/>
          <w:lang w:val="en-US" w:eastAsia="en-US" w:bidi="ar-SA"/>
        </w:rPr>
        <w:t xml:space="preserve">, </w:t>
      </w:r>
      <w:hyperlink r:id="rId768" w:history="1">
        <w:r>
          <w:rPr>
            <w:rFonts w:ascii="arial" w:eastAsia="arial" w:hAnsi="arial" w:cs="arial"/>
            <w:i/>
            <w:color w:val="0077CC"/>
            <w:sz w:val="20"/>
            <w:u w:val="single"/>
            <w:shd w:val="clear" w:color="auto" w:fill="FFFFFF"/>
            <w:lang w:val="en-US" w:eastAsia="en-US" w:bidi="ar-SA"/>
          </w:rPr>
          <w:t>2011 BCSC 1412</w:t>
        </w:r>
      </w:hyperlink>
      <w:r>
        <w:rPr>
          <w:rFonts w:ascii="arial" w:eastAsia="arial" w:hAnsi="arial" w:cs="arial"/>
          <w:color w:val="000000"/>
          <w:sz w:val="20"/>
          <w:lang w:val="en-US" w:eastAsia="en-US" w:bidi="ar-SA"/>
        </w:rPr>
        <w:t xml:space="preserve"> at paras. 42-47; </w:t>
      </w:r>
      <w:r>
        <w:rPr>
          <w:rFonts w:ascii="arial" w:eastAsia="arial" w:hAnsi="arial" w:cs="arial"/>
          <w:i/>
          <w:color w:val="000000"/>
          <w:sz w:val="20"/>
          <w:lang w:val="en-US" w:eastAsia="en-US" w:bidi="ar-SA"/>
        </w:rPr>
        <w:t>Oberholtzer v. Tocher</w:t>
      </w:r>
      <w:r>
        <w:rPr>
          <w:rFonts w:ascii="arial" w:eastAsia="arial" w:hAnsi="arial" w:cs="arial"/>
          <w:color w:val="000000"/>
          <w:sz w:val="20"/>
          <w:lang w:val="en-US" w:eastAsia="en-US" w:bidi="ar-SA"/>
        </w:rPr>
        <w:t xml:space="preserve">, </w:t>
      </w:r>
      <w:hyperlink r:id="rId769" w:history="1">
        <w:r>
          <w:rPr>
            <w:rFonts w:ascii="arial" w:eastAsia="arial" w:hAnsi="arial" w:cs="arial"/>
            <w:i/>
            <w:color w:val="0077CC"/>
            <w:sz w:val="20"/>
            <w:u w:val="single"/>
            <w:shd w:val="clear" w:color="auto" w:fill="FFFFFF"/>
            <w:lang w:val="en-US" w:eastAsia="en-US" w:bidi="ar-SA"/>
          </w:rPr>
          <w:t>2018 BCSC 1089</w:t>
        </w:r>
      </w:hyperlink>
      <w:r>
        <w:rPr>
          <w:rFonts w:ascii="arial" w:eastAsia="arial" w:hAnsi="arial" w:cs="arial"/>
          <w:color w:val="000000"/>
          <w:sz w:val="20"/>
          <w:lang w:val="en-US" w:eastAsia="en-US" w:bidi="ar-SA"/>
        </w:rPr>
        <w:t xml:space="preserve"> at paras. 78-95.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xml:space="preserve">  In considering the defence of mitigation, courts are slow to determine that a plaintiff has acted unreasonably in making good-faith decisions about what treatment and employment steps they will take to address an injury. As stated in </w:t>
      </w:r>
      <w:r>
        <w:rPr>
          <w:rFonts w:ascii="arial" w:eastAsia="arial" w:hAnsi="arial" w:cs="arial"/>
          <w:i/>
          <w:color w:val="000000"/>
          <w:sz w:val="20"/>
          <w:lang w:val="en-US" w:eastAsia="en-US" w:bidi="ar-SA"/>
        </w:rPr>
        <w:t>Paniccia Estate v. Toal</w:t>
      </w:r>
      <w:r>
        <w:rPr>
          <w:rFonts w:ascii="arial" w:eastAsia="arial" w:hAnsi="arial" w:cs="arial"/>
          <w:color w:val="000000"/>
          <w:sz w:val="20"/>
          <w:lang w:val="en-US" w:eastAsia="en-US" w:bidi="ar-SA"/>
        </w:rPr>
        <w:t xml:space="preserve">, </w:t>
      </w:r>
      <w:hyperlink r:id="rId770" w:history="1">
        <w:r>
          <w:rPr>
            <w:rFonts w:ascii="arial" w:eastAsia="arial" w:hAnsi="arial" w:cs="arial"/>
            <w:i/>
            <w:color w:val="0077CC"/>
            <w:sz w:val="20"/>
            <w:u w:val="single"/>
            <w:shd w:val="clear" w:color="auto" w:fill="FFFFFF"/>
            <w:lang w:val="en-US" w:eastAsia="en-US" w:bidi="ar-SA"/>
          </w:rPr>
          <w:t>2012 ABCA 397</w:t>
        </w:r>
      </w:hyperlink>
      <w:r>
        <w:rPr>
          <w:rFonts w:ascii="arial" w:eastAsia="arial" w:hAnsi="arial" w:cs="arial"/>
          <w:color w:val="000000"/>
          <w:sz w:val="20"/>
          <w:lang w:val="en-US" w:eastAsia="en-US" w:bidi="ar-SA"/>
        </w:rPr>
        <w:t xml:space="preserve"> at para. 86, as cited in </w:t>
      </w:r>
      <w:r>
        <w:rPr>
          <w:rFonts w:ascii="arial" w:eastAsia="arial" w:hAnsi="arial" w:cs="arial"/>
          <w:i/>
          <w:color w:val="000000"/>
          <w:sz w:val="20"/>
          <w:lang w:val="en-US" w:eastAsia="en-US" w:bidi="ar-SA"/>
        </w:rPr>
        <w:t>Gallina v. Honda Canada Finance Inc.</w:t>
      </w:r>
      <w:r>
        <w:rPr>
          <w:rFonts w:ascii="arial" w:eastAsia="arial" w:hAnsi="arial" w:cs="arial"/>
          <w:color w:val="000000"/>
          <w:sz w:val="20"/>
          <w:lang w:val="en-US" w:eastAsia="en-US" w:bidi="ar-SA"/>
        </w:rPr>
        <w:t xml:space="preserve">, </w:t>
      </w:r>
      <w:hyperlink r:id="rId771" w:history="1">
        <w:r>
          <w:rPr>
            <w:rFonts w:ascii="arial" w:eastAsia="arial" w:hAnsi="arial" w:cs="arial"/>
            <w:i/>
            <w:color w:val="0077CC"/>
            <w:sz w:val="20"/>
            <w:u w:val="single"/>
            <w:shd w:val="clear" w:color="auto" w:fill="FFFFFF"/>
            <w:lang w:val="en-US" w:eastAsia="en-US" w:bidi="ar-SA"/>
          </w:rPr>
          <w:t>2014 BCSC 974</w:t>
        </w:r>
      </w:hyperlink>
      <w:r>
        <w:rPr>
          <w:rFonts w:ascii="arial" w:eastAsia="arial" w:hAnsi="arial" w:cs="arial"/>
          <w:color w:val="000000"/>
          <w:sz w:val="20"/>
          <w:lang w:val="en-US" w:eastAsia="en-US" w:bidi="ar-SA"/>
        </w:rPr>
        <w:t xml:space="preserve"> at para. 128: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only lightly reviews the decision of a person injured to try to mitigate his loss. Courts are extremely slow to criticize good-faith decisions by victims of torts about both whether to take steps in mitigation, or which steps, or how much expense or risk to incur in doing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xml:space="preserve">  Courts will also consider whether a plaintiff's capacity to make an objectively reasonable choice with respect to treatment recommendations has been substantially inhibited by their accident-induced injuries: </w:t>
      </w:r>
      <w:r>
        <w:rPr>
          <w:rFonts w:ascii="arial" w:eastAsia="arial" w:hAnsi="arial" w:cs="arial"/>
          <w:i/>
          <w:color w:val="000000"/>
          <w:sz w:val="20"/>
          <w:lang w:val="en-US" w:eastAsia="en-US" w:bidi="ar-SA"/>
        </w:rPr>
        <w:t>C. (J.F.) v. Ladolcetta</w:t>
      </w:r>
      <w:r>
        <w:rPr>
          <w:rFonts w:ascii="arial" w:eastAsia="arial" w:hAnsi="arial" w:cs="arial"/>
          <w:color w:val="000000"/>
          <w:sz w:val="20"/>
          <w:lang w:val="en-US" w:eastAsia="en-US" w:bidi="ar-SA"/>
        </w:rPr>
        <w:t xml:space="preserve">, </w:t>
      </w:r>
      <w:hyperlink r:id="rId772" w:history="1">
        <w:r>
          <w:rPr>
            <w:rFonts w:ascii="arial" w:eastAsia="arial" w:hAnsi="arial" w:cs="arial"/>
            <w:i/>
            <w:color w:val="0077CC"/>
            <w:sz w:val="20"/>
            <w:u w:val="single"/>
            <w:shd w:val="clear" w:color="auto" w:fill="FFFFFF"/>
            <w:lang w:val="en-US" w:eastAsia="en-US" w:bidi="ar-SA"/>
          </w:rPr>
          <w:t>2012 BCCA 27</w:t>
        </w:r>
      </w:hyperlink>
      <w:r>
        <w:rPr>
          <w:rFonts w:ascii="arial" w:eastAsia="arial" w:hAnsi="arial" w:cs="arial"/>
          <w:color w:val="000000"/>
          <w:sz w:val="20"/>
          <w:lang w:val="en-US" w:eastAsia="en-US" w:bidi="ar-SA"/>
        </w:rPr>
        <w:t xml:space="preserve"> at para. 26.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Did the plaintiff fail to mitigate his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The defendant argues that the plaintiff failed to mitigate his loss by following the recommendations of Dr. Finlayson that the plaintiff participate consistently in active rehabilitation with the assistance of a kinesiologist and a physiotherapist. I note that Dr. Finlayson is not the plaintiff's treating physician. Her recommendations are contained in a medical-legal report prepared for court. It is not clear to me from the record whether the plaintiff was specifically aware of Dr. Finlayson's recommendations prior to trial. It was not put to the plaintiff in cross-examination that he was aware of Dr. Finlayson's recommendations and failed to follow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In any event, the plaintiff did take steps to mitigate his loss through the treatment he pursued following the Accident. On the recommendation of his family physician, the plaintiff sought treatment from a chiropractor and a physiotherapist. While the plaintiff did not continue to see the physiotherapist for the entire pre-trial period, he did continue with exercises at home. He saw Dr. Pike and followed his recommendation for a cortisone injection. Throughout the pre-trial period, the plaintiff showed remarkable commitment and resilience in maintaining an impressive level of physical activities despite his pain. The plaintiff's fitness level has no doubt contributed to his ability to manage the pain symptoms as successfully as he has.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In sum, I cannot find that the plaintiff acted unreasonably in failing to mitigate his loss. On the contrary, he acted reasonably and with diligence in attempting to manage the pain symptoms from his Accident-related injuries. There is no basis to reduce the plaintiff's damages for failure to mitigate.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In summary, I conclude that the defendant is solely liable for the injuries suffered by the plaintiff in the Accident. I award the following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123"/>
        <w:gridCol w:w="428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01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Special damages</w:t>
            </w:r>
          </w:p>
        </w:tc>
        <w:tc>
          <w:tcPr>
            <w:tcW w:w="419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$1,969</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01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Past wage loss (net)</w:t>
            </w:r>
          </w:p>
        </w:tc>
        <w:tc>
          <w:tcPr>
            <w:tcW w:w="419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$1,991</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01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Non-pecuniary damages</w:t>
            </w:r>
          </w:p>
        </w:tc>
        <w:tc>
          <w:tcPr>
            <w:tcW w:w="419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$80,000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01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Loss of future earning capacity</w:t>
            </w:r>
          </w:p>
        </w:tc>
        <w:tc>
          <w:tcPr>
            <w:tcW w:w="419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$75,000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01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Future care costs</w:t>
            </w:r>
          </w:p>
        </w:tc>
        <w:tc>
          <w:tcPr>
            <w:tcW w:w="419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$4,500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01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Total:</w:t>
            </w:r>
          </w:p>
        </w:tc>
        <w:tc>
          <w:tcPr>
            <w:tcW w:w="419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$163,460</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I am of the provisional view that the plaintiff is entitled to his costs from the defendant at Scale B. If either party seek an alternative form of costs award they are at liberty to seek a further hearing before me to address costs by contacting trial scheduling within 30 days of the date of this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K. HORSMAN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91" style="position:absolute;z-index:25179955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73"/>
          <w:headerReference w:type="default" r:id="rId774"/>
          <w:footerReference w:type="even" r:id="rId775"/>
          <w:footerReference w:type="default" r:id="rId776"/>
          <w:headerReference w:type="first" r:id="rId777"/>
          <w:footerReference w:type="first" r:id="rId77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79" w:history="1">
        <w:r>
          <w:rPr>
            <w:rFonts w:ascii="arial" w:eastAsia="arial" w:hAnsi="arial" w:cs="arial"/>
            <w:b/>
            <w:bCs/>
            <w:i/>
            <w:color w:val="0077CC"/>
            <w:kern w:val="32"/>
            <w:sz w:val="28"/>
            <w:szCs w:val="32"/>
            <w:u w:val="single"/>
            <w:shd w:val="clear" w:color="auto" w:fill="FFFFFF"/>
            <w:lang w:val="en-US" w:eastAsia="en-US" w:bidi="ar-SA"/>
          </w:rPr>
          <w:t>Lozinski v. Maple Ridge District, [2015] B.C.J. No. 1570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L.A. Warren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25-28,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23,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M120873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[2015] B.C.J. No. 1570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2015 BCSC 1277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Angela Roxanne Lozinski, Plaintiff, and Corporation of the District of Maple Ridge and Raymond Ward,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(88 paras.)</w:t>
      </w:r>
    </w:p>
    <w:p>
      <w:pPr>
        <w:jc w:val="both"/>
        <w:rPr>
          <w:rFonts w:ascii="arial" w:eastAsia="arial" w:hAnsi="arial" w:cs="arial"/>
          <w:sz w:val="20"/>
          <w:lang w:val="en-US" w:eastAsia="en-US" w:bidi="ar-SA"/>
        </w:rPr>
      </w:pPr>
      <w:bookmarkStart w:id="205" w:name="Counsel_38"/>
      <w:bookmarkEnd w:id="20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92" style="position:absolute;z-index:2516981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Thomas N. Teed.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Charles D. Jago.</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06" w:name="Judgment_38"/>
      <w:bookmarkEnd w:id="206"/>
      <w:r>
        <w:pict>
          <v:line id="_x0000_s1193" style="position:absolute;z-index:25174937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0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07" w:name="L.A. WARREN J."/>
            <w:bookmarkEnd w:id="207"/>
            <w:r>
              <w:rPr>
                <w:rFonts w:ascii="arial" w:eastAsia="arial" w:hAnsi="arial" w:cs="arial"/>
                <w:b/>
                <w:color w:val="000000"/>
                <w:sz w:val="30"/>
                <w:lang w:val="en-US" w:eastAsia="en-US" w:bidi="ar-SA"/>
              </w:rPr>
              <w:t>L.A. WARREN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action arises from a car accident that occurred at approximately noon on August 15, 2011, at the intersection of Pitt River Road and Mary Hill Road, in Port Coquitlam, British Columbia. Both liability and damages are in issue but, on the second day of trial, I ordered that liability be tried and determined first. This judgment relates to liability only.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Pitt River Road runs east and west. Mary Hill Road runs north and south. Pitt River Road and Mary Hill Road both have one marked lane running in each direction. However, as the eastbound lane of Pitt River Road approaches the intersection at Mary Hill Road, it is wide enough to accommodate two eastbound vehicles travelling side by side or to allow one vehicle to pass another on the right if, for example, an eastbound vehicle stops to turn left onto Mary Hill Road. There are traffic lights at the intersection for both the east/west traffic on Pitt River Road and the north/south traffic on Mary Hill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Angela Lozinski, was driving a black SUV west on Pitt River Road intending to turn left to proceed south on Mary Hill Road. The defendant, Raymond Ward, was driving a smaller, white, four-door sedan owned by his employer, the defendant, Corporation of the District of Maple Ridge. He was travelling east on Pitt River Road intending to proceed straight through the intersection with Mary Hill Road. He overtook and passed on the right of one or more other eastbound vehicles and then entered the intersection. The accident occurred in the intersection while Ms. Lozinski was in the process of making her left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Ms. Lozinski's position is that the defendants are solely liable because Mr. Ward proceeded through the intersection on a red light and passed on the right when it was unsafe to do so, contrary to ss. 129(1) and 158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xml:space="preserve">, while she was in the process of completing her turn. The defendants' position is that Ms. Lozinski is solely liable for the accident or, in the alternative, that she is at least equally liable because, contrary to s. 174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in making her left turn she failed to yield the right of way to Mr. Ward's vehicle which was so close as to constitute an immediate hazard.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 of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Ms. Lozinski lives about a half block south of the intersection in question. She is very familiar with the intersection and travels through it nearly every day. On the day of the accident she had been at work. She was alone in her vehicle driving home for lunch. Pitt River Road slopes down as it enters the intersection from the east and Mary Hill Road rises from the intersection as it heads south. In other words, as Ms. Lozinski approached the intersection she was going downhill and, after completing her turn, she would have been going uphill on Mary Hill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As Ms. Lozinski approached the intersection her traffic light was green. She testified that she entered the intersection on the green light and came to a full stop with her left turn signal on. She said it is possible that one or more vehicles approaching from the opposite direction, travelling east on Pitt River Road, went through the intersection and passed by her. The traffic light changed to amber. She saw an eastbound car on Pitt River Road come to a stop on the amber light, across from and facing her. She said it is possible another eastbound car came to a stop behind that. She also saw one car and possibly two cars to her right, southbound on Mary Hill Road, stopped at their light. She does not recall seeing any cars to her left, northbound on Mary Hill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Ms. Lozinski testified that she waited in the middle of the intersection until her light turned red. She said she was aware that eastbound cars on Pitt River Road could, and sometimes did, pass on the right of eastbound cars stopped in front of the intersection. She said she could not see into the space on Pitt River Road where eastbound cars might pass on the right because her vision was impeded by the stopped eastbound car or cars sitting opposite to her at the intersection. At trial, she said she paused for two or three seconds after her light turned red, to make sure that no eastbound car on Pitt River Road was passing on the right, and then slowly commenced her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Ms. Lozinski testified that she inched slowly to the left and looked to her right towards the space in the eastbound lane where Mr. Ward was travelling, but she could not see into that space because the stopped eastbound cars continued to block her view. She said she proceeded at a "slow crawl", concentrating on that space and, by the time she could see into that space, it was too late. Mr. Ward's vehicle was "right there" and the collision ensued. She said she had no time to take evasive action. She testified that, at the moment of impact, the front end of her vehicle was a few feet into the portion of the road on which Mr. Ward's car was travelling. She estimated that the impact occurred as many as five seconds after her light turned 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Defence counsel suggested to Ms. Lozinski that, in fact, she proceeded to turn immediately upon her light cycling to red. The suggestion was that, rather than inching out slowly, while continuing to focus her attention on the space adjacent to the stopped eastbound traffic, she quickly crossed into that space blindly, as soon as her light turned red, relying on the red light to guarantee her safe passage. At trial, she denied that characterization.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Defence counsel submitted that Ms. Lozinski's answers given on examination for discovery were more consistent with his characterization of the manner in which she completed her turn than with the version she recounted at trial. In discovery she was asked the following questions and gave the following answers: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what happened after the light turned amber? You were waiting for cars to stop and then what?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So I was waiting - ... for cars to stop. At that point the light had turned red and the cars had stopped, so then I made my turn to take the left.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cars were going through eastbound even on the amber?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 Not that I know of. ... The car that was in front of me facing me ... had stopped. ... And I believe there was another car behind that that had stopped. ... So I was waiting to make sure that the intersection was clear before I could go but at that point it was red, so to me it didn't matter, so I had to clear the intersection.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So the light goes to red. You're in the middle of the intersection?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At that point you make your left hand turn?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You were accelerating through that turn,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Do you know what speed your vehicle would have been traveling at the time of impact?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don't really know because from a stopped position to exiting the intersection it wouldn't be very fast.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Did you make the left hand turn fast?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guess that would mean - I don't know how anybody would exit an intersection from a stop - from being idle.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don't know.</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nothing out of the ordinary. It wasn't like you felt like, oh, I'm in the middle of the intersection and the light has cycled to red, I have to gun it, hit the gas hard and pull through this left hand turn quickly? That wasn't the case?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It may have been but I mean, it's a residential area. I live a block from this intersection, so there's children, people walking around. You don't want to just hastily gun it, I - you would say.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So you didn't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knew I needed to get out of the intersection so the cars could go through.</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Did you make the left-hand turn fast and hard or did you make it - make that turn more slowly and in a more relaxed type of way?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Perhaps maybe both, cautious and quickly maybe.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You're not sure?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At trial, Ms. Lozinski denied any material inconsistency between her testimony at trial and that at discovery. She said the questions asked of her at discovery were different than the questions asked of her at trial. During the discovery, she was not specifically asked whether she paused after the light turned red or immediately proceeded into the turn. Nor was she specifically asked if she kept her attention focused on the space adjacent to the stopped eastbound traffic. She maintained, at trial, that while she knew traffic was waiting to proceed south on Mary Hill Road, which gave rise to some urgency for her to clear the intersection, she nevertheless proceeded slowly and cautiously and that her light was red for between two and five seconds before the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Ms. Lozinski testified that the force of the impact was significant and spun her SUV in the opposite direction. Both vehicles ended up in the south-east portion of the intersection. Mr. Ward's vehicle was pointed south east. Its front end was up on the sidewalk at the south-east corner, and its back end was in the crosswalk. Ms. Lozinski's SUV was positioned in the intersection slightly north of Mr. Ward's vehicle, pointed south, but on an angle to the east.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Ms. Lozinski said she thought Mr. Ward's vehicle struck her vehicle on the front passenger-side corner. Photographs of the vehicles taken at the scene of the accident show damage to the front end of Ms. Lozinski's vehicle. There is some damage on the front passenger-side corner close to the headlight. The front bumper, grill and hood are damaged. The driver's side headlight is smashed, and there is extensive damage to the front, driver's-side corner around the headlight. The photographs show most of the damage to Mr. Ward's vehicle on the driver's-side fender area, in front of and above the front wheel.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Ward has been employed by Maple Ridge for more than 20 years. He was working on the day of the accident. His co-worker, George Veltin, had just dropped another vehicle off somewhere else and Mr. Ward was driving Mr. Veltin back to the Maple Ridge works yard. Mr. Ward was familiar with the car he was driving and had driven it before.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Ward testified that as he approached the intersection with Mary Hill Road, he observed that a small white car in front of him was slowing down. He could not say whether that car came to a full stop but, because it was slowing down, he thought it was going to turn left on Mary Hill Road. He did not say that he saw a left-turn signal engaged on that car, but he said it was situated in the left portion of the eastbound lane. He said he passed it on the right and proceeded into the intersection. He testified that, although the eastbound portion of Pitt River Road is not marked as two lanes, it is wide enough for two cars to travel side by side in the same direction.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Ward testified that, at some point, as he approached the intersection, he looked at the light and saw that it was green. However, he could not say how far away from the intersection he was when he saw the green light; he could not say what colour the light was when he passed the slowing or stopped car on the right; and he could not say what colour the light was when he entered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Ward testified that when he was midway into the intersection, his car was hit by Ms. Lozinski's SUV. He said he did not see her SUV before the impact. He said he was "blindsided". He testified that the first point of impact on his vehicle was around the front driver's-side wheel, and that his car was then hit again towards the back of the driver's 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Ward testified that he was travelling close to the speed limit, at approximately 50 km/h, when he entered the intersection. He testified that he did not accelerate as he passed the stopped car on the right but, rather, maintained a constant speed throughout.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accident was witnessed from each direction. Four independent witnesses testified, each of whom was sitting in a vehicle facing the intersection on one of its four arms. In addition, Mr. Veltin testified.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Tessa Armstrong witnessed the accident from the west. She was driving a Volkswagen Golf, travelling east on Pitt River Road. She intended to proceed straight through the intersection at Mary Hill Road. Ms. Armstrong testified that her light was red as she approached the intersection. She came to a full stop at the red light and saw Ms. Lozinski's vehicle stopped in front of her in the intersection and pointed south. Ms. Armstrong testified that she was looking at the passenger side of Ms. Lozinski's vehicle. She said she also saw Mr. Ward's vehicle come up behind her and slowly pass her on the right. She said she was situated in the middle of the eastbound lane, and not up against the centre line as one would position themselves if they were intending to turn left. She said Mr. Ward had barely enough room to squeeze by her on the right and she was concerned he was going to hit her mirror. She testified that after squeezing past her, Mr. Ward "booted it", turned to the right as if he was going to proceed south on Mary Hill Road, and then looped back into the intersection to continue east on Pitt River Road at which point the collision occurred. She estimated that Mr. Ward was travelling 30 km/h at the time of the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Ms. Armstrong could not say precisely where, in the intersection, the collision occurred or which part of each vehicle was involved in the initial impact. She was also uncertain as to Ms. Lozinski's intended direction of travel. She said that Ms. Lozinski could have been headed south on Mary Hill Road and could have been attempting to turn left on to Pitt River Road. However, Ms. Armstrong was firm in recounting that, as she approached the intersection, her light was red and Ms. Lozinski's vehicle was stopped in the intersection and pointed south.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Kathy Feller witnessed the accident from the north. She was driving south on Mary Hill Road and intended to proceed straight through the intersection. She testified that as she approached the intersection her light was green, but she stopped because she saw Ms. Lozinski's vehicle stopped in the intersection in front of her, pointed south, with its left turn signal on. She could not recall whether there was any northbound traffic on Mary Hill Road at the time. She said she thought Ms. Lozinski was waiting to turn left onto Pitt River Road. Ms. Feller testified that she believes Ms. Lozinski's vehicle had passed the centre line on Pitt River Road by the time Ms. Feller noticed her sitting in the intersection. This would place Ms. Lozinski's vehicle in front of, and perpendicular to, Ms. Armstrong's vehicle, which is consistent with Ms. Armstrong's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Ms. Feller testified that she saw Mr. Ward's car commence a right turn onto Mary Hill Road but, instead of continuing south on Mary Hill Road, Mr. Ward accelerated and swerved back, eastbound, onto Pitt River Road. She said she saw Mr. Ward's car strike Ms. Lozinski's SUV. She estimated that Mr. Ward was travelling between 20 km/h and 30 km/h at the point of impact. She said that just before the impact, she was focused on Mr. Ward's car and she did not see Ms. Lozinski's car start to move.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Ms. Feller testified that she did not see Mr. Ward's car until he started to turn onto Mary Hill Road because her vision was obstructed by an eastbound car that was stopped at the intersection. Ms. Feller testified that there is room in the eastbound lane of Pitt River Road for cars to pass on the right and she said cars often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Randall Browning witnessed the accident from the east. He was in his Ford Taurus westbound on Pitt River Road behind Ms. Lozinski. He said there was another car between them, but he had a good view of Ms. Lozinski's vehicle because Pitt River Road slopes down towards the intersection and he was elevated above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Browning testified that his light was green as he approached the intersection, but he had to stop because Ms. Lozinski's SUV was stopped in the intersection with its left-turn signal on, pointed west, waiting to turn left. He saw four eastbound vehicles come to a stop facing him and Ms. Lozinski. He also saw the roof of Mr. Ward's vehicle eastbound on Pitt River Road as it passed the stopped vehicles on the right. He said he could see the roof of Mr. Ward's car because of his vantage point elevated above the intersection. He said Mr. Ward's vehicle came up behind the four eastbound vehicles, "bolted to the right", passed those four vehicles, and entered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Browning testified that Ms. Lozinski waited through the amber light and commenced her turn when the light turned red. In cross-examination, he agreed that her turn was a "one-point turn"; that she did not make a partial turn, stop, and then complete the turn but, rather, that her turn proceeded in a single motion. He said it was a normal turn and he saw nothing unusual about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Browning said Mr. Ward's car entered the intersection just after the light turned red and struck Ms. Lozinski's vehicle at the front corner on the passenger side. Mr. Browning expressed some uncertainty about the colour of the traffic light as Mr. Ward approached the intersection, but he testified that he was confident the light had turned red before Mr. Ward entered the intersection. He agreed that the light turned red and, almost simultaneously, Ms. Lozinski started her turn and Mr. Ward entered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Browning estimated the speed of Mr. Ward's car at between 50 km/h and 60 km/h at the time of impact. He estimated Ms. Lozinski's speed at "a couple kilometers per hour" at the time of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Browning testified that he is very familiar with the intersection. He agreed that it is not uncommon for vehicles travelling east on Pitt River Road to pass on the right, but he said that the road is "barely wide enough" to do so. He said that Pitt River Road was narrower, at the time of the accident, than it looks in photographs of the intersection that were admitted into evidence. He said that, since the accident, there has been a water-main repair in the area and the road was "re-worked".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Mr. Browning testified that he did not see any cars situated on Mary Hill Road heading either north or south. He also did not see Mr. Ward's car turn right towards Mary Hill Road and then loop back into the intersection, as described by Ms. Armstrong and Ms. Feller.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Marcia Jeanes witnessed the accident from the south. She was driving her truck, a 2002 Ford Lightning, and was headed north on Mary Hill Road. She testified that, as she approached the intersection from the south, she saw her light turn amber and, as she pulled up to the intersection and stopped, her light turned red. She said that, as she was sitting at the red light, she saw Ms. Lozinski's vehicle proceed west on Pitt River Road, into the intersection, and turn left in a single movement without hesitating. She testified that Ms. Lozinski did not stop at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Ms. Jeanes also testified that she saw Mr. Ward's vehicle as it approached the intersection from the west. She said he entered the intersection on a green light and was hit by Ms. Lozinski's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It was not clear from Ms. Jeane's evidence whether she could actually see the lights for east/west traffic on Pitt River Road from her vantage point south of the intersection. However; she testified that she was sure her own light was red at the moment of impact because, if it had turned green, she would have proceeded on her way. She also testified that the accident occurred soon after she came to a stop at the intersection and her light turned red just as she stopped. Thus, she inferred that the light for east/west traffic must have been green.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At the scene of the accident, Ms. Jeanes and another witness argued about how the accident had occurred. Ms. Jeanes acknowledged, at trial, that other witnesses said they had seen the accident unfold differently. She agreed that she initially doubted her own recollection of the accident because the other witnesses were "so convincing". However, she said that she later spoke to an employee from ICBC on the phone and he told her that her version was correct.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Mr. Veltin was in the front passenger seat of Mr. Ward's vehicle. He testified that as he and Mr. Ward were approaching the intersection they came up behind a stopped eastbound vehicle. He said Mr. Ward manoeuvered around that vehicle on the right and entered the intersection. He could not recall whether this stopped vehicle was the first eastbound vehicle stopped at the intersection or whether there were other vehicles stopped in front of it. He could not say whether it had its left-turn signal on. He said Mr. Ward did not accelerate as he passed but, rather, maintained his speed into the intersection. He said that, as they entered the intersection, he looked to the left and saw a "grill" coming towards them. He only had time to say "watch it" and the collision occurred. He said the initial point of contact on Mr. Ward's vehicle was just above the front driver's-side wheel.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Findings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There were some inconsistencies in the testimony of the witnesses. However, I did not find any of them to be dishonest or to have a tendency towards embellishment or exaggeration. My perception was that each of the witnesses attempted to describe the accident as they remembered it to the best of their abilities. However, as with much eyewitness testimony, it is likely their recollections include some reconstruction and, as such, their evidence must be approached with caution. As explained by Justice Smith in </w:t>
      </w:r>
      <w:r>
        <w:rPr>
          <w:rFonts w:ascii="arial" w:eastAsia="arial" w:hAnsi="arial" w:cs="arial"/>
          <w:i/>
          <w:color w:val="000000"/>
          <w:sz w:val="20"/>
          <w:lang w:val="en-US" w:eastAsia="en-US" w:bidi="ar-SA"/>
        </w:rPr>
        <w:t>Wattar v. Lu</w:t>
      </w:r>
      <w:r>
        <w:rPr>
          <w:rFonts w:ascii="arial" w:eastAsia="arial" w:hAnsi="arial" w:cs="arial"/>
          <w:color w:val="000000"/>
          <w:sz w:val="20"/>
          <w:lang w:val="en-US" w:eastAsia="en-US" w:bidi="ar-SA"/>
        </w:rPr>
        <w:t xml:space="preserve">, </w:t>
      </w:r>
      <w:hyperlink r:id="rId780" w:history="1">
        <w:r>
          <w:rPr>
            <w:rFonts w:ascii="arial" w:eastAsia="arial" w:hAnsi="arial" w:cs="arial"/>
            <w:i/>
            <w:color w:val="0077CC"/>
            <w:sz w:val="20"/>
            <w:u w:val="single"/>
            <w:shd w:val="clear" w:color="auto" w:fill="FFFFFF"/>
            <w:lang w:val="en-US" w:eastAsia="en-US" w:bidi="ar-SA"/>
          </w:rPr>
          <w:t>2013 BCSC 603</w:t>
        </w:r>
      </w:hyperlink>
      <w:r>
        <w:rPr>
          <w:rFonts w:ascii="arial" w:eastAsia="arial" w:hAnsi="arial" w:cs="arial"/>
          <w:color w:val="000000"/>
          <w:sz w:val="20"/>
          <w:lang w:val="en-US" w:eastAsia="en-US" w:bidi="ar-SA"/>
        </w:rPr>
        <w:t xml:space="preserve"> at paras. 6 and 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motor vehicle accident, by its very nature, happens quickly and without warning. In the moments leading up to it, drivers are not making careful observations of speed, distances or the precise location of other vehicles. Their evidence is likely to include at least some reconstruction based on what they think happened, rather than what they actually saw.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the court must determine which of two conflicting accounts is more likely to be accurate, the most reliable guide is consistency with what little objective or undisputed evidence exists.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Regrettably, I do not have the benefit of expert accident-reconstruction evidence to assist with matters such as speed analysis, perception response time, evasion potential, the precise location in the intersection where the collision occurred, or how far south in relation to Ms. Armstrong's car Ms. Lozinski would have to have been before it would have been possible for her to see down the space adjacent to the passenger side of Ms. Armstrong's car. Nor was there any evidence as to the length of each cycle in the light sequences and, in particular, the length of any overlap in the red cycle in each direction.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It is undisputed that Ms. Lozinski was westbound on Pitt River Road intending to turn left and head south on Mary Hill Road. Although Ms. Armstrong and Ms. Feller testified that they thought she may have been southbound on Mary Hill Road, intending to turn left on to Pitt River Road, that was an inference they drew from the fact that they saw her stopped in the intersection pointed south. Neither of them said they actually saw her travelling south on Mary Hill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It is undisputed that Ms. Lozinski reached the intersection before Mr. Ward and entered on a green light.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It is undisputed that Mr. Ward was eastbound on Pitt River Road intending to proceed through the intersection, and that he passed on the right of at least one slowing or stopped eastbound vehicle just prior to entering the intersection. The weight of the evidence supports the conclusion that, while the eastbound lane is wide enough to accommodate two eastbound vehicles travelling side by side, it is just barely so. Nevertheless, the weight of the evidence also supports the conclusion that passing on the right is commonplace at that location.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It is undisputed that Ms. Armstrong reached the intersection before Mr. Ward and that she was not intending to turn left. There is no evidence that her left-turn signal was engaged.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It is undisputed that Ms. Lozinski's view of the portion of Pitt River Road on which Mr. Ward was travelling was impeded by Ms. Armstrong's car. In other words, it is undisputed that Ms. Lozinski could not see Mr. Ward's vehicle approaching when she commenced her turn. It is also undisputed that she knew she could not see into the space on the road on which he was travelling and she was aware that cars often passed on the right in that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While the evidence does not permit me to make findings as to the specific speed of each of the vehicles at the moment of impact, it is undisputed that Mr. Ward was travelling significantly faster than was Ms. Lozinski. The witnesses gauged his speed at between 30 km/h and 60 km/h. He himself testified he was travelling close to the speed limit. I find he was travelling approximately 50 km/h.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Ms. Armstrong and Ms. Feller both said they saw Mr. Ward's vehicle turn slightly as if he was going to proceed south on Mary Hill Road and then loop back onto Pitt River Road. Neither Ms. Jeanes nor Mr. Browning saw that manoeuver, but Mr. Browning saw Mr. Ward "bolt to the right" prior to entering the intersection. In my view, these are the kind of variations one would expect from witnesses observing an intersection from different perspectives. Ultimately, nothing turns on whether Mr. Ward proceeded straight through the intersection or whether he first swerved to the 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pattern of damage, as reflected in the photographs, indicates that the vehicles were, more or less, perpendicular to each other at the moment of impact. Given Mr. Ward was travelling east and Ms. Lozinski intended to proceed south, the pattern of damage suggests that Ms. Lozinski's vehicle was facing almost directly south at the time of impact. This indicates that she had fully completed her turn and was heading out of the intersection by the time the collision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primary disputed facts are:</w:t>
      </w:r>
      <w:r>
        <w:rPr>
          <w:rFonts w:ascii="arial" w:eastAsia="arial" w:hAnsi="arial" w:cs="arial"/>
          <w:sz w:val="20"/>
          <w:lang w:val="en-US" w:eastAsia="en-US" w:bidi="ar-SA"/>
        </w:rPr>
        <w:cr/>
      </w:r>
    </w:p>
    <w:p>
      <w:pPr>
        <w:numPr>
          <w:numId w:val="1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colour of the east/west light at the time Mr. Ward entered the intersection;</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colour of the east/west light at the time Ms. Lozinski commenced her left turn;</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Mr. Ward was already in the intersection at the time Ms. Lozinski commenced her turn; and</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manner in which Ms. Lozinski executed her turn and, in particular, whether she kept a proper lookout as she made the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Neither Mr. Ward nor Mr. Veltin could say what colour the light was when Mr. Ward entered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Ms. Armstrong, Ms. Feller and Mr. Browning all testified that Mr. Ward's light had turned red before Mr. Ward entered the intersection. Ms. Armstrong testified that she came to a stop on the red light and Mr. Ward passed by her on the right after she stopped. Given their positions in the intersection, the light for east/west traffic was directly in the line of sight of Ms. Armstrong and Mr. Browning. They both had a good opportunity to observe that light.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only witness who testified differently was Ms. Jeanes. She said that Mr. Ward's light was green but, given her position in the intersection, it is unlikely that she could actually see the lights for east/west traffic. It appears that she assumed Mr. Ward's light was green because her light was red. However, even though there was no evidence as to the light sequences, common sense dictates that there must have been some overlap in the red lights such that Ms. Jeanes' light would have remained red for some period of time after Mr. Ward's light turned red. Further, of all the eyewitnesses, Ms. Jeanes had the best view of Mr. Ward's car as it approached the intersection and she would have seen him travelling up beside the curb. His failure to slow down as he approached the intersection likely created the impression that he was approaching a green light. Finally, although I have no doubt that Ms. Jeanes recounted the events leading up to the collision as best she could, she acknowledged that she initially doubted her recollection until she was reassured by an ICBC employee that her recollection was correct. The basis upon which an ICBC employee could have made such a reassurance is unknown. However, it had the effect of shoring up Ms. Jeanes' originally uncertain recollection and, in the circumstances, it affects the weight I am prepared to give to her evidence. Where her evidence departs from that of the other witnesses, I find the evidence of the others to be more reliable.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preponderance of the evidence supports the conclusion that Mr. Ward's light had turned red before he entered the intersection. Further, Mr. Ward was travelling approximately 50 km/h, which is 45 feet per second. The weight of the evidence is that Ms. Lozinski was travelling very slowly. If the impact occurred at least two seconds after the light turned red which, for reasons explained below, I find it did, then Mr. Ward's vehicle would have been at least 90 feet, or more than about four car lengths, in front of the intersection at the time the light turned 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next question is the colour of Ms. Lozinski's light at the time she commenced her turn. She testified that she waited for two or three seconds after her light had turned red because she knew there could be a car passing on the right of Ms. Armstrong's car. Mr. Browning's evidence was that she came to a stop in the intersection, waited through the amber light and commenced her turn after the light turned red. Ms. Armstrong testified that when she stopped at her red light, she saw Ms. Lozinski's vehicle stopped in the intersection pointing south. Ms. Feller testified that when she first noticed Ms. Lozinski's vehicle, her own light was green and Ms. Lozinski was stopped in the intersection pointed south. This evidence is not inconsistent with Ms. Lozinski commencing her turn after her light turned 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Again, the only evidence to the contrary was Ms. Jeanes' testimony. She said that Ms. Lozinski entered the intersection on a green light and proceeded into her turn without stopping, still on a green light. I have already found that Ms. Jeanes was mistaken about the colour of the light as Mr. Ward entered the intersection. I have already found that his light was red before he entered the intersection. If Ms. Lozinski had commenced her turn on the green light, it is likely that she would have cleared the intersection before Mr. Ward entered it. Further, for the reasons already expressed, where Ms. Jeanes' evidence departs from that of the other witnesses, I prefer the evidence of the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 find that after entering the intersection on a green light, Ms. Lozinski came to a stop, waited through the green and amber lights, and commenced her turn after her light had turned 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Given the respective speeds of the vehicles, the only rational conclusion is that Mr. Ward entered the intersection after Ms. Lozinski commenced her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next question is the manner in which Ms. Lozinski executed her turn and, in particular, whether she kept a proper lookout as she made the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Ms. Lozinski testified that she paused for two to three seconds after the light turned red and then moved slowly, inching past Ms. Armstrong's car, while keeping a lookout and trying to see into the space where Mr. Ward was travelling. She said she maintained this focus throughout the turn but could not see into that space, and did not see Mr. Ward's vehicle until it was too late. Her evidence, on discovery, was somewhat different but, in my view, not materially so. Although there were some differences in her evidence, there were also variations in the questions asked. In particular, she was not shown to have given inconsistent answers to the specific question of whether, as she moved into the turn, she continued to focus on the space adjacent to Ms. Armstrong's car. Further, while the answers she gave during her discovery as to her speed as she turned suggest that she could not say specifically how fast she was going, she also said that "it wouldn't be very fast" and "you don't want to just hastily gun it". In my view, these answers do not establish that she proceeded blindly and without due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Diack v. Bardsley</w:t>
      </w:r>
      <w:r>
        <w:rPr>
          <w:rFonts w:ascii="arial" w:eastAsia="arial" w:hAnsi="arial" w:cs="arial"/>
          <w:color w:val="000000"/>
          <w:sz w:val="20"/>
          <w:lang w:val="en-US" w:eastAsia="en-US" w:bidi="ar-SA"/>
        </w:rPr>
        <w:t xml:space="preserve"> </w:t>
      </w:r>
      <w:hyperlink r:id="rId781" w:history="1">
        <w:r>
          <w:rPr>
            <w:rFonts w:ascii="arial" w:eastAsia="arial" w:hAnsi="arial" w:cs="arial"/>
            <w:i/>
            <w:color w:val="0077CC"/>
            <w:sz w:val="20"/>
            <w:u w:val="single"/>
            <w:shd w:val="clear" w:color="auto" w:fill="FFFFFF"/>
            <w:lang w:val="en-US" w:eastAsia="en-US" w:bidi="ar-SA"/>
          </w:rPr>
          <w:t>(1983), 46 B.C.L.R. 240</w:t>
        </w:r>
      </w:hyperlink>
      <w:r>
        <w:rPr>
          <w:rFonts w:ascii="arial" w:eastAsia="arial" w:hAnsi="arial" w:cs="arial"/>
          <w:color w:val="000000"/>
          <w:sz w:val="20"/>
          <w:lang w:val="en-US" w:eastAsia="en-US" w:bidi="ar-SA"/>
        </w:rPr>
        <w:t xml:space="preserve"> at 247 (S.C.), aff'd </w:t>
      </w:r>
      <w:hyperlink r:id="rId782" w:history="1">
        <w:r>
          <w:rPr>
            <w:rFonts w:ascii="arial" w:eastAsia="arial" w:hAnsi="arial" w:cs="arial"/>
            <w:i/>
            <w:color w:val="0077CC"/>
            <w:sz w:val="20"/>
            <w:u w:val="single"/>
            <w:shd w:val="clear" w:color="auto" w:fill="FFFFFF"/>
            <w:lang w:val="en-US" w:eastAsia="en-US" w:bidi="ar-SA"/>
          </w:rPr>
          <w:t>(1984), 31 C.C.L.T. 308</w:t>
        </w:r>
      </w:hyperlink>
      <w:r>
        <w:rPr>
          <w:rFonts w:ascii="arial" w:eastAsia="arial" w:hAnsi="arial" w:cs="arial"/>
          <w:color w:val="000000"/>
          <w:sz w:val="20"/>
          <w:lang w:val="en-US" w:eastAsia="en-US" w:bidi="ar-SA"/>
        </w:rPr>
        <w:t xml:space="preserve"> (C.A.), McEachern C.J.S.C. said the "usefulness [of minor variations between a witness's evidence at trial and on discovery] is limited because witnesses seldom speak with much precision at discovery ...". In my view that observation applies to Ms. Lozinski's examination for discovery evidence. She spoke with much more precision at trial, at least in part because the questions asked were more precise. Further, her testimony at trial as to how she completed her turn was, in my view, consistent with that of the other witnesses, except Ms. Jeanes.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Ms. Lozinski did not say that she came to a complete stop once she had completed her turn and was facing south perpendicular to Ms. Armstrong's car. She merely said that she inched out slowly and tried to see. Mr. Browning said that the turn was a one-point turn, and that as Ms. Lozinski started the turn, Mr. Ward entered the intersection "almost simultaneously". However, he also said that Ms. Lozinski was proceeding very slowly, as slow as a couple of kilometers per hour. In my view there is no material inconsistency between his evidence and Ms. Lozinski's evidence. Ms. Armstrong and Ms. Feller both said that they first noticed Ms. Lozinski sitting stationary in the intersection pointed south. While this suggests that the turn was not a one-point turn, as observed by Mr. Browning, it could also be the case that Ms. Lozinski was moving very slowly, so slowly that Ms. Armstrong and Ms. Feller thought she had stopped. Again, I do not consider there to be any material inconsistency.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Having considered all of the evidence, I find that it is more likely than not that, after sitting in the intersection through the green and the amber light, Ms. Lozinski paused for a short period of time, approximately two seconds, after the light turned red because she knew vehicles often passed on the right as they approached the intersection from the west. She then slowly commenced her turn and, once she had completed the turn and was pointing south in front of Ms. Armstrong's vehicle, she briefly stopped or nearly stopped while maintaining her focus and trying to see into the space adjacent to Ms. Armstrong's vehicle. She then proceeded slowly into that space and the collision immediately occurred. It follows that the collision occurred at least two seconds after the light turned red. Neither driver could see the other until just before the impact, and neither had time to take evasive action, because their vision was impeded by the stopped eastbound vehicles.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I have found that Ms. Lozinski entered the intersection on a green light and did not commence her turn until the light turned red. I have also found that Mr. Ward entered the intersection after the light turned red, after Ms. Lozinski commenced her turn, and in the course of passing on the right of Ms. Armstrong's vehicle which was stopped at the red light. In these circumstances, the relevant statutory duties are those set out in ss. 129(1), 158 and 174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Section 129 sets out the statutory obligation of a driver faced with a red traffic light. The material portion of that section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129(1) Subject to subsection (2), when a red light alone is exhibited at an intersection by a traffic control signal, the driver of a vehicle approaching the intersection and facing the red light must cause it to stop before entering the marked crosswalk on the near side of the intersection, or if there is no marked crosswalk, before entering the intersection, and subject to the provisions of subsection (3), must not cause the vehicle to proceed until a traffic control signal instructs the driver that he or she is permitted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circumstances in which a driver may pass on the right are governed by s. 158 which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158(1) The driver of a vehicle must not cause or permit the vehicle to overtake and pass on the right of another vehicle, except</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the vehicle overtaken is making a left turn or its driver has signaled his or her intention to make a left turn,</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on a laned roadway there is one or more than one unobstructed lane on the side of the roadway on which the driver is permitted to drive, or</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a one-way street or a highway on which traffic is restricted to one direction of movement, where the roadway is free from obstructions and is of sufficient width for two or more lanes of moving vehicles.</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Despite subsection (1), a driver of a vehicle must not cause a vehicle to overtake and pass another vehicle on the right</w:t>
      </w:r>
    </w:p>
    <w:p>
      <w:pPr>
        <w:numPr>
          <w:numId w:val="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the movement cannot be made safely, or</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by driving the vehicle off the roadway.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Section 174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sets out the statutory obligation of a motorist intending to turn left at an intersection. It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174 When a vehicle is in an intersection and its driver intends to turn left, the driver must yield the right of way to traffic approaching from the opposite direction that is in the intersection or so close as to constitute an immediate hazard, but having yielded and given a signal as required by sections 171 and 172, the driver may turn the vehicle to the left, and traffic approaching the intersection from the opposite direction must yield the right of way to the vehicle making the left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In summary, a driver must not enter an intersection on a red light; may only pass on the right in certain circumstances and, in any event, only when the movement may be made safely; and a left-turning driver must yield to oncoming traffic that is in the intersection or so close as to constitute an "immediate hazard".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An approaching vehicle is an "immediate hazard" if it is so close to the intersection that its driver must take some sudden or violent action to avoid the threat of a collision with the vehicle that is attempting a left turn: </w:t>
      </w:r>
      <w:r>
        <w:rPr>
          <w:rFonts w:ascii="arial" w:eastAsia="arial" w:hAnsi="arial" w:cs="arial"/>
          <w:i/>
          <w:color w:val="000000"/>
          <w:sz w:val="20"/>
          <w:lang w:val="en-US" w:eastAsia="en-US" w:bidi="ar-SA"/>
        </w:rPr>
        <w:t>Raie v. Thorpe</w:t>
      </w:r>
      <w:r>
        <w:rPr>
          <w:rFonts w:ascii="arial" w:eastAsia="arial" w:hAnsi="arial" w:cs="arial"/>
          <w:color w:val="000000"/>
          <w:sz w:val="20"/>
          <w:lang w:val="en-US" w:eastAsia="en-US" w:bidi="ar-SA"/>
        </w:rPr>
        <w:t xml:space="preserve"> (1963), 43 W.W.R. 405 at 406 (B.C.C.A.). The point in time to assess whether the through driver is an "immediate hazard" is the moment before the left-turning driver actually starts to make the turn: </w:t>
      </w:r>
      <w:r>
        <w:rPr>
          <w:rFonts w:ascii="arial" w:eastAsia="arial" w:hAnsi="arial" w:cs="arial"/>
          <w:i/>
          <w:color w:val="000000"/>
          <w:sz w:val="20"/>
          <w:lang w:val="en-US" w:eastAsia="en-US" w:bidi="ar-SA"/>
        </w:rPr>
        <w:t>Raie</w:t>
      </w:r>
      <w:r>
        <w:rPr>
          <w:rFonts w:ascii="arial" w:eastAsia="arial" w:hAnsi="arial" w:cs="arial"/>
          <w:color w:val="000000"/>
          <w:sz w:val="20"/>
          <w:lang w:val="en-US" w:eastAsia="en-US" w:bidi="ar-SA"/>
        </w:rPr>
        <w:t>, at 414.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The analytical framework that is often applied to the determination of liability for a motor vehicle accident is based upon one of the drivers being characterized as "dominant" and the other as "servient". The driver with the right of way is the dominant driver: </w:t>
      </w:r>
      <w:r>
        <w:rPr>
          <w:rFonts w:ascii="arial" w:eastAsia="arial" w:hAnsi="arial" w:cs="arial"/>
          <w:i/>
          <w:color w:val="000000"/>
          <w:sz w:val="20"/>
          <w:lang w:val="en-US" w:eastAsia="en-US" w:bidi="ar-SA"/>
        </w:rPr>
        <w:t>Nerval v. Khehra</w:t>
      </w:r>
      <w:r>
        <w:rPr>
          <w:rFonts w:ascii="arial" w:eastAsia="arial" w:hAnsi="arial" w:cs="arial"/>
          <w:color w:val="000000"/>
          <w:sz w:val="20"/>
          <w:lang w:val="en-US" w:eastAsia="en-US" w:bidi="ar-SA"/>
        </w:rPr>
        <w:t xml:space="preserve">, </w:t>
      </w:r>
      <w:hyperlink r:id="rId783" w:history="1">
        <w:r>
          <w:rPr>
            <w:rFonts w:ascii="arial" w:eastAsia="arial" w:hAnsi="arial" w:cs="arial"/>
            <w:i/>
            <w:color w:val="0077CC"/>
            <w:sz w:val="20"/>
            <w:u w:val="single"/>
            <w:shd w:val="clear" w:color="auto" w:fill="FFFFFF"/>
            <w:lang w:val="en-US" w:eastAsia="en-US" w:bidi="ar-SA"/>
          </w:rPr>
          <w:t>2012 BCCA 436</w:t>
        </w:r>
      </w:hyperlink>
      <w:r>
        <w:rPr>
          <w:rFonts w:ascii="arial" w:eastAsia="arial" w:hAnsi="arial" w:cs="arial"/>
          <w:color w:val="000000"/>
          <w:sz w:val="20"/>
          <w:lang w:val="en-US" w:eastAsia="en-US" w:bidi="ar-SA"/>
        </w:rPr>
        <w:t xml:space="preserve"> at para. 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When a servient driver proceeds in breach of his or her statutory duty, in order to attribute fault to the dominant driver, the onus is on the servient driver to establish that the dominant driver was or ought to have been aware of the servient driver's disregard of the law and that the dominant driver could have avoided the accident had he or she acted with reasonable care: </w:t>
      </w:r>
      <w:r>
        <w:rPr>
          <w:rFonts w:ascii="arial" w:eastAsia="arial" w:hAnsi="arial" w:cs="arial"/>
          <w:i/>
          <w:color w:val="000000"/>
          <w:sz w:val="20"/>
          <w:lang w:val="en-US" w:eastAsia="en-US" w:bidi="ar-SA"/>
        </w:rPr>
        <w:t>Pacheco (Guardian ad litem of) v. Robinson</w:t>
      </w:r>
      <w:r>
        <w:rPr>
          <w:rFonts w:ascii="arial" w:eastAsia="arial" w:hAnsi="arial" w:cs="arial"/>
          <w:color w:val="000000"/>
          <w:sz w:val="20"/>
          <w:lang w:val="en-US" w:eastAsia="en-US" w:bidi="ar-SA"/>
        </w:rPr>
        <w:t xml:space="preserve"> </w:t>
      </w:r>
      <w:hyperlink r:id="rId784" w:history="1">
        <w:r>
          <w:rPr>
            <w:rFonts w:ascii="arial" w:eastAsia="arial" w:hAnsi="arial" w:cs="arial"/>
            <w:i/>
            <w:color w:val="0077CC"/>
            <w:sz w:val="20"/>
            <w:u w:val="single"/>
            <w:shd w:val="clear" w:color="auto" w:fill="FFFFFF"/>
            <w:lang w:val="en-US" w:eastAsia="en-US" w:bidi="ar-SA"/>
          </w:rPr>
          <w:t>(1993), 75 B.C.L.R. (2d) 273</w:t>
        </w:r>
      </w:hyperlink>
      <w:r>
        <w:rPr>
          <w:rFonts w:ascii="arial" w:eastAsia="arial" w:hAnsi="arial" w:cs="arial"/>
          <w:color w:val="000000"/>
          <w:sz w:val="20"/>
          <w:lang w:val="en-US" w:eastAsia="en-US" w:bidi="ar-SA"/>
        </w:rPr>
        <w:t xml:space="preserve"> at para. 18 (C.A.); and, </w:t>
      </w:r>
      <w:r>
        <w:rPr>
          <w:rFonts w:ascii="arial" w:eastAsia="arial" w:hAnsi="arial" w:cs="arial"/>
          <w:i/>
          <w:color w:val="000000"/>
          <w:sz w:val="20"/>
          <w:lang w:val="en-US" w:eastAsia="en-US" w:bidi="ar-SA"/>
        </w:rPr>
        <w:t>Dawes v. Valadas</w:t>
      </w:r>
      <w:r>
        <w:rPr>
          <w:rFonts w:ascii="arial" w:eastAsia="arial" w:hAnsi="arial" w:cs="arial"/>
          <w:color w:val="000000"/>
          <w:sz w:val="20"/>
          <w:lang w:val="en-US" w:eastAsia="en-US" w:bidi="ar-SA"/>
        </w:rPr>
        <w:t xml:space="preserve">, </w:t>
      </w:r>
      <w:hyperlink r:id="rId785" w:history="1">
        <w:r>
          <w:rPr>
            <w:rFonts w:ascii="arial" w:eastAsia="arial" w:hAnsi="arial" w:cs="arial"/>
            <w:i/>
            <w:color w:val="0077CC"/>
            <w:sz w:val="20"/>
            <w:u w:val="single"/>
            <w:shd w:val="clear" w:color="auto" w:fill="FFFFFF"/>
            <w:lang w:val="en-US" w:eastAsia="en-US" w:bidi="ar-SA"/>
          </w:rPr>
          <w:t>2005 BCSC 1319</w:t>
        </w:r>
      </w:hyperlink>
      <w:r>
        <w:rPr>
          <w:rFonts w:ascii="arial" w:eastAsia="arial" w:hAnsi="arial" w:cs="arial"/>
          <w:color w:val="000000"/>
          <w:sz w:val="20"/>
          <w:lang w:val="en-US" w:eastAsia="en-US" w:bidi="ar-SA"/>
        </w:rPr>
        <w:t xml:space="preserve"> at para. 31.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Nerval</w:t>
      </w:r>
      <w:r>
        <w:rPr>
          <w:rFonts w:ascii="arial" w:eastAsia="arial" w:hAnsi="arial" w:cs="arial"/>
          <w:color w:val="000000"/>
          <w:sz w:val="20"/>
          <w:lang w:val="en-US" w:eastAsia="en-US" w:bidi="ar-SA"/>
        </w:rPr>
        <w:t xml:space="preserve">, the Court of Appeal ascertained who, as between a left-turning driver and straight-through driver, has the right of way when neither of them is facing a traffic light. At paras. 33-38, Harris J.A. explained that in such a case, dominance turns on whether the straight-through driver's vehicle was an immediate hazard at the material time. The left-turning driver bears the initial burden of proving the absence of an immediate hazard at the moment the left turn begins. In other words, the left-turning driver bears the burden of establishing that he or she commenced the turn when it was safe to do so. If the left-turning driver fails to meet that burden, then the straight-through driver is dominant and the burden of proving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rests with the left-turning driver. On the other hand, if the left-turning driver proves that when he or she commenced the turn no other vehicles constituted an immediate hazard, the left-turning driver has the right of way and becomes the dominant driver, and the straight-through driver bears the burden of establishing that the left-turning driver was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However, in a case involving a left-turning driver and a straight-through driver who collide in a traffic-light controlled intersection, it is the colour of the lights that determines which of the drivers has the right of way and, accordingly, which is dominant: </w:t>
      </w:r>
      <w:r>
        <w:rPr>
          <w:rFonts w:ascii="arial" w:eastAsia="arial" w:hAnsi="arial" w:cs="arial"/>
          <w:i/>
          <w:color w:val="000000"/>
          <w:sz w:val="20"/>
          <w:lang w:val="en-US" w:eastAsia="en-US" w:bidi="ar-SA"/>
        </w:rPr>
        <w:t>Miller v. Dent</w:t>
      </w:r>
      <w:r>
        <w:rPr>
          <w:rFonts w:ascii="arial" w:eastAsia="arial" w:hAnsi="arial" w:cs="arial"/>
          <w:color w:val="000000"/>
          <w:sz w:val="20"/>
          <w:lang w:val="en-US" w:eastAsia="en-US" w:bidi="ar-SA"/>
        </w:rPr>
        <w:t xml:space="preserve">, </w:t>
      </w:r>
      <w:hyperlink r:id="rId786" w:history="1">
        <w:r>
          <w:rPr>
            <w:rFonts w:ascii="arial" w:eastAsia="arial" w:hAnsi="arial" w:cs="arial"/>
            <w:i/>
            <w:color w:val="0077CC"/>
            <w:sz w:val="20"/>
            <w:u w:val="single"/>
            <w:shd w:val="clear" w:color="auto" w:fill="FFFFFF"/>
            <w:lang w:val="en-US" w:eastAsia="en-US" w:bidi="ar-SA"/>
          </w:rPr>
          <w:t>2014 BCCA 234</w:t>
        </w:r>
      </w:hyperlink>
      <w:r>
        <w:rPr>
          <w:rFonts w:ascii="arial" w:eastAsia="arial" w:hAnsi="arial" w:cs="arial"/>
          <w:color w:val="000000"/>
          <w:sz w:val="20"/>
          <w:lang w:val="en-US" w:eastAsia="en-US" w:bidi="ar-SA"/>
        </w:rPr>
        <w:t xml:space="preserve">. Where the left-turning driver has entered the intersection without breaching traffic signals and the straight-through driver enters the intersection on a red light, the left-turning driver is dominant and the straight-through driver is servient: </w:t>
      </w:r>
      <w:r>
        <w:rPr>
          <w:rFonts w:ascii="arial" w:eastAsia="arial" w:hAnsi="arial" w:cs="arial"/>
          <w:i/>
          <w:color w:val="000000"/>
          <w:sz w:val="20"/>
          <w:lang w:val="en-US" w:eastAsia="en-US" w:bidi="ar-SA"/>
        </w:rPr>
        <w:t>Miller,</w:t>
      </w:r>
      <w:r>
        <w:rPr>
          <w:rFonts w:ascii="arial" w:eastAsia="arial" w:hAnsi="arial" w:cs="arial"/>
          <w:color w:val="000000"/>
          <w:sz w:val="20"/>
          <w:lang w:val="en-US" w:eastAsia="en-US" w:bidi="ar-SA"/>
        </w:rPr>
        <w:t xml:space="preserve"> at paras. 14 and 16; and, </w:t>
      </w:r>
      <w:r>
        <w:rPr>
          <w:rFonts w:ascii="arial" w:eastAsia="arial" w:hAnsi="arial" w:cs="arial"/>
          <w:i/>
          <w:color w:val="000000"/>
          <w:sz w:val="20"/>
          <w:lang w:val="en-US" w:eastAsia="en-US" w:bidi="ar-SA"/>
        </w:rPr>
        <w:t>Henry v. Bennett</w:t>
      </w:r>
      <w:r>
        <w:rPr>
          <w:rFonts w:ascii="arial" w:eastAsia="arial" w:hAnsi="arial" w:cs="arial"/>
          <w:color w:val="000000"/>
          <w:sz w:val="20"/>
          <w:lang w:val="en-US" w:eastAsia="en-US" w:bidi="ar-SA"/>
        </w:rPr>
        <w:t xml:space="preserve">, </w:t>
      </w:r>
      <w:hyperlink r:id="rId787" w:history="1">
        <w:r>
          <w:rPr>
            <w:rFonts w:ascii="arial" w:eastAsia="arial" w:hAnsi="arial" w:cs="arial"/>
            <w:i/>
            <w:color w:val="0077CC"/>
            <w:sz w:val="20"/>
            <w:u w:val="single"/>
            <w:shd w:val="clear" w:color="auto" w:fill="FFFFFF"/>
            <w:lang w:val="en-US" w:eastAsia="en-US" w:bidi="ar-SA"/>
          </w:rPr>
          <w:t>2011 BCSC 1254</w:t>
        </w:r>
      </w:hyperlink>
      <w:r>
        <w:rPr>
          <w:rFonts w:ascii="arial" w:eastAsia="arial" w:hAnsi="arial" w:cs="arial"/>
          <w:color w:val="000000"/>
          <w:sz w:val="20"/>
          <w:lang w:val="en-US" w:eastAsia="en-US" w:bidi="ar-SA"/>
        </w:rPr>
        <w:t xml:space="preserve"> at para. 73.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In such a case, the left-turning driver is entitled to proceed on the assumption that oncoming traffic will act in accordance with the law and, in particular, will stop for a red light, absent any reasonable indication to the contrary and provided he or she acts with reasonable care: </w:t>
      </w:r>
      <w:r>
        <w:rPr>
          <w:rFonts w:ascii="arial" w:eastAsia="arial" w:hAnsi="arial" w:cs="arial"/>
          <w:i/>
          <w:color w:val="000000"/>
          <w:sz w:val="20"/>
          <w:lang w:val="en-US" w:eastAsia="en-US" w:bidi="ar-SA"/>
        </w:rPr>
        <w:t>Kokkinis v. Hall</w:t>
      </w:r>
      <w:r>
        <w:rPr>
          <w:rFonts w:ascii="arial" w:eastAsia="arial" w:hAnsi="arial" w:cs="arial"/>
          <w:color w:val="000000"/>
          <w:sz w:val="20"/>
          <w:lang w:val="en-US" w:eastAsia="en-US" w:bidi="ar-SA"/>
        </w:rPr>
        <w:t xml:space="preserve"> </w:t>
      </w:r>
      <w:hyperlink r:id="rId788" w:history="1">
        <w:r>
          <w:rPr>
            <w:rFonts w:ascii="arial" w:eastAsia="arial" w:hAnsi="arial" w:cs="arial"/>
            <w:i/>
            <w:color w:val="0077CC"/>
            <w:sz w:val="20"/>
            <w:u w:val="single"/>
            <w:shd w:val="clear" w:color="auto" w:fill="FFFFFF"/>
            <w:lang w:val="en-US" w:eastAsia="en-US" w:bidi="ar-SA"/>
          </w:rPr>
          <w:t>(1996), 19 B.C.L.R. (3d) 273</w:t>
        </w:r>
      </w:hyperlink>
      <w:r>
        <w:rPr>
          <w:rFonts w:ascii="arial" w:eastAsia="arial" w:hAnsi="arial" w:cs="arial"/>
          <w:color w:val="000000"/>
          <w:sz w:val="20"/>
          <w:lang w:val="en-US" w:eastAsia="en-US" w:bidi="ar-SA"/>
        </w:rPr>
        <w:t xml:space="preserve"> (C.A.). See also </w:t>
      </w:r>
      <w:r>
        <w:rPr>
          <w:rFonts w:ascii="arial" w:eastAsia="arial" w:hAnsi="arial" w:cs="arial"/>
          <w:i/>
          <w:color w:val="000000"/>
          <w:sz w:val="20"/>
          <w:lang w:val="en-US" w:eastAsia="en-US" w:bidi="ar-SA"/>
        </w:rPr>
        <w:t>Uyeyama (Guardian ad litem of) v. Wittenberg</w:t>
      </w:r>
      <w:r>
        <w:rPr>
          <w:rFonts w:ascii="arial" w:eastAsia="arial" w:hAnsi="arial" w:cs="arial"/>
          <w:color w:val="000000"/>
          <w:sz w:val="20"/>
          <w:lang w:val="en-US" w:eastAsia="en-US" w:bidi="ar-SA"/>
        </w:rPr>
        <w:t xml:space="preserve">, </w:t>
      </w:r>
      <w:hyperlink r:id="rId789" w:history="1">
        <w:r>
          <w:rPr>
            <w:rFonts w:ascii="arial" w:eastAsia="arial" w:hAnsi="arial" w:cs="arial"/>
            <w:i/>
            <w:color w:val="0077CC"/>
            <w:sz w:val="20"/>
            <w:u w:val="single"/>
            <w:shd w:val="clear" w:color="auto" w:fill="FFFFFF"/>
            <w:lang w:val="en-US" w:eastAsia="en-US" w:bidi="ar-SA"/>
          </w:rPr>
          <w:t>[1985] B.C.J. No. 1883</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Henry</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Lee v. Tse</w:t>
      </w:r>
      <w:r>
        <w:rPr>
          <w:rFonts w:ascii="arial" w:eastAsia="arial" w:hAnsi="arial" w:cs="arial"/>
          <w:color w:val="000000"/>
          <w:sz w:val="20"/>
          <w:lang w:val="en-US" w:eastAsia="en-US" w:bidi="ar-SA"/>
        </w:rPr>
        <w:t xml:space="preserve">, </w:t>
      </w:r>
      <w:hyperlink r:id="rId790" w:history="1">
        <w:r>
          <w:rPr>
            <w:rFonts w:ascii="arial" w:eastAsia="arial" w:hAnsi="arial" w:cs="arial"/>
            <w:i/>
            <w:color w:val="0077CC"/>
            <w:sz w:val="20"/>
            <w:u w:val="single"/>
            <w:shd w:val="clear" w:color="auto" w:fill="FFFFFF"/>
            <w:lang w:val="en-US" w:eastAsia="en-US" w:bidi="ar-SA"/>
          </w:rPr>
          <w:t>2013 BCSC 1740</w:t>
        </w:r>
      </w:hyperlink>
      <w:r>
        <w:rPr>
          <w:rFonts w:ascii="arial" w:eastAsia="arial" w:hAnsi="arial" w:cs="arial"/>
          <w:color w:val="000000"/>
          <w:sz w:val="20"/>
          <w:lang w:val="en-US" w:eastAsia="en-US" w:bidi="ar-SA"/>
        </w:rPr>
        <w:t xml:space="preserve"> at para. 49. This does not mean that a left-turning driver is entitled to treat a red light as a guarantee of safe passage. The left-turning driver is entitled to assume that oncoming traffic will stop at a red light but must also react reasonably to manifest hazards: </w:t>
      </w:r>
      <w:r>
        <w:rPr>
          <w:rFonts w:ascii="arial" w:eastAsia="arial" w:hAnsi="arial" w:cs="arial"/>
          <w:i/>
          <w:color w:val="000000"/>
          <w:sz w:val="20"/>
          <w:lang w:val="en-US" w:eastAsia="en-US" w:bidi="ar-SA"/>
        </w:rPr>
        <w:t>Tejani v. Greenan</w:t>
      </w:r>
      <w:r>
        <w:rPr>
          <w:rFonts w:ascii="arial" w:eastAsia="arial" w:hAnsi="arial" w:cs="arial"/>
          <w:color w:val="000000"/>
          <w:sz w:val="20"/>
          <w:lang w:val="en-US" w:eastAsia="en-US" w:bidi="ar-SA"/>
        </w:rPr>
        <w:t xml:space="preserve">, </w:t>
      </w:r>
      <w:hyperlink r:id="rId791" w:history="1">
        <w:r>
          <w:rPr>
            <w:rFonts w:ascii="arial" w:eastAsia="arial" w:hAnsi="arial" w:cs="arial"/>
            <w:i/>
            <w:color w:val="0077CC"/>
            <w:sz w:val="20"/>
            <w:u w:val="single"/>
            <w:shd w:val="clear" w:color="auto" w:fill="FFFFFF"/>
            <w:lang w:val="en-US" w:eastAsia="en-US" w:bidi="ar-SA"/>
          </w:rPr>
          <w:t>2001 BCSC 803</w:t>
        </w:r>
      </w:hyperlink>
      <w:r>
        <w:rPr>
          <w:rFonts w:ascii="arial" w:eastAsia="arial" w:hAnsi="arial" w:cs="arial"/>
          <w:color w:val="000000"/>
          <w:sz w:val="20"/>
          <w:lang w:val="en-US" w:eastAsia="en-US" w:bidi="ar-SA"/>
        </w:rPr>
        <w:t xml:space="preserve"> at para. 29.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As this case involves a traffic-light controlled intersection, the first step in the analysis is to determine the colour of the traffic lights. I have found that Ms. Lozinski did not commence her turn until after the light turned red and that Mr. Ward entered the intersection after the light turned red. Mr. Ward was in violation of his duty under s. 129(1)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In the circumstances, the obligation on him "is almost too obvious to mention": </w:t>
      </w:r>
      <w:r>
        <w:rPr>
          <w:rFonts w:ascii="arial" w:eastAsia="arial" w:hAnsi="arial" w:cs="arial"/>
          <w:i/>
          <w:color w:val="000000"/>
          <w:sz w:val="20"/>
          <w:lang w:val="en-US" w:eastAsia="en-US" w:bidi="ar-SA"/>
        </w:rPr>
        <w:t>Miller</w:t>
      </w:r>
      <w:r>
        <w:rPr>
          <w:rFonts w:ascii="arial" w:eastAsia="arial" w:hAnsi="arial" w:cs="arial"/>
          <w:color w:val="000000"/>
          <w:sz w:val="20"/>
          <w:lang w:val="en-US" w:eastAsia="en-US" w:bidi="ar-SA"/>
        </w:rPr>
        <w:t xml:space="preserve">, at para. 16. However, proceeding through the red light is only one aspect of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Mr. Ward passed on the right as he entered the intersection. On a plain reading of s. 158(1), Mr. Ward was not permitted to pass on the right at all. Ms. Armstrong was not turning left and there was no evidence that she had signalled an intention to turn left. Pitt River Road is not a "laned roadway" which is defined in s. 119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as a "roadway or part of a roadway that is divided into 2 or more marked lanes for movement ... in the same direction". Pitt River Road is not a one-way street or highway on which traffic is restricted to one direction of movement.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Even if s. 158(1) technically permitted Mr. Ward to pass on the right, that permission is subject to s. 158(2) which prohibits him from doing so unless the movement can be made safely. He was driving a relatively small car. He acknowledged that as he approached the intersection, his view was impeded by the eastbound cars that had stopped. He passed on the right so that he could get into the intersection notwithstanding that he was doing so blindly and without even checking the colour of the traffic light at the time. In the circumstances, the movement could not be made safely.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For these reasons, I find the accident was caused by Mr. Ward's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He is liable. However,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does not absolve Ms. Lozinski from her duty to conduct herself as a reasonably prudent driver would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Mr. Ward submits that his car was an immediate hazard at the time Ms. Lozinski commenced her turn and, accordingly, she breached the duty imposed upon her under s. 174 and is at least equally at fault. In determining her liability, the central question is whether, as the servient driver, Mr. Ward has established that a reasonable and prudent driver in the position of Ms. Lozinski would have seen that he was not going to stop at the red light and could have avoided the accident had she acted with reasonable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Mr. Ward concedes that if the light was red when he entered the intersection, he bears the burden of establishing her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However, he says he has satisfied that burden and has established that Ms. Lozinski failed to take adequate steps to ensure she could make the turn safely. He relied on several cases where left-turning drivers were found liable for failing to take into account the immediate hazard of an oncoming straight-through driver. However, in most of those cases, there was nothing obscuring the left-turning driver's view of the oncoming vehicle and the left-turning driver was found to have failed to keep a proper lookout towards the oncoming traffic.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McPherson v. Lange</w:t>
      </w:r>
      <w:r>
        <w:rPr>
          <w:rFonts w:ascii="arial" w:eastAsia="arial" w:hAnsi="arial" w:cs="arial"/>
          <w:color w:val="000000"/>
          <w:sz w:val="20"/>
          <w:lang w:val="en-US" w:eastAsia="en-US" w:bidi="ar-SA"/>
        </w:rPr>
        <w:t xml:space="preserve">, </w:t>
      </w:r>
      <w:hyperlink r:id="rId792" w:history="1">
        <w:r>
          <w:rPr>
            <w:rFonts w:ascii="arial" w:eastAsia="arial" w:hAnsi="arial" w:cs="arial"/>
            <w:i/>
            <w:color w:val="0077CC"/>
            <w:sz w:val="20"/>
            <w:u w:val="single"/>
            <w:shd w:val="clear" w:color="auto" w:fill="FFFFFF"/>
            <w:lang w:val="en-US" w:eastAsia="en-US" w:bidi="ar-SA"/>
          </w:rPr>
          <w:t>2012 BCSC 36</w:t>
        </w:r>
      </w:hyperlink>
      <w:r>
        <w:rPr>
          <w:rFonts w:ascii="arial" w:eastAsia="arial" w:hAnsi="arial" w:cs="arial"/>
          <w:color w:val="000000"/>
          <w:sz w:val="20"/>
          <w:lang w:val="en-US" w:eastAsia="en-US" w:bidi="ar-SA"/>
        </w:rPr>
        <w:t xml:space="preserve">, the left-turning driver had seen the other vehicle approaching in the distance but she did not look down the road in order to assess its location, distance, and speed prior to starting her turn on an amber light. In </w:t>
      </w:r>
      <w:r>
        <w:rPr>
          <w:rFonts w:ascii="arial" w:eastAsia="arial" w:hAnsi="arial" w:cs="arial"/>
          <w:i/>
          <w:color w:val="000000"/>
          <w:sz w:val="20"/>
          <w:lang w:val="en-US" w:eastAsia="en-US" w:bidi="ar-SA"/>
        </w:rPr>
        <w:t>Mitchell v. ICBC</w:t>
      </w:r>
      <w:r>
        <w:rPr>
          <w:rFonts w:ascii="arial" w:eastAsia="arial" w:hAnsi="arial" w:cs="arial"/>
          <w:color w:val="000000"/>
          <w:sz w:val="20"/>
          <w:lang w:val="en-US" w:eastAsia="en-US" w:bidi="ar-SA"/>
        </w:rPr>
        <w:t xml:space="preserve">, </w:t>
      </w:r>
      <w:hyperlink r:id="rId793" w:history="1">
        <w:r>
          <w:rPr>
            <w:rFonts w:ascii="arial" w:eastAsia="arial" w:hAnsi="arial" w:cs="arial"/>
            <w:i/>
            <w:color w:val="0077CC"/>
            <w:sz w:val="20"/>
            <w:u w:val="single"/>
            <w:shd w:val="clear" w:color="auto" w:fill="FFFFFF"/>
            <w:lang w:val="en-US" w:eastAsia="en-US" w:bidi="ar-SA"/>
          </w:rPr>
          <w:t>2004 BCSC 983</w:t>
        </w:r>
      </w:hyperlink>
      <w:r>
        <w:rPr>
          <w:rFonts w:ascii="arial" w:eastAsia="arial" w:hAnsi="arial" w:cs="arial"/>
          <w:color w:val="000000"/>
          <w:sz w:val="20"/>
          <w:lang w:val="en-US" w:eastAsia="en-US" w:bidi="ar-SA"/>
        </w:rPr>
        <w:t xml:space="preserve">, the left-turning driver made her turn, on an amber light, between two straight-through vehicles, the van that hit her and the car which preceded it through the intersection, and she did not see the van approaching in circumstances where there was nothing preventing her from seeing it. In </w:t>
      </w:r>
      <w:r>
        <w:rPr>
          <w:rFonts w:ascii="arial" w:eastAsia="arial" w:hAnsi="arial" w:cs="arial"/>
          <w:i/>
          <w:color w:val="000000"/>
          <w:sz w:val="20"/>
          <w:lang w:val="en-US" w:eastAsia="en-US" w:bidi="ar-SA"/>
        </w:rPr>
        <w:t>Tejani</w:t>
      </w:r>
      <w:r>
        <w:rPr>
          <w:rFonts w:ascii="arial" w:eastAsia="arial" w:hAnsi="arial" w:cs="arial"/>
          <w:color w:val="000000"/>
          <w:sz w:val="20"/>
          <w:lang w:val="en-US" w:eastAsia="en-US" w:bidi="ar-SA"/>
        </w:rPr>
        <w:t xml:space="preserve">, the straight-through vehicle entered the intersection on an amber light. Justice McEwan emphasized that there was no evidence suggesting some reason why the left-turning driver did not see the other driver approaching, and he held that the straight-through vehicle "must have been visible, and the fact that it was not slowing down should have been apparent" (para. 29). In </w:t>
      </w:r>
      <w:r>
        <w:rPr>
          <w:rFonts w:ascii="arial" w:eastAsia="arial" w:hAnsi="arial" w:cs="arial"/>
          <w:i/>
          <w:color w:val="000000"/>
          <w:sz w:val="20"/>
          <w:lang w:val="en-US" w:eastAsia="en-US" w:bidi="ar-SA"/>
        </w:rPr>
        <w:t>Ziani v. Thede</w:t>
      </w:r>
      <w:r>
        <w:rPr>
          <w:rFonts w:ascii="arial" w:eastAsia="arial" w:hAnsi="arial" w:cs="arial"/>
          <w:color w:val="000000"/>
          <w:sz w:val="20"/>
          <w:lang w:val="en-US" w:eastAsia="en-US" w:bidi="ar-SA"/>
        </w:rPr>
        <w:t xml:space="preserve">, </w:t>
      </w:r>
      <w:hyperlink r:id="rId794" w:history="1">
        <w:r>
          <w:rPr>
            <w:rFonts w:ascii="arial" w:eastAsia="arial" w:hAnsi="arial" w:cs="arial"/>
            <w:i/>
            <w:color w:val="0077CC"/>
            <w:sz w:val="20"/>
            <w:u w:val="single"/>
            <w:shd w:val="clear" w:color="auto" w:fill="FFFFFF"/>
            <w:lang w:val="en-US" w:eastAsia="en-US" w:bidi="ar-SA"/>
          </w:rPr>
          <w:t>2011 BCSC 895</w:t>
        </w:r>
      </w:hyperlink>
      <w:r>
        <w:rPr>
          <w:rFonts w:ascii="arial" w:eastAsia="arial" w:hAnsi="arial" w:cs="arial"/>
          <w:color w:val="000000"/>
          <w:sz w:val="20"/>
          <w:lang w:val="en-US" w:eastAsia="en-US" w:bidi="ar-SA"/>
        </w:rPr>
        <w:t>, the left-turning driver followed another vehicle into the left turn on an amber light, looking only to the right and left to ensure there were no pedestrians in the crosswalk, and only looked ahead to the oncoming traffic at the time of the collision with the straight-through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Mr. Ward also relied on </w:t>
      </w:r>
      <w:r>
        <w:rPr>
          <w:rFonts w:ascii="arial" w:eastAsia="arial" w:hAnsi="arial" w:cs="arial"/>
          <w:i/>
          <w:color w:val="000000"/>
          <w:sz w:val="20"/>
          <w:lang w:val="en-US" w:eastAsia="en-US" w:bidi="ar-SA"/>
        </w:rPr>
        <w:t>Wattar,</w:t>
      </w:r>
      <w:r>
        <w:rPr>
          <w:rFonts w:ascii="arial" w:eastAsia="arial" w:hAnsi="arial" w:cs="arial"/>
          <w:color w:val="000000"/>
          <w:sz w:val="20"/>
          <w:lang w:val="en-US" w:eastAsia="en-US" w:bidi="ar-SA"/>
        </w:rPr>
        <w:t xml:space="preserve"> which was a case where the left-turning driver's view of the opposite curb lane was impeded by stopped traffic. Justice Smith found that the left-turning driver diverted his attention and looked over his left shoulder and as such "was not focusing completely on the oncoming traffic" (para. 13). Liability was apportioned 50% to the left-turning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Finally, Mr. Ward also relied on </w:t>
      </w:r>
      <w:r>
        <w:rPr>
          <w:rFonts w:ascii="arial" w:eastAsia="arial" w:hAnsi="arial" w:cs="arial"/>
          <w:i/>
          <w:color w:val="000000"/>
          <w:sz w:val="20"/>
          <w:lang w:val="en-US" w:eastAsia="en-US" w:bidi="ar-SA"/>
        </w:rPr>
        <w:t>Nerval</w:t>
      </w:r>
      <w:r>
        <w:rPr>
          <w:rFonts w:ascii="arial" w:eastAsia="arial" w:hAnsi="arial" w:cs="arial"/>
          <w:color w:val="000000"/>
          <w:sz w:val="20"/>
          <w:lang w:val="en-US" w:eastAsia="en-US" w:bidi="ar-SA"/>
        </w:rPr>
        <w:t xml:space="preserve"> for the proposition that the obligation imposed on the left-turning driver takes priority over that imposed on a driver passing on the right. He emphasized that the Court of Appeal in </w:t>
      </w:r>
      <w:r>
        <w:rPr>
          <w:rFonts w:ascii="arial" w:eastAsia="arial" w:hAnsi="arial" w:cs="arial"/>
          <w:i/>
          <w:color w:val="000000"/>
          <w:sz w:val="20"/>
          <w:lang w:val="en-US" w:eastAsia="en-US" w:bidi="ar-SA"/>
        </w:rPr>
        <w:t>Nerval</w:t>
      </w:r>
      <w:r>
        <w:rPr>
          <w:rFonts w:ascii="arial" w:eastAsia="arial" w:hAnsi="arial" w:cs="arial"/>
          <w:color w:val="000000"/>
          <w:sz w:val="20"/>
          <w:lang w:val="en-US" w:eastAsia="en-US" w:bidi="ar-SA"/>
        </w:rPr>
        <w:t xml:space="preserve"> referred to the obligation imposed on a left-turning driver by s. 174 as "absolute". However, as I have already explained, </w:t>
      </w:r>
      <w:r>
        <w:rPr>
          <w:rFonts w:ascii="arial" w:eastAsia="arial" w:hAnsi="arial" w:cs="arial"/>
          <w:i/>
          <w:color w:val="000000"/>
          <w:sz w:val="20"/>
          <w:lang w:val="en-US" w:eastAsia="en-US" w:bidi="ar-SA"/>
        </w:rPr>
        <w:t>Nerval</w:t>
      </w:r>
      <w:r>
        <w:rPr>
          <w:rFonts w:ascii="arial" w:eastAsia="arial" w:hAnsi="arial" w:cs="arial"/>
          <w:color w:val="000000"/>
          <w:sz w:val="20"/>
          <w:lang w:val="en-US" w:eastAsia="en-US" w:bidi="ar-SA"/>
        </w:rPr>
        <w:t xml:space="preserve"> did not involve a traffic light and the Court of Appeal expressly distinguished cases involving drivers who proceed into an intersection in breach of an obligation to obey traffic signals (para. 42). Further, what was said about the s. 174 obligation being absolute was said in the context of explaining that, in a case that does not involve traffic lights, s. 174 casts the initial burden on the left-turning driver to establish that he or she started the turn when it was safe to do so. However, that determines only whether the left-turning driver has established dominance. In any event, in </w:t>
      </w:r>
      <w:r>
        <w:rPr>
          <w:rFonts w:ascii="arial" w:eastAsia="arial" w:hAnsi="arial" w:cs="arial"/>
          <w:i/>
          <w:color w:val="000000"/>
          <w:sz w:val="20"/>
          <w:lang w:val="en-US" w:eastAsia="en-US" w:bidi="ar-SA"/>
        </w:rPr>
        <w:t>Nerval</w:t>
      </w:r>
      <w:r>
        <w:rPr>
          <w:rFonts w:ascii="arial" w:eastAsia="arial" w:hAnsi="arial" w:cs="arial"/>
          <w:color w:val="000000"/>
          <w:sz w:val="20"/>
          <w:lang w:val="en-US" w:eastAsia="en-US" w:bidi="ar-SA"/>
        </w:rPr>
        <w:t>, the trial judge found that while the left-turning driver could not see the approaching vehicle when she started her turn, she had time to see it "while making the turn and ought to have seen it" (para. 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As I noted in </w:t>
      </w:r>
      <w:r>
        <w:rPr>
          <w:rFonts w:ascii="arial" w:eastAsia="arial" w:hAnsi="arial" w:cs="arial"/>
          <w:i/>
          <w:color w:val="000000"/>
          <w:sz w:val="20"/>
          <w:lang w:val="en-US" w:eastAsia="en-US" w:bidi="ar-SA"/>
        </w:rPr>
        <w:t>Glanville v. Moberg</w:t>
      </w:r>
      <w:r>
        <w:rPr>
          <w:rFonts w:ascii="arial" w:eastAsia="arial" w:hAnsi="arial" w:cs="arial"/>
          <w:color w:val="000000"/>
          <w:sz w:val="20"/>
          <w:lang w:val="en-US" w:eastAsia="en-US" w:bidi="ar-SA"/>
        </w:rPr>
        <w:t xml:space="preserve">, </w:t>
      </w:r>
      <w:hyperlink r:id="rId795" w:history="1">
        <w:r>
          <w:rPr>
            <w:rFonts w:ascii="arial" w:eastAsia="arial" w:hAnsi="arial" w:cs="arial"/>
            <w:i/>
            <w:color w:val="0077CC"/>
            <w:sz w:val="20"/>
            <w:u w:val="single"/>
            <w:shd w:val="clear" w:color="auto" w:fill="FFFFFF"/>
            <w:lang w:val="en-US" w:eastAsia="en-US" w:bidi="ar-SA"/>
          </w:rPr>
          <w:t>2014 BCSC 1336</w:t>
        </w:r>
      </w:hyperlink>
      <w:r>
        <w:rPr>
          <w:rFonts w:ascii="arial" w:eastAsia="arial" w:hAnsi="arial" w:cs="arial"/>
          <w:color w:val="000000"/>
          <w:sz w:val="20"/>
          <w:lang w:val="en-US" w:eastAsia="en-US" w:bidi="ar-SA"/>
        </w:rPr>
        <w:t xml:space="preserve"> at para. 100, it does not necessarily follow from the fact that the left-turning driver did not see the straight-through driver, that the left-turning driver failed to keep a proper lookout or otherwise acted unreasonably. In several cases where it was not reasonably possible for a left-turning driver to have perceived a straight-through driver as an immediate hazard just before proceeding into the turn, the left-turning driver has not been found negligent. This was the outcome where the left-turning driver's vision was impeded by an SUV stopped in the oncoming opposite left-turn lane and where the straight-through driver entered the intersection just as the light was turning red (</w:t>
      </w:r>
      <w:r>
        <w:rPr>
          <w:rFonts w:ascii="arial" w:eastAsia="arial" w:hAnsi="arial" w:cs="arial"/>
          <w:i/>
          <w:color w:val="000000"/>
          <w:sz w:val="20"/>
          <w:lang w:val="en-US" w:eastAsia="en-US" w:bidi="ar-SA"/>
        </w:rPr>
        <w:t>Henry</w:t>
      </w:r>
      <w:r>
        <w:rPr>
          <w:rFonts w:ascii="arial" w:eastAsia="arial" w:hAnsi="arial" w:cs="arial"/>
          <w:color w:val="000000"/>
          <w:sz w:val="20"/>
          <w:lang w:val="en-US" w:eastAsia="en-US" w:bidi="ar-SA"/>
        </w:rPr>
        <w:t>), where the left-turning driver commenced his turn before the straight-through driver swerved sharply to the right and entered the intersection on a red light (</w:t>
      </w:r>
      <w:r>
        <w:rPr>
          <w:rFonts w:ascii="arial" w:eastAsia="arial" w:hAnsi="arial" w:cs="arial"/>
          <w:i/>
          <w:color w:val="000000"/>
          <w:sz w:val="20"/>
          <w:lang w:val="en-US" w:eastAsia="en-US" w:bidi="ar-SA"/>
        </w:rPr>
        <w:t>Lee</w:t>
      </w:r>
      <w:r>
        <w:rPr>
          <w:rFonts w:ascii="arial" w:eastAsia="arial" w:hAnsi="arial" w:cs="arial"/>
          <w:color w:val="000000"/>
          <w:sz w:val="20"/>
          <w:lang w:val="en-US" w:eastAsia="en-US" w:bidi="ar-SA"/>
        </w:rPr>
        <w:t>), and where the left-turning driver, having looked to her right down the oncoming curb lane and seeing no hazard, then looked to her left in the direction of her turn to ensure there were no pedestrians while, in the meantime, the straight-through driver approached at an excessive speed in the curb lane and struck her car (</w:t>
      </w:r>
      <w:r>
        <w:rPr>
          <w:rFonts w:ascii="arial" w:eastAsia="arial" w:hAnsi="arial" w:cs="arial"/>
          <w:i/>
          <w:color w:val="000000"/>
          <w:sz w:val="20"/>
          <w:lang w:val="en-US" w:eastAsia="en-US" w:bidi="ar-SA"/>
        </w:rPr>
        <w:t>Kelly v. Yuen</w:t>
      </w:r>
      <w:r>
        <w:rPr>
          <w:rFonts w:ascii="arial" w:eastAsia="arial" w:hAnsi="arial" w:cs="arial"/>
          <w:color w:val="000000"/>
          <w:sz w:val="20"/>
          <w:lang w:val="en-US" w:eastAsia="en-US" w:bidi="ar-SA"/>
        </w:rPr>
        <w:t xml:space="preserve">, </w:t>
      </w:r>
      <w:hyperlink r:id="rId796" w:history="1">
        <w:r>
          <w:rPr>
            <w:rFonts w:ascii="arial" w:eastAsia="arial" w:hAnsi="arial" w:cs="arial"/>
            <w:i/>
            <w:color w:val="0077CC"/>
            <w:sz w:val="20"/>
            <w:u w:val="single"/>
            <w:shd w:val="clear" w:color="auto" w:fill="FFFFFF"/>
            <w:lang w:val="en-US" w:eastAsia="en-US" w:bidi="ar-SA"/>
          </w:rPr>
          <w:t>2010 BCSC 1794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In some circumstances, even diverting one's attention from oncoming traffic does not constitute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Kokkinis</w:t>
      </w:r>
      <w:r>
        <w:rPr>
          <w:rFonts w:ascii="arial" w:eastAsia="arial" w:hAnsi="arial" w:cs="arial"/>
          <w:color w:val="000000"/>
          <w:sz w:val="20"/>
          <w:lang w:val="en-US" w:eastAsia="en-US" w:bidi="ar-SA"/>
        </w:rPr>
        <w:t>, the straight-through driver sped into the intersection on either a late-stage amber or a red light and collided with the left-turning driver who did not see the oncoming vehicle until it was on the top of her. The left-turning driver had diverted her attention momentarily from the oncoming traffic to check cross traffic as she commenced her turn and the Court of Appeal, in reapportioning fault 100% to the straight-through driver, held that, in the circumstances, this was not an unreasonable or careless thing to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Ultimately, while the case law is essential for discerning the applicable legal principles, resolving liability in a case like this is predominantly a fact-intensive exercise. As already noted, the question is whether Mr. Ward, as the servient driver, has established that Ms. Lozinski ought to have been aware of his disregard of the law and would have avoided the accident had she acted with reasonable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Mr. Ward submits that Ms. Lozinski turned before determining whether there was approaching traffic in the space adjacent to the stopped eastbound cars and, as such, she failed to take into account the "manifest hazard" resulting from the configuration of the traffic which impeded her vision. He submits that had she turned more slowly and inched in front of Ms. Armstrong's car she would have avoided the collision. To put it directly, he submits that it was possible for her to orient her car into a positon in front of Ms. Armstrong's car from which vantage point she would have been able to see him coming with enough time to stop and avoid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As I have already noted, there was no expert accident-reconstruction evidence that would support such a conclusion. No eyewitness testified that this was possible. Ms. Lozinski said she did look but she could not see into the space adjacent to Ms. Armstrong's car until Mr. Ward was "right there". I have found that it was not until Ms. Lozinski's vehicle and Mr. Ward's vehicle got to a point of inevitable collision that they became visible to one another and, at that point, neither of them could have prevented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Mr. Ward's submission seemed to depend almost entirely on the pattern of damage to the vehicles. As already noted, the photographs showed that the front of Ms. Lozinski's car came into contact with the side of Mr. Ward's car. Mr. Ward submitted that this establishes that his car was already in the intersection when Ms. Lozinski commenced her turn, and that if she had inched forward in front of Ms. Armstrong's car or, in other words, done a two-point turn, she would have seen Mr. Ward who was already there. However, this hypothesis does not account for the relative speed of the two vehicles. Before the impact, Ms. Lozinski had turned completely to the south, become perpendicular to Ms. Armstrong's car, and stopped or nearly stopped. If Mr. Ward was already there she would have seen him. If he was already there earlier, when she commenced her turn, he would have cleared the intersection before she got into the space in which he had been travelling.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Mr. Ward has not established that Ms. Lozinski ought to have seen him before commencing her turn. She could not see him because her vision was impeded by Ms. Armstrong's vehicle and possibly other eastbound vehicles behind her. She paused after the light turned red in case a vehicle was passing on the right. At that point, she had to clear the intersection. Mr. Ward has not established that Ms. Lozinski failed to maintain her focus on the space adjacent to Ms. Armstrong's car as she made the turn. Further, it could not be said that Ms. Lozinski erroneously concluded that there were no vehicles in close proximity. To the contrary, she could not see and was still trying to ascertain whether a vehicle might be passing on the right when the impact occurred. Similarly, Mr. Ward did not establish that Ms. Lozinski could have oriented her vehicle, during the turn, into a position from which she could have seen Mr. Ward in time to avoid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As a result, I am not persuaded that Ms. Lozinski was negligent. I conclude that the accident was caused solely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Mr. 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L.A. WARREN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94" style="position:absolute;z-index:2518005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97"/>
          <w:headerReference w:type="default" r:id="rId798"/>
          <w:footerReference w:type="even" r:id="rId799"/>
          <w:footerReference w:type="default" r:id="rId800"/>
          <w:headerReference w:type="first" r:id="rId801"/>
          <w:footerReference w:type="first" r:id="rId80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803" w:history="1">
        <w:r>
          <w:rPr>
            <w:rFonts w:ascii="arial" w:eastAsia="arial" w:hAnsi="arial" w:cs="arial"/>
            <w:b/>
            <w:bCs/>
            <w:i/>
            <w:color w:val="0077CC"/>
            <w:kern w:val="32"/>
            <w:sz w:val="28"/>
            <w:szCs w:val="32"/>
            <w:u w:val="single"/>
            <w:shd w:val="clear" w:color="auto" w:fill="FFFFFF"/>
            <w:lang w:val="en-US" w:eastAsia="en-US" w:bidi="ar-SA"/>
          </w:rPr>
          <w:t>Maier v. Fischer, [2004] B.C.J. No. 233</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Master Bolton</w:t>
      </w:r>
    </w:p>
    <w:p>
      <w:pPr>
        <w:spacing w:before="120" w:line="260" w:lineRule="atLeast"/>
        <w:jc w:val="center"/>
        <w:rPr>
          <w:lang w:val="en-US" w:eastAsia="en-US" w:bidi="ar-SA"/>
        </w:rPr>
      </w:pPr>
      <w:r>
        <w:rPr>
          <w:rFonts w:ascii="arial" w:eastAsia="arial" w:hAnsi="arial" w:cs="arial"/>
          <w:color w:val="000000"/>
          <w:sz w:val="20"/>
          <w:lang w:val="en-US" w:eastAsia="en-US" w:bidi="ar-SA"/>
        </w:rPr>
        <w:t>Oral judgment: January 29, 2004.</w:t>
      </w:r>
    </w:p>
    <w:p>
      <w:pPr>
        <w:spacing w:before="120" w:line="260" w:lineRule="atLeast"/>
        <w:jc w:val="center"/>
        <w:rPr>
          <w:lang w:val="en-US" w:eastAsia="en-US" w:bidi="ar-SA"/>
        </w:rPr>
      </w:pPr>
      <w:r>
        <w:rPr>
          <w:rFonts w:ascii="arial" w:eastAsia="arial" w:hAnsi="arial" w:cs="arial"/>
          <w:color w:val="000000"/>
          <w:sz w:val="20"/>
          <w:lang w:val="en-US" w:eastAsia="en-US" w:bidi="ar-SA"/>
        </w:rPr>
        <w:t>Vancouver Registry No. M011892</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[2004] B.C.J. No. 233</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2004 BCSC 196</w:t>
      </w:r>
    </w:p>
    <w:p>
      <w:pPr>
        <w:spacing w:before="120" w:line="260" w:lineRule="atLeast"/>
        <w:rPr>
          <w:lang w:val="en-US" w:eastAsia="en-US" w:bidi="ar-SA"/>
        </w:rPr>
      </w:pPr>
      <w:r>
        <w:rPr>
          <w:rFonts w:ascii="arial" w:eastAsia="arial" w:hAnsi="arial" w:cs="arial"/>
          <w:color w:val="000000"/>
          <w:sz w:val="20"/>
          <w:lang w:val="en-US" w:eastAsia="en-US" w:bidi="ar-SA"/>
        </w:rPr>
        <w:t>Between Lorraine Maier, plaintiff, and Norman Edward Fischer, Yellow Cab Company Ltd. and Richard Beauregard,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(36 paras.)</w:t>
      </w:r>
    </w:p>
    <w:p>
      <w:pPr>
        <w:jc w:val="both"/>
        <w:rPr>
          <w:lang w:val="en-US" w:eastAsia="en-US" w:bidi="ar-SA"/>
        </w:rPr>
      </w:pPr>
      <w:bookmarkStart w:id="208" w:name="Counsel_39"/>
      <w:bookmarkEnd w:id="208"/>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195" style="position:absolute;z-index:251699200"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W.D. Mussio, for plaintiff. A. Keagan, for defendant, Fischer and Yellow Cab. K. Sacher, for defendant, Beauregard.</w:t>
      </w:r>
      <w:r>
        <w:rPr>
          <w:lang w:val="en-US" w:eastAsia="en-US" w:bidi="ar-SA"/>
        </w:rPr>
        <w:cr/>
      </w:r>
    </w:p>
    <w:p>
      <w:pPr>
        <w:spacing w:after="240"/>
        <w:rPr>
          <w:lang w:val="en-US" w:eastAsia="en-US" w:bidi="ar-SA"/>
        </w:rPr>
      </w:pPr>
      <w:bookmarkStart w:id="209" w:name="Judgment_39"/>
      <w:bookmarkEnd w:id="209"/>
      <w:r>
        <w:pict>
          <v:line id="_x0000_s1196" style="position:absolute;z-index:251750400"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9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210" w:name="MASTER BOLTON (orally)"/>
            <w:bookmarkEnd w:id="210"/>
            <w:r>
              <w:rPr>
                <w:rFonts w:ascii="arial" w:eastAsia="arial" w:hAnsi="arial" w:cs="arial"/>
                <w:b/>
                <w:color w:val="000000"/>
                <w:sz w:val="30"/>
                <w:lang w:val="en-US" w:eastAsia="en-US" w:bidi="ar-SA"/>
              </w:rPr>
              <w:t>MASTER BOLTON (orally)</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I am going to give a decision now. In many ways I am not comfortable about doing it, but in the circumstances, given the fact that we are only ten days away from the trial, I think it is essential that I do so.</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 approach the matter with some diffidence because I am essentially going to be distinguishing a decision of one of the judges of this court on extremely narrow grounds. Nevertheless, I think the case can, and indeed should, be distinguished. I am going to have to pick my words carefully giving an oral decision from the bench without even having taken time to put my notes in order, but in the circumstances I do think that is necessary.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 am not going to review the background in any great detail at all, except to note that the application is by a plaintiff in personal injury litigation for production of several sets of documents from each of the defendants, which have already been exchanged between the separately represented defendants. The defendants pleaded privilege for all of these documents, which are basically either witness statements or reports done by independent insurance adjusters in the very early days following the reporting of the claim to the defendants' common insurer.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 am satisfied for the purposes of these reasons that a privilege did exist, although if I were to be giving written reasons, I would want to go into a lot more detail about the test as to whether or not all of the other reasonably predictable purposes of obtaining the statements and reports had been eliminated. I think there remains some considerable doubt about that, both in the number of other possible purposes and in the way the matter has been dealt with in the affidavit material. But on the whole I think that probably the dominant purpose has been established, given the decision of Mr. Justice Burnyeat which seems to take out of the equation as a factor to be eliminated the purpose of defending other third party liability actions by persons other than the particular plaintiff.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Essentially, given that finding, or presumptive finding at least, on privilege, then the question really comes down to whether or not the privilege has been waived.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It is the decision cited by the defendants on that point that I think is necessary and appropriate to distinguish. That is the decision of this court in Wade v. Ray, reported at </w:t>
      </w:r>
      <w:hyperlink r:id="rId804" w:history="1">
        <w:r>
          <w:rPr>
            <w:rFonts w:ascii="arial" w:eastAsia="arial" w:hAnsi="arial" w:cs="arial"/>
            <w:i/>
            <w:color w:val="0077CC"/>
            <w:sz w:val="20"/>
            <w:u w:val="single"/>
            <w:shd w:val="clear" w:color="auto" w:fill="FFFFFF"/>
            <w:lang w:val="en-US" w:eastAsia="en-US" w:bidi="ar-SA"/>
          </w:rPr>
          <w:t>[1997] B.C.J. No. 2877</w:t>
        </w:r>
      </w:hyperlink>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facts of that case are very close on point to the facts before me. Basically, there was a plaintiff and two defendants. One of the defendants was the driver of the vehicle in which the plaintiff had been a passenger. The other was the driver of the vehicle which collided with 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common insurer arranged that each of the separate counsel for the two defendants should see all of the reports and statements that had been generated to that date. The plaintiff in the Wade case, as here, applied to see the documents, and the court refused the production. The issue is one of a common interest between the defendants.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court concluded that disclosure by one defendant to another defendant would normally amount to a waiver of privilege, but held that if there were a commonality of interest between the two defendants, then that is not disclosure to a third party which is deemed to waive the privilege, and went on to find that on the facts of that case there was a common interest between the defendants to the point that the privilege had not been waived.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The facts of this case are almost identical. There is a slight difference in that there is, in both cases, a question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relating to the failure to wear a seat belt, but in the Wade v. Ray case, the underlying facts, I believe, were probably in dispute, that is whether or not the plaintiff there was, indeed, wearing a seat belt. A similar defence has been raised here, but it is not quite identical, in that the plaintiff was actually lying in a bed in the back of a travel van at the time of the accident. Here there is no dispute about the facts. The plaintiff has conceded all along that she was not wearing a seat belt, so the only issues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here are the legal consequences, and the factual consequences perhaps of the way her body moved about in the impact, rather than a factual dispute, as in the Wade case, as to whether or not she was wearing a seat belt in the first place. I am not sure that that is a particularly significant distinction.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But the difficulty that I have with applying the Wade case here is that it would seem to me that there must be some connection between the type of documents where the privilege is claimed and the commonality of interest. In other words, if the reports deal with a situation which is entirely extraneous to the areas where there is the commonality of interest, it seems to me that the waiver would apply. Any connection between the common interest and the documents is not apparent in the Wade v. Ray decision, and, in fact, given the description of the circumstances of that case compared to this one before me, there is precious little room to distinguish the facts at all.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the final analysis, however, I refer very particularly to paragraph 21 of the Wade decision where the court states: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Given the commonality of some of the pleadings of the defendants, I have concluded that they do have a common interest in the litigation and that consequently their privilege over the contested documents was not waived when they exchanged them with each other.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 factor that I find to be important in that passage is the reference to the pleadings. The pleadings are not quoted in Wade v. Ray. When I examined the pleadings in this case it seemed to me that there is relatively little in common in the pleadings of the defendants.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There is, to some extent, the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defence that I have referred to. They both have pleaded sections 52 and 54 of the Insurance (Motor Vehicle) Act, and section 25, which pleads the release from liability to the extent that accident benefits have been paid. Sections 52 and 54 basically refer to limits on loss of income, and it is quite clear, in my view, that the only common issue, other than these pleadings on the calculation of damages, is the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issue.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Even that is not entirely a common issue, in that the defendant Fischer, the driver of the vehicle that hit the one in which the plaintiff was a passenger, is also pleading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other defendant Beauregard, the driver of the plaintiff's vehicle, arguing that he, too, was contributorily negligent in failing to ensure that the plaintiff was wearing a seat belt or was sitting in a seat rather than the back at the time of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It is clear, therefore, that even on the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issue, there are some fairly significant areas where there is a significant difference in the position to be taken by the two defendants, in that what was or was not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plaintiff may very well be relevant to the liability of Beauregard on this failure to warn issue.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In percentage terms I am, obviously, not in a position to give precise percentages, but the degree that the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issue bears to all of the defences put forward by both of these defendants, is, in my view, small enough that it is not possible to say that there is an overall commonality of interest between these defendants. The only common area to which these adjusters' reports could possibly relate is the seat-belt defence.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documents, as I have indicated, are reports of accident investigators or adjusters and statements taken from eye witnesses to the accident. Given the fact that the plaintiff is not asserting that she was wearing some sort of restraining device, there is really nothing, on the face of it, that the witness statements would have to say about that; nothing on the face of it why the adjusters would have to investigate that issue at all.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the circumstances, I can only conclude that their reports and the witness statements dealt with other issues, principally liability as between the two defendants, each of whom is asserting that the other ran through a red light.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those circumstances, I think that it is appropriate and necessary to distinguish the decision in Wade v. Ray on the basis that the documents in question do not relate to an issue where there is real commonality of interest on the pleadings, as they stand in the present case, whereas the court was able to conclude on the pleadings in the Wade case there were those common issues.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 do not have the pleadings in the Wade v. Ray case to compare to the ones here, so to some extent I am operating in the dark. I realize, of course, and I am not trying to be disingenuous, that in many ways this decision is completely contrary to the decision of Wade v. Ray, but I think in the circumstances, given the facts of this case, as I have outlined them, and the doubt that remains about the precise form of the pleadings in Wade v. Ray, it is open to this court to distinguish the previous decision of the court.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Accordingly, I rule that even if the documents were privileged, the privilege was waived by disclosure to co-defendants who had no common interest in the issues dealt with by the documents.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One final comment - I note that the insurance adjuster in charge of the file indicates that he never intended to waive the privilege. I have no doubt that that is correct. But that is not the test. His intention is basically irrelevant. It is a more objective test of whether or not the privilege has been waived.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the result, there will be an order that all of the impugned documents be disclosed forthwith.</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COUNSEL: We ask that enough time be given to appeal before you order that these documents are to be produced. I know the trial is coming up and everything is --</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COURT: Yes, that is reasonable. How much time do you think you would need?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COUNSEL: One week, Your Honour.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COUNSEL: If we could have a one-week stay, we will seek and I have no doubt that we will take instructions to appeal.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COURT: I am not surprised at all given the reasons that I had to give. But I am just wondering about a week given the fact that the trial is only ten days away. What do you say about that, Mr. Mussio?</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MUSSIO: I'll agree to the stay of a week but no longer than that.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COURT: All right. That simplifies things. A stay for a week then pending a decision by the defendants on whether or not to appeal.</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(SUBMISSIONS ON FURTHER MOTION)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COURT: On the last point, I am satisfied that it is necessary to order the production of the current address of Rob Owen and his address at the time of the accident. Counsel for the other defendants may be entirely correct that his evidence is not relevant but that cannot be determined at this time. That is really something for the trial judge to determine. At the moment it is possible that, depending on which way the facts go, his evidence may be somewhat useful to the applicant. No one has actually spoken to him and there is some doubt about the relevance that can be challenged before the trial judge, but in the circumstances at the moment I am satisfied that it is necessary.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So there will be an order against the defendant Beauregard in the terms of paragraph 2(b) and (c) of the defendant Fischer's notice of motion.</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(FURTHER SUBMISSIONS)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COURT: In the circumstances, the plaintiff has done all that she reasonably can. She sent on this request. The issue really is with Great West Life, and you are all going to have to bring an application directed against them if you think there are more documents lying out there in the woods.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So that application directly against the plaintiff, that is paragraph 1(d) is dismissed.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(SUBMISSIONS ON COSTS)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COURT: One set of costs to the plaintiff. Costs to the defendant Fischer against the defendant Beauregard of preparing for the motion but not speaking to it since this has not taken up a significant time in comparison to the whole.</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MASTER BOLTON</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7" style="position:absolute;z-index:25180160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05"/>
          <w:headerReference w:type="default" r:id="rId806"/>
          <w:footerReference w:type="even" r:id="rId807"/>
          <w:footerReference w:type="default" r:id="rId808"/>
          <w:headerReference w:type="first" r:id="rId809"/>
          <w:footerReference w:type="first" r:id="rId81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11" w:history="1">
        <w:r>
          <w:rPr>
            <w:rFonts w:ascii="arial" w:eastAsia="arial" w:hAnsi="arial" w:cs="arial"/>
            <w:b/>
            <w:bCs/>
            <w:i/>
            <w:color w:val="0077CC"/>
            <w:kern w:val="32"/>
            <w:sz w:val="28"/>
            <w:szCs w:val="32"/>
            <w:u w:val="single"/>
            <w:shd w:val="clear" w:color="auto" w:fill="FFFFFF"/>
            <w:lang w:val="en-US" w:eastAsia="en-US" w:bidi="ar-SA"/>
          </w:rPr>
          <w:t>Mayer v. Mayer, [2018] B.C.J. No. 10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J.C. Grauer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19-23, 26-30, October</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3-7, 11-14, 17-21, 24-28, 31,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November 1-4, 7-18, 21-25, 28-30, December</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1-2, 2016; January 13, 16-20,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February 9-10, March 9-10, 13-17, 20,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4,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S073324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[2018] B.C.J. No. 10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2018 BCSC 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Mhinder Singh Mayer, Mid-Isle Holdings Ltd. and D &amp; A Crushing Ltd., Plaintiffs, and Bhora Singh Mayer, Marc Furnemont, Osborne Contracting Ltd., Osborne Industries Ltd., Holman Transport Ltd., Mayer Truck &amp; Equipment Ltd., Gulf Coast Materials Ltd., Timberland Investment Ltd., Gina Mayer,Rita Webb, Richard Ravinder Mayer, Archer Holdings Ltd. (Incorporation No. BC0812178), Custom Pumping Ltd., R &amp; G Equipment Ltd., formerly known as R. &amp; G. Equipment Rentals Ltd., and R. and G. Equipment Rentals Ltd., Aqua Pod Ltd., Island Aggregates Ltd., Mack Sales &amp; Service of Nanaimo Ltd., Bastion Management Ltd., New Concrete Concepts Ltd., and Front Street Projects Ltd., Defendants, and Kelly Ann Mayer, D &amp; A Crushing Ltd., Mid-Isle Holdings Ltd., Chemainus Ventures Ltd., Island Structures Ltd., and C.A.R. Aviation Ltd., Defendants by Counterclaim</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(841 paras.)</w:t>
      </w:r>
    </w:p>
    <w:p>
      <w:pPr>
        <w:jc w:val="both"/>
        <w:rPr>
          <w:rFonts w:ascii="arial" w:eastAsia="arial" w:hAnsi="arial" w:cs="arial"/>
          <w:sz w:val="20"/>
          <w:lang w:val="en-US" w:eastAsia="en-US" w:bidi="ar-SA"/>
        </w:rPr>
      </w:pPr>
      <w:bookmarkStart w:id="211" w:name="Counsel_40"/>
      <w:bookmarkEnd w:id="21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98" style="position:absolute;z-index:2517002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and Defendants by Counterclaim: Geoffrey B. Gomery, Q.C., Peter R. Senkpiel.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Bhora Singh Mayer: Marc C. Canofari.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Marc Furnemont, Gina Mayer, Rita Webb, Richard Ravinder Mayer, Archer Holdings Ltd., Custom Pumping Ltd., R &amp; G Equipment Ltd., R &amp; G Equipment Rentals Ltd., Aqua Pod Flotations Ltd., Island Aggregates Ltd., Mack Sales &amp; Service of Nanaimo Ltd., Bastion Management Ltd., New Concrete Concepts Ltd., and Front Street Projects Ltd. R. Barry Fraser, Martin W. Bühler.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12" w:name="Judgment_40"/>
      <w:bookmarkEnd w:id="212"/>
      <w:r>
        <w:pict>
          <v:line id="_x0000_s1199" style="position:absolute;z-index:25175142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 THE MAYER FAMILY AND THE BROTHERS' TRUST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2.1 Origins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2.2 The terms of the brothers'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 LITIGATION OVER THE BROTHERS' TRUST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3.1 The first lawsuit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3.2 The second and third lawsuits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3.3 The fourth and fifth lawsuits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3.4 The sixth through twenty-third lawsuits and beyond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3.5 Winding up the trust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3.6 A final skirmish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 THE NEW FAMILY TRUST CLAIMS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5.1 Overview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5.2 The litigation context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5.3 Legal Principles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5.4 A change in focus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5.5 The family's approach to money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5.6 The Family Companies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5.6.1 Nanaimo Concrete Ltd. and the genesis of Arrowsmith Concrete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5.6.2 Bastion Management Ltd.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5.6.3 Mack Sales &amp; Service (Nanaimo) Ltd.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5.6.4 New Concrete Concept Inc.</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5.6.5 Custom Pumping Ltd.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5.6.6 Malo Holdings Ltd.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5.6.7 Wee Tree Lumber Co. Ltd. and Archer Holdings Ltd.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5.6.8 Richard's and Rita's properties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5.6.9 The Lehigh sale and the $900,000 promissory note claim</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5.6.10 After Lehigh, still working together</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5.6.10.1 The Nanaimo waterfront project (Front Street Projects)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5.6.10.2 NCC and Island Aggregates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5.7 An express new family trust?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5.8 Conclusion on Mhinder's trust claims against Richard and Rita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 THE DISPUTED TRUST COMPANIES CLAIM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6.1 Overview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6.2 C.A.R. Aviation and Island Structures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6.3 Mid-Isle Holdings (Arrowsmith Concrete)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6.4 Chemainus Ventures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6.5 Conclusion re the DTCs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 THE EQUALITY CLAIM TO 2007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7.1 Overview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7.2 The equalization of draws claim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7.3 The Gina rents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 THE CLAIMS RELATING TO D &amp; A CRUSHING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8.1 Overview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8.2 Pre-history: Spruston Aggregates Ltd.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8.3 The Allarie years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8.3.1 Furnemont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8.3.2 Bhora</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8.3.3 Richard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8.3.4 Allarie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8.4 The Kelly years through 2006</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8.4.1 Kelly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8.4.2 Furnemont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8.5 The events of 2007</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8.5.1 Overview</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8.5.2 January and February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8.5.3 March and April</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8.5.3.1 Problems with D &amp; A</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8.5.3.2 The $300,000 Loan - Mhinder's change in attitude</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8.5.3.3 The inventory issue</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8.5.3.4 The D &amp; A invoice</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8.5.3.5 Moves at the Spruston Pit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8.5.3.6 Bhora files caveats and Mhinder enquires about rents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8.5.3.7 The meeting of April 19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8.6 All right, so who owns D &amp; 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8.7 D &amp; A's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 THE TRUST PROPERTIES CLAIM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9.1 Overview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9.2 "Mhinder Mayer's Personal Properties"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9.3 "Additional Mhinder Trust Properties" and Northfield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 THE ACCREDIT MORTGAGE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 THE CLAIM AGAINST MARC FURNEMONT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 GULF COAST MATERIALS AND THE OPPRESSION CLAIM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12.1 Overview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12.2 The oppression remedy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12.3 Personnel matters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12.3.1 Mr. Grundy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12.3.2 Mr. Helgesen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12.3.3 D and Mr. Bestwick</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12.3.4 Ms. Thompson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12.4 The pump trucks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12.5 Bhora's takeover of GCM's management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12.6 Whether Mhinder left the brothers' trust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12.7 Bhora's dealings with family companies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12.7.1 Trust property, knowing receipt, and the rule in </w:t>
      </w:r>
      <w:r>
        <w:rPr>
          <w:rFonts w:ascii="arial" w:eastAsia="arial" w:hAnsi="arial" w:cs="arial"/>
          <w:i/>
          <w:color w:val="000000"/>
          <w:sz w:val="20"/>
          <w:lang w:val="en-US" w:eastAsia="en-US" w:bidi="ar-SA"/>
        </w:rPr>
        <w:t>Foss v Harbottle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12.7.2 Canac Kitchens loan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12.7.3 OCL loans to Bastion and NCC, and the 2009 postponement agreements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12.7.4 Salary paid by GCM to Rita from 2001 through 2006</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12.7.5 Rental of extra office space at 265 Fry Street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12.7.6 OCL's $300,000 loan to Island Aggregates in March 2007</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12.7.7 GCM's purchase of a pump truck from Custom in October 2007</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12.7.8 Loss of profit at GCM through Bhora's dealings with family companies.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12.7.9 Credit arrangements and interest rates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12.7.10 Unequal Expense Allowances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12.7.11 The Schnitzer Steel Claim</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12.7.12 The General Security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 MISCELLANEOUS CLAIMS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13.1 Cheque Claims against Richard and Rita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13.2 Claims against Gina</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13.2.1 The Rents Claim</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13.2.2 The Gabriola Property Claim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13.3 Claims of Mid-Isle Holdings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13.3.1 The Garco Building Claim</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13.3.2 The Converted Containers Claim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13.4 Claim of Island Aggregates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13.5 Claim of R &amp; 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13.6 Abuse of Process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 CONCLUSION AND 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SCHEDULE OF CORPORATE PARTIES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5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13" w:name="J.C. GRAUER J."/>
            <w:bookmarkEnd w:id="213"/>
            <w:r>
              <w:rPr>
                <w:rFonts w:ascii="arial" w:eastAsia="arial" w:hAnsi="arial" w:cs="arial"/>
                <w:b/>
                <w:color w:val="000000"/>
                <w:sz w:val="30"/>
                <w:lang w:val="en-US" w:eastAsia="en-US" w:bidi="ar-SA"/>
              </w:rPr>
              <w:t>J.C. GRAUER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At the heart of this dispute is a battle between two brothers over the assets of a family trust (the "brothers' trust") of which they are the last two surviving members. They are co-trustees and co-beneficiaries of the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In the beginning there were five brothers in the trust, the sons of Bal Singh Mayer. In birth order, they were Bhagwan, Bhora, Welbier, Mhinder and Bhim. Together, they owned properties and operated businesses on Vancouver Island, principally in the areas of trucking, construction, and gravel and concrete production and sales.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two remaining brothers are the plaintiff Mhinder Mayer (70) and the defendant Bhora Mayer (74). Each brother has commenced action as plaintiff against the other as defendant. Their claims have been consolidated into the present proceeding, in which the bulk of the claims are advanced by Mhinder Mayer. The number of other parties to this litigation indicates the extent of the fallout from their fight.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Among those other parties are members of Bhora Mayer's family: his wife, Gina Mayer, his son, Richard Mayer, and his daughter, Rita Webb, together with companies individually owned by them (the "family companies").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brothers' dispute has spawned many claims. The principal questions that arise in relation to the brothers' trust are fourfold. The first is whether, by its terms, it entitles the brothers to equal benefit. If so, Mhinder claims that he is owed a significant sum of money by Bhora. The second is whether Mhinder has left the trust; if so, Bhora says that Mhinder's claim upon its assets is severely limited by the trust's terms.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third is whether Bhora managed a group of companies acknowledged to be assets of the brothers' trust (the "identified trust companies" or "ITCs", particularly Gulf Coast Materials Ltd, or "GCM") oppressively and in a manner inconsistent with his duty to Mhinder as co-beneficiary. This question relates specifically to whether Bhora, as manager of GCM, dealt with the family companies on uncommercial terms, to the benefit of the members of Bhora's family and the detriment of Mhinder and GCM.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fourth is whether a set of corporate parties legally owned by Mhinder, called the "disputed trust companies" or "DTCs", and properties registered in Mhinder's name, are in fact assets of the brothers' trust like the ITCs, as asserted by Bhora.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Other issues related to the brothers' trust include whether Bhora and Gina must account to Mhinder for rents Gina collected on trust properties and other properties, but which were deposited solely to her and Bhora's credit (the "Gina rents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Within the family but outside the brothers' trust arise issues concerning the family companies and the plaintiff/defendant by counterclaim D &amp; A Crushing Ltd ("D &amp; A"). It is acknowledged that these companies are </w:t>
      </w:r>
      <w:r>
        <w:rPr>
          <w:rFonts w:ascii="arial" w:eastAsia="arial" w:hAnsi="arial" w:cs="arial"/>
          <w:i/>
          <w:color w:val="000000"/>
          <w:sz w:val="20"/>
          <w:lang w:val="en-US" w:eastAsia="en-US" w:bidi="ar-SA"/>
        </w:rPr>
        <w:t>not</w:t>
      </w:r>
      <w:r>
        <w:rPr>
          <w:rFonts w:ascii="arial" w:eastAsia="arial" w:hAnsi="arial" w:cs="arial"/>
          <w:color w:val="000000"/>
          <w:sz w:val="20"/>
          <w:lang w:val="en-US" w:eastAsia="en-US" w:bidi="ar-SA"/>
        </w:rPr>
        <w:t xml:space="preserve"> assets of the brothers' trust. Mhinder asserts, however, that Bhora's children, Richard Mayer and Rita Webb, hold their respective companies, the family companies, in trust for him and Bhora pursuant to a separate express trust or a constructive trust (the "new family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This is an issue of major importance in this litigation. Most of the money that is left is in these family companies. The claim of an express trust is based on documents signed by Richard and Rita at Bhora's request on December 24, 2001 (the "acknowledgements of trust"), by which they purported to acknowledge that they held their respective properties and companies in trust for Mhinder and Bhora. The circumstances under which these documents came to be executed do not readily surrender to rational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Turning to D &amp; A, its shares are registered in the name of the defendant by counterclaim Kelly Ann Mayer, who is the wife of Mhinder Mayer. Richard, supported by Bhora, asserts beneficial ownership by way of either an intentional trust or a substantive constructive trust. Mhinder says that he and Bhora are the beneficial owners pursuant to an acknowledgement of trust executed by Kelly in January 2002 under circumstances similar to those under which Richard and Rita executed their acknowledgements of trust. In addition, D &amp; A advances a claim for equipment it says was wrongfully converted -- unless, of course, the party who allegedly converted the equipment turns out to be the beneficial owner of D &amp; A, or turns out to be beneficially owned by the beneficial owner of D &amp; A. All outcomes are plausible. This is not a simple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For ease of reference, I have attached a Schedule of the groups of corporate parties that sets out how they relate to members of the Mayer family and fit into the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 refer to all members of the Mayer family by their first names to reduce confusion; I mean no disrespect by doing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The remaining individual party, Marc Furnemont, was the controller, accountant, and major-domo of the businesses operated by the Mayer family from September 1984, when he was hired by Bhagwan, to September 2007, when the family infighting made his position untenable. He played a pivotal role in these matters. Mhinder claims against him for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The various claims, then, are based on the terms of the brothers' trust, on other trusts allegedly arising intentionally or pursuant to either remedial or substantive constructive trusts, on other equitable principles including knowing assistance in a breach of trust and knowing receipt of trust property, on the statutory remedy of oppression, and on common-law principles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contract and conversion. No stone is left unturned or uncast.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 THE MAYER FAMILY AND THE BROTHERS'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2.1 </w:t>
      </w:r>
      <w:r>
        <w:rPr>
          <w:rFonts w:ascii="arial" w:eastAsia="arial" w:hAnsi="arial" w:cs="arial"/>
          <w:b/>
          <w:color w:val="000000"/>
          <w:sz w:val="20"/>
          <w:u w:val="single"/>
          <w:lang w:val="en-US" w:eastAsia="en-US" w:bidi="ar-SA"/>
        </w:rPr>
        <w:t>Origins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their Agreed Statement of Facts, the parties agree that Bhora and Mhinder and their three brothers were parties to the brothers' trust, which is evidenced by three written agreements bearing the dates of March 20, 1966 (the "1966 Agreement"), January 12, 1978 (the "1978 Agreement") and February 8, 1984 (the "1984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As indicated, the other brothers are no longer members of the brothers' trust. Welbier died in 1985. His death, and the departures from the trust of the eldest, Bhagwan, and the youngest, Bhim, all gave rise to litigation, as we shall see.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this regard I sound a cautionary note: the only brothers who participated in the trial before me were Bhora and Mhinder. Consequently, all the evidence concerning Bhagwan, Welbier and Bhim, apart from court documents, came solely through the respective lenses of Bhora and Mhinder, and may therefore be subject to distortion for reasons I discuss below in section 4.0.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five brothers (there were also two sisters, but they had no involvement in the trust) grew up in and around Crofton and Duncan, BC. Their father, Bal, began with an operation in Crofton that consisted of one truck from which he sold wood. Through hard work and successful entrepreneurship, the business expanded in anticipation of the construction of the Crofton Pulp Mill. Bal acquired a lot on which he developed a gas station with a little grocery store and a bank. The family lived in the basement. He acquired more trucks to haul gravel during the pulp mill construction, and Bhagwan and Bhora assisted in the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Through the '50s and into the '60s, the family continued to work at various projects in and around Crofton. When demand for the trucks dried up, Bal and the boys worked in the mill. Then in about 1965, Bhagwan and Bhora secured a contract to haul gravel and supply materials for the construction of a new pipeline, and set up Mayer Brothers Contracting.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Not long after that, Bal, who had had some family businesses in India, encouraged the brothers to form what became the brothers' trust, an agreement by which they would all work together for their common good, holding properties and businesses in trust for the five of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According to Bhora, Bal transferred properties of his own into the names of Bhagwan and Bhora without consideration, and the brothers proceeded to develop and incorporate a number of businesses over the ensuing years, all centred around trucking, equipment repair and gravel and ready-mix concrete production. These included the ITCs: Osborne Contracting Ltd ("OCL"; Crofton is located on Osborne Bay, hence the name), Osborne Industries Ltd, Holman Transport Ltd, Mayer Truck &amp; Equipment Ltd, Gulf Coast Materials Ltd and Timberland Investments Ltd.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foundational trust document is the 1966 Agreement. Although it is dated March 20, 1966, and is signed by all five brothers, there is a disagreement about when it was signed. Three of the brothers, Welbier, Mhinder and Bhim, would have been minors at that time. The only copy that survives is one that was appended to the 1978 Agreement, and is headed "Schedule 'A' to the Mayer Brothers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That 1978 Agreement begins with the following three recitals:</w:t>
      </w:r>
      <w:r>
        <w:rPr>
          <w:rFonts w:ascii="arial" w:eastAsia="arial" w:hAnsi="arial" w:cs="arial"/>
          <w:sz w:val="20"/>
          <w:lang w:val="en-US" w:eastAsia="en-US" w:bidi="ar-SA"/>
        </w:rPr>
        <w:cr/>
      </w:r>
    </w:p>
    <w:p>
      <w:pPr>
        <w:numPr>
          <w:numId w:val="1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Brothers entered into a Trust Agreement dated the 20th day of March, 1966, a true copy of which is attached hereto as Schedule "A" to this Agreement, to permit them to carry on business and own properties together even though three of them were not then of full legal age;</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pursuance of the Trust Agreement the Brothers have acquired many properties and carry on business through various companies and in many cases the formal registration of title or ownership of properties and shares have been placed in the names of one or some of the Brothers as a matter of convenience rather than in the names of all;</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Bhagwan is being divorced by his wife and the Brothers do not wish to have any of the property subject to any unnecessary restraints for limitations and in particular, do not want Bhagwan's wife to have any power to frustrate or delay any sale, mortgaging or development of real property beneficially owned by the Brothers pursuant to the Trust Agreement;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thrust of the 1978 Agreement is to confirm that the 1966 Agreement remains binding on the brothers, and to effect the transfer from Bhagwan to Welbier and Mhinder of a number of properties and interests in property registered in Bhagwan's name, to be held in trust for all the brothers "as Bhagwan is now doing".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According to Mhinder, the 1966 Agreement was not executed in 1966, but rather was prepared much closer to 1978 in the context of Bhagwan's marital difficulties. Bhora maintains that it was executed as stated in 1966, notwithstanding that Welbier, Mhinder and Bhim were minors.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these circumstances, one might well wonder whether the entire arrangement was a sham designed to protect assets from Bhagwan's soon to be ex-wife. If so, it was a poorly concealed one. But the date of execution is not a question I have to resolve, nor does any party dispute the validity and binding nature of the trust documents. What is clear, and I find, is that the brothers all conducted themselves as if bound by the arrangement not only after 1978 but well before, and as noted, it is an agreed fact that the terms of the trust are those set out in the 1966 Agreement as modified by the subsequent agreements. This nevertheless foreshadows the evidentiary difficulties that are to come concerning the business relationships among members of the Mayer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 turn, then, to the terms of the brothers'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2.2 </w:t>
      </w:r>
      <w:r>
        <w:rPr>
          <w:rFonts w:ascii="arial" w:eastAsia="arial" w:hAnsi="arial" w:cs="arial"/>
          <w:b/>
          <w:color w:val="000000"/>
          <w:sz w:val="20"/>
          <w:u w:val="single"/>
          <w:lang w:val="en-US" w:eastAsia="en-US" w:bidi="ar-SA"/>
        </w:rPr>
        <w:t>The terms of the brothers'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 set out the terms of the 1966 Agreement in their entirety: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TRUST AGREEMENT SHALL ENURE FROM THIS DAY FORTH BETWEEN AND TO THE MUTUAL AND EQUAL BENEFIT OF THE UNDERSIGNED FIVE BROTHERS: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Bhagwan Mayer</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Bhora Mayer</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Welbier Mayer</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Mhinder Mayer</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Bhim Mayer</w:t>
      </w:r>
      <w:r>
        <w:rPr>
          <w:rFonts w:ascii="arial" w:eastAsia="arial" w:hAnsi="arial" w:cs="arial"/>
          <w:sz w:val="20"/>
          <w:lang w:val="en-US" w:eastAsia="en-US" w:bidi="ar-SA"/>
        </w:rPr>
        <w:cr/>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Mayer Brothers Contracting Ltd was incorporated in 1965, with directors being Bhagwan Mayer and Bhora Mayer, and shareholders being Bhagwan Mayer and Bhora Mayer. The interests of Welbier, Mhinder and Bhim Mayer are held by Bhagwan and Bhora in trust, until such time as a) the brothers are of age to become signatory and b) the brothers have joined the business on a full time basis.</w:t>
      </w:r>
    </w:p>
    <w:p>
      <w:pPr>
        <w:numPr>
          <w:numId w:val="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ALL ventures engaged in shall be owned equally by all five brothers until such time as this agreement is altered or cancelled.</w:t>
      </w:r>
    </w:p>
    <w:p>
      <w:pPr>
        <w:numPr>
          <w:numId w:val="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ANY PROPERTY OR PROPERTIES (except personal homes) held by any one or more of the brothers, shall be considered held in trust as being equally owned by all five brothers.</w:t>
      </w:r>
    </w:p>
    <w:p>
      <w:pPr>
        <w:numPr>
          <w:numId w:val="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AGREED that the financial needs of the brothers will vary and therefore it is agreed that equalization of drawings shall not be considered until such time as mutually agreed upon. [</w:t>
      </w:r>
      <w:r>
        <w:rPr>
          <w:rFonts w:ascii="arial" w:eastAsia="arial" w:hAnsi="arial" w:cs="arial"/>
          <w:i/>
          <w:color w:val="000000"/>
          <w:sz w:val="20"/>
          <w:lang w:val="en-US" w:eastAsia="en-US" w:bidi="ar-SA"/>
        </w:rPr>
        <w:t>This clause was deleted by the 1984 Agreement</w:t>
      </w:r>
      <w:r>
        <w:rPr>
          <w:rFonts w:ascii="arial" w:eastAsia="arial" w:hAnsi="arial" w:cs="arial"/>
          <w:color w:val="000000"/>
          <w:sz w:val="20"/>
          <w:lang w:val="en-US" w:eastAsia="en-US" w:bidi="ar-SA"/>
        </w:rPr>
        <w:t>.]</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shall be no question of position or effort as each agrees to do his part towards equal benefit.</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any venture, acquisition of business or property is engaged in by any one of the brothers for his personal benefit, he must clearly define this and obtain release of this trust for the purpose of his venture.</w:t>
      </w:r>
    </w:p>
    <w:p>
      <w:pPr>
        <w:numPr>
          <w:numId w:val="1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A BROTHER WISHES TO LEAVE THE TRUST he must sell and transfer his position, shares and properties to the other brothers at the original value, and/or purchase price. Payment of this and any inequity of personal drawings may be made by the other brothers over a five-year period. [</w:t>
      </w:r>
      <w:r>
        <w:rPr>
          <w:rFonts w:ascii="arial" w:eastAsia="arial" w:hAnsi="arial" w:cs="arial"/>
          <w:i/>
          <w:color w:val="000000"/>
          <w:sz w:val="20"/>
          <w:lang w:val="en-US" w:eastAsia="en-US" w:bidi="ar-SA"/>
        </w:rPr>
        <w:t>This clause was deleted and replaced by the 1984 Agreement</w:t>
      </w:r>
      <w:r>
        <w:rPr>
          <w:rFonts w:ascii="arial" w:eastAsia="arial" w:hAnsi="arial" w:cs="arial"/>
          <w:color w:val="000000"/>
          <w:sz w:val="20"/>
          <w:lang w:val="en-US" w:eastAsia="en-US" w:bidi="ar-SA"/>
        </w:rPr>
        <w:t>.]</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THIS AGREEMENT can not be assigned to anyone, and shall be binding on heirs.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Particularly contentious are: the meaning of clause 4 and the effect of deleting it on Mhinder's assertion of entitlement to equality; the application of clause 6 to Bhora's claim that the DTCs and properties registered solely in the name of Mhinder are in fact assets of the brothers' trust; and the consequences of clause 7 and its successor clause.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As we shall see, clause 7 was subsequently replaced, but its effect on the rights of a brother who "wishes to leave the trust" remained essentially the same: his claim against the assets would be limited to his proportionate share of their original value net of encumbrances, not their value at the time of leaving.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Bhora explained how this concept was one championed by their father as a way to keep the family together. But that is not the effect it has had. One brother after the other has left, with litigation the invariable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first lawsuit was commenced in 1986 on behalf of the daughter and heir of Welbier, who had died in September 1985. She was met by the 1984 Agreement's replacement of clause 7 in the 1966 Agreement. The original clause 7 dealt with what happened when a brother wished to leave the trust, but neither the 1966 nor 1978 Agreements made any provision for what was to happen upon the death of a brother. This was rectified in the 1984 Agreement, which on its face was executed by all five brothers on February 8, 1984.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1984 Agreement, drafted without the benefit of legal advice, provided in clause 1 that "Clause 4 of the Trust Agreement of March 20th, 1966 be removed in its entirety". It went on to say this in clause 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further agreed that Clause 7, of the March 20th, 1966 Trust Agreement, be removed in its entirety and replaced by the following clause: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IF A BROTHER WISHES TO LEAVE THE TRUST he must sell and transfer his shares to the Brothers' Companies and his interest in all the properties to the other Brothers at the original value and/or his share of the purchase price. UPON THE DEATH OF ANY OF THE BROTHERS, the shares held by him in the Brothers' Companies shall be transferred forthwith to the surviving Brothers to this Trust. The total monetary consideration shall be the original value of the shares at the time of incorporation of the Companies. If, however, this clause be nullified due to ambiguity or illegality, then, as a second option the transfer of the shares shall be at their fair market value. FURTHER, upon the death of any of the brothers, his interest in the properties acquired to date and any properties acquired after the date of this Agreement, shall be transferred forthwith to the surviving Brothers to this Trust. The monetary consideration shall be the total of that Brother's interest times the purchase price or fair market value of the properties less his share of the total encumbrances thereon.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This rather bewildering clause would appear to be an open invitation to litigation, and that is indeed what happened.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Once again, there was a divergence in the evidence about the execution of this agreement. According to Bhora, it was executed in 1984 on the date stated. He testified that it was Welbier who had brought up the need for a revision. Welbier had gone through a bitter divorce, and his lawyer presciently pointed out that the existing agreement lacked any provision concerning what would happen on a brother's death.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According to evidence Mhinder gave under cross-examination, this agreement was in fact executed after Welbier's death in 1985 and backdated, which would of course mean that Welbier's signature was forged. Mhinder's evidence in chief did not suggest this; there, he said that Bhagwan had summoned him to Duncan to sign the 1984 Agreement because there needed to be a change "in case someone dies".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Was this, then, another sham transaction? As between Bhora and Mhinder, that is not an issue I need to resolve. Neither suggests that the 1984 Agreement is not binding, and the evidence, of which there was little and even less that was reliable, falls short of establishing that it is indeed a fraud. If it is, once again it is a most clumsily constructed 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1984 Agreement's purported provision for what would happen on the death of a brother is not relevant to the claims of Bhora and Mhinder in this litigation, and the provision for what would occur if a brother "wishes to leave the trust" essentially reiterated what was there before. The significant changes for present purposes are: (1) the deletion of clause 4 in the 1966 Agreement, which recognized that the financial needs of the brothers would vary so that equalization of drawings should not be considered "until such time as mutually agreed upon"; and (2) the deletion without replacement of the portion of clause 7 in the 1966 Agreement that provided, on a brother's withdrawal, that "payment of [his share] and any inequity of personal drawings may be made by the other brothers over a five year period". Both Mhinder and Bhora rely on their differing interpretations of these amendments in arguing for and against the proposition that they are entitled to equal benefits as beneficiaries of the brothers'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 LITIGATION OVER THE BROTHERS'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3.1 </w:t>
      </w:r>
      <w:r>
        <w:rPr>
          <w:rFonts w:ascii="arial" w:eastAsia="arial" w:hAnsi="arial" w:cs="arial"/>
          <w:b/>
          <w:color w:val="000000"/>
          <w:sz w:val="20"/>
          <w:u w:val="single"/>
          <w:lang w:val="en-US" w:eastAsia="en-US" w:bidi="ar-SA"/>
        </w:rPr>
        <w:t>The first lawsuit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Few private arrangements have generated as much litigation as the brothers' trust. As we have seen, the first lawsuit was commenced by Welbier's daughter in 1986, in the face of the surviving brothers' position that Welbier's estate was entitled only to a 1/5 share of the original value of the shares in the trust's companies, and of the original purchase price of the trust's properties, net of encumbrances. Her claim was ultimately settled in October 1989.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3.2 </w:t>
      </w:r>
      <w:r>
        <w:rPr>
          <w:rFonts w:ascii="arial" w:eastAsia="arial" w:hAnsi="arial" w:cs="arial"/>
          <w:b/>
          <w:color w:val="000000"/>
          <w:sz w:val="20"/>
          <w:u w:val="single"/>
          <w:lang w:val="en-US" w:eastAsia="en-US" w:bidi="ar-SA"/>
        </w:rPr>
        <w:t>The second and third lawsuits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These actions were commenced by Bhim in 1987 and 1989.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According to Bhora, Bhim had been running the family's Brownsey Block operation and had run into difficulties. They moved him "upstairs" to Holman Transport, but Bhim was unhappy, and wanted to do his "own thing". He bought a truck and started hauling, in what the other brothers perceived was competition with Holman Transport. On December 1, 1987, Bhagwan, Bhora and Mhinder signed a letter demanding that he cease and desist that business activity and "any other activities in violation of the Trust Agreement". They took the position that he had left the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Bhim's response was to commence action, initially in relation to the property where he lived, naming only Mhinder as a defendant. When his trial commenced in June 1989, Bhim called Bhora as a witness. Gina also testified. That apparently did not go well (see </w:t>
      </w:r>
      <w:r>
        <w:rPr>
          <w:rFonts w:ascii="arial" w:eastAsia="arial" w:hAnsi="arial" w:cs="arial"/>
          <w:i/>
          <w:color w:val="000000"/>
          <w:sz w:val="20"/>
          <w:lang w:val="en-US" w:eastAsia="en-US" w:bidi="ar-SA"/>
        </w:rPr>
        <w:t>Mayer v Mayer</w:t>
      </w:r>
      <w:r>
        <w:rPr>
          <w:rFonts w:ascii="arial" w:eastAsia="arial" w:hAnsi="arial" w:cs="arial"/>
          <w:color w:val="000000"/>
          <w:sz w:val="20"/>
          <w:lang w:val="en-US" w:eastAsia="en-US" w:bidi="ar-SA"/>
        </w:rPr>
        <w:t xml:space="preserve"> </w:t>
      </w:r>
      <w:hyperlink r:id="rId812" w:history="1">
        <w:r>
          <w:rPr>
            <w:rFonts w:ascii="arial" w:eastAsia="arial" w:hAnsi="arial" w:cs="arial"/>
            <w:i/>
            <w:color w:val="0077CC"/>
            <w:sz w:val="20"/>
            <w:u w:val="single"/>
            <w:shd w:val="clear" w:color="auto" w:fill="FFFFFF"/>
            <w:lang w:val="en-US" w:eastAsia="en-US" w:bidi="ar-SA"/>
          </w:rPr>
          <w:t>(1994), 99 BCLR (2d) 166</w:t>
        </w:r>
      </w:hyperlink>
      <w:r>
        <w:rPr>
          <w:rFonts w:ascii="arial" w:eastAsia="arial" w:hAnsi="arial" w:cs="arial"/>
          <w:color w:val="000000"/>
          <w:sz w:val="20"/>
          <w:lang w:val="en-US" w:eastAsia="en-US" w:bidi="ar-SA"/>
        </w:rPr>
        <w:t xml:space="preserve"> (SC), where Bhim later alleged a conspiracy to commit perjury), and the trial was adjourned in order to allow Bhim to add Bhora and Bhagwan as defendants, and to expand his claim. It resumed in March 1991, and was purportedly settled on March 20 in circumstances under which Bhim found himself under considerable pressure. The next day, Bhim sought to withdraw from the settlement, but the trial judge considered it binding and stayed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Bhim's appeal was dismissed in March 1993 (</w:t>
      </w:r>
      <w:r>
        <w:rPr>
          <w:rFonts w:ascii="arial" w:eastAsia="arial" w:hAnsi="arial" w:cs="arial"/>
          <w:i/>
          <w:color w:val="000000"/>
          <w:sz w:val="20"/>
          <w:lang w:val="en-US" w:eastAsia="en-US" w:bidi="ar-SA"/>
        </w:rPr>
        <w:t>Mayer v Mayer Estate</w:t>
      </w:r>
      <w:r>
        <w:rPr>
          <w:rFonts w:ascii="arial" w:eastAsia="arial" w:hAnsi="arial" w:cs="arial"/>
          <w:color w:val="000000"/>
          <w:sz w:val="20"/>
          <w:lang w:val="en-US" w:eastAsia="en-US" w:bidi="ar-SA"/>
        </w:rPr>
        <w:t xml:space="preserve">, </w:t>
      </w:r>
      <w:hyperlink r:id="rId813" w:history="1">
        <w:r>
          <w:rPr>
            <w:rFonts w:ascii="arial" w:eastAsia="arial" w:hAnsi="arial" w:cs="arial"/>
            <w:i/>
            <w:color w:val="0077CC"/>
            <w:sz w:val="20"/>
            <w:u w:val="single"/>
            <w:shd w:val="clear" w:color="auto" w:fill="FFFFFF"/>
            <w:lang w:val="en-US" w:eastAsia="en-US" w:bidi="ar-SA"/>
          </w:rPr>
          <w:t>76 BCLR (2d) 330</w:t>
        </w:r>
      </w:hyperlink>
      <w:r>
        <w:rPr>
          <w:rFonts w:ascii="arial" w:eastAsia="arial" w:hAnsi="arial" w:cs="arial"/>
          <w:color w:val="000000"/>
          <w:sz w:val="20"/>
          <w:lang w:val="en-US" w:eastAsia="en-US" w:bidi="ar-SA"/>
        </w:rPr>
        <w:t>) for reasons which evidently seemed to Bhim (perhaps not surprisingly) to be a little harsh. Bhim retained new counsel and sought a rehearing. On that application, Madam Justice Southin would have ordered the rehearing, concluding that what had happened "offends my sense of justice" (</w:t>
      </w:r>
      <w:r>
        <w:rPr>
          <w:rFonts w:ascii="arial" w:eastAsia="arial" w:hAnsi="arial" w:cs="arial"/>
          <w:i/>
          <w:color w:val="000000"/>
          <w:sz w:val="20"/>
          <w:lang w:val="en-US" w:eastAsia="en-US" w:bidi="ar-SA"/>
        </w:rPr>
        <w:t>Mayer v Mayer Estate</w:t>
      </w:r>
      <w:r>
        <w:rPr>
          <w:rFonts w:ascii="arial" w:eastAsia="arial" w:hAnsi="arial" w:cs="arial"/>
          <w:color w:val="000000"/>
          <w:sz w:val="20"/>
          <w:lang w:val="en-US" w:eastAsia="en-US" w:bidi="ar-SA"/>
        </w:rPr>
        <w:t xml:space="preserve"> </w:t>
      </w:r>
      <w:hyperlink r:id="rId814" w:history="1">
        <w:r>
          <w:rPr>
            <w:rFonts w:ascii="arial" w:eastAsia="arial" w:hAnsi="arial" w:cs="arial"/>
            <w:i/>
            <w:color w:val="0077CC"/>
            <w:sz w:val="20"/>
            <w:u w:val="single"/>
            <w:shd w:val="clear" w:color="auto" w:fill="FFFFFF"/>
            <w:lang w:val="en-US" w:eastAsia="en-US" w:bidi="ar-SA"/>
          </w:rPr>
          <w:t>(1993), 83 BCLR (2d) 87</w:t>
        </w:r>
      </w:hyperlink>
      <w:r>
        <w:rPr>
          <w:rFonts w:ascii="arial" w:eastAsia="arial" w:hAnsi="arial" w:cs="arial"/>
          <w:color w:val="000000"/>
          <w:sz w:val="20"/>
          <w:lang w:val="en-US" w:eastAsia="en-US" w:bidi="ar-SA"/>
        </w:rPr>
        <w:t xml:space="preserve"> at para 38). Unfortunately for Bhim, Southin J.A. was dissenting, and his application was dismissed. Leave to appeal to the Supreme Court of Canada was refused: </w:t>
      </w:r>
      <w:hyperlink r:id="rId815" w:history="1">
        <w:r>
          <w:rPr>
            <w:rFonts w:ascii="arial" w:eastAsia="arial" w:hAnsi="arial" w:cs="arial"/>
            <w:i/>
            <w:color w:val="0077CC"/>
            <w:sz w:val="20"/>
            <w:u w:val="single"/>
            <w:shd w:val="clear" w:color="auto" w:fill="FFFFFF"/>
            <w:lang w:val="en-US" w:eastAsia="en-US" w:bidi="ar-SA"/>
          </w:rPr>
          <w:t>87 BCLR (2d) xxxii</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During the course of her Reasons, Southin J.A. mused, in words that the present proceedings imbue with an irony of which Her Ladyship would have been entirely unconscious: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[34] Furthermore, no society can afford, nor indeed can the litigants themselves, interminable litigation. As yet, the Canadian legal system has not found its Dickens, but one day it may.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3.3 </w:t>
      </w:r>
      <w:r>
        <w:rPr>
          <w:rFonts w:ascii="arial" w:eastAsia="arial" w:hAnsi="arial" w:cs="arial"/>
          <w:b/>
          <w:color w:val="000000"/>
          <w:sz w:val="20"/>
          <w:u w:val="single"/>
          <w:lang w:val="en-US" w:eastAsia="en-US" w:bidi="ar-SA"/>
        </w:rPr>
        <w:t>The fourth and fifth lawsuits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fourth lawsuit was commenced by Bhagwan in January 1993. It was a matter of relatively minor significance. Of much greater significance was the fifth lawsuit, which Bhagwan started in December 2001 (the "Bhagwan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By all accounts, Bhagwan, being the eldest, was the most influential of the brothers in terms of the operation of the businesses that were part of the brothers' trust. He more or less ran the show, and had been instrumental in building up the businesses for the benefit of all the brothers. Consequently, it came as quite a surprise to both Bhora and Mhinder when Bhagwan announced that he wanted out of the brothers' trust in 1991.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According to Bhora, Bhagwan's departure was a difficult time. Bhagwan had been spending less time in the trust businesses over the preceding two years, and did not want to keep working anymore. He had a new wife, and was developing political connections. His eldest son was not interested becoming involved. Bhagwan wanted out. Bhora felt that Bhagwan was letting him 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Bhora testified that Bhagwan called the brothers together to discuss his departure. He indicated that he would not create issues like Bhim had. The remaining brothers agreed to pay him a sum of money that would allow him to pay his arrears with the Family Maintenance Enforcement Program, and felt they owed him nothing more.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In the action he started in January 1993, Bhagwan asserted a beneficial claim to a portion of a company called Spruston Aggregates Ltd that was being operated outside of the brothers' trust. Bhagwan asserted that the shares were in fact held in trust for the brothers by its registered shareholder, Mr. Furnemont. Bhora and Mhinder took the position that although Mr. Furnemont had indeed held the company in trust for the brothers, the brothers (including Bhagwan) decided in 1989 to dissociate themselves from the company and grant the beneficial interest as well as the legal interest to Mr. Furnemont outright. I do not know how that ended, but it remained an issue in Bhagwan's next action. I discuss the status of Spruston Aggregates further in section 8.2 below, in the context of the beneficial ownership of D &amp; A Crushing.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After Bhagwan's departure in 1991, the businesses continued to prosper. As we shall see, these included three companies: two that were not part of the brothers' trust, being Nanaimo Concrete Ltd, of which Bhora's son Richard was the sole shareholder, and Wee Tree Lumber Co. Ltd, of which Bhora's daughter Rita was the sole shareholder, and one DTC, Arrowsmith Concrete Ltd, of which Mhinder was the sole shareholder. These three companies operated ready-mix concrete plants and sold concrete under the OCL-registered trade name Mayco Mix, with Richard's Nanaimo Concrete being much the biggest producer. In a complex transaction that closed on April 27, 2001, all three businesses were sold to Lehigh Portland Cement Limited/Tilbury Cement Limited ("Lehigh") for some $8,500,000 (the "Lehigh 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This transaction piqued Bhagwan's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Bhagwan action followed at the end of 2001. It casts a substantial shadow over the current litigation. In it, Bhagwan advanced claims that are echoed in the present proceeding, and the parties to the present proceeding, particularly Mhinder and Bhora, took positions and gave evidence in the Bhagwan action inconsistent with positions taken and evidence given before me. Moreover, Bhagwan's claims provide temporal context to the genesis of the acknowledgements of trust that Richard and Rita executed and which are the basis of Mhinder's claim of an express new family trust. Those acknowledgements were executed within weeks of Bhagwan's lawyer's initial correspondence to Bhora and Mhinder setting out Bhagwan's position and seeking information, and within days of the commencement of Bhagwan's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Bhagwan's allegations included the following:</w:t>
      </w:r>
      <w:r>
        <w:rPr>
          <w:rFonts w:ascii="arial" w:eastAsia="arial" w:hAnsi="arial" w:cs="arial"/>
          <w:sz w:val="20"/>
          <w:lang w:val="en-US" w:eastAsia="en-US" w:bidi="ar-SA"/>
        </w:rPr>
        <w:cr/>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Bhagwan had not left the brothers' trust, but continued to be a trustee and beneficiary;</w:t>
      </w:r>
    </w:p>
    <w:p>
      <w:pPr>
        <w:numPr>
          <w:numId w:val="1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was an express or implied term of the brothers' trust after 1984 that all trust drawings would be made equally to all beneficiaries [this is the same as Mhinder's present claim for equal entitlement; he testified to a different understanding in the Bhagwan action];</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assets of the brothers' trust included three of the companies I have called the DTCs, whose shares were in Mhinder's name [C.A.R. Aviation, Mid-Isle Holdings and Chemainus Ventures; Bhora advances the same claim in the present action, but in the Bhagwan action he denied that they were assets of the brothers' trust];</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Bhora and Mhinder were in breach of their duties to Bhagwan as trustees by reason of their knowing participation in the transfer of various trust assets to third parties [this previewed Mhinder's claim in this action that Bhora has transferred trust assets to his family members, who were in knowing receipt];</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 reorganization of the operations of the trust businesses (the "Osborne Group"), Bhora and Mhinder incorporated a number of new companies (the "related companies"), registered variously in the names of Richard, Rita, Gina and Mhinder, to which they transferred assets from the Osborne Group;</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 of Mhinder, Bhora, Gina, Richard, and Rita knew that the assets transferred to the related companies were and are held in trust for the Osborne Group/ brothers' trust [this is much the same as Mhinder's present new family trust claim, except that while Bhagwan alleged that the related companies were assets of the brothers' trust, Mhinder alleges that the family companies are assets of a different trust, though still for the benefit of him and Bhora. In the Bhagwan action, Mhinder, Bhora, Richard and Rita all denied that the companies were subject to any trust, and none of them mentioned the acknowledgement of trust documents, in which, one expects, Bhagwan would have been keenly interested];</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Bhora, Mhinder, Richard, Rita and various companies sold trust assets and properties to Lehigh; and</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proceeds of the Lehigh sale are trust assets.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defendants to that action divided into two groups that were separately represented. The first group (called the "Osborne Defendants") comprised Bhora and Mhinder and the companies that I have called the ITCs and DTCs. The second group (called the "Secondary Defendants") comprised Gina, Richard, Rita, Kelly, Mr. Furnemont and his wife, and the family companies, including most of those that Bhagwan called the related companies.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This action proceeded to trial for two weeks before Madam Justice Morrison before adjourning. During the adjournment, the parties negotiated a settlement that included a payment by the Osborne Defendants to Bhagwan of $1.175 million. The terms are set out in a Settlement Agreement made June 8, 2006, and are of interest in this proceeding because they are inconsistent with some of the positions now taken. In particular, by clause 4 of the Settlement Agreement: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Osborne Defendants and Bhagwan Mayer agree that none of Bhagwan Mayer, Bhora Mayer, Mhinder Mayer and the Osborne defendants, or any of them, have any beneficial interest in any of the property or businesses legally owned or carried on by any of the Secondary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This is, of course, the opposite of what Mhinder now alleges in his new family trust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In addition, as suggested above, parties to this proceeding gave sworn evidence on discovery and in affidavits in the Bhagwan action that is at odds with evidence they have given under oath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Bhagwan action was finalized by entry of a Consent Dismissal Order on October 12,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3.4 </w:t>
      </w:r>
      <w:r>
        <w:rPr>
          <w:rFonts w:ascii="arial" w:eastAsia="arial" w:hAnsi="arial" w:cs="arial"/>
          <w:b/>
          <w:color w:val="000000"/>
          <w:sz w:val="20"/>
          <w:u w:val="single"/>
          <w:lang w:val="en-US" w:eastAsia="en-US" w:bidi="ar-SA"/>
        </w:rPr>
        <w:t>The sixth through twenty-third lawsuits and beyond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In the years 2007-2009, members of the Mayer family or their companies commenced 18 actions in Nanaimo and Vancouver against other members of the family or their companies. Some of these have since been discontinued or dismissed, but most of them have been consolidated into this proceeding, with further claims added as the litigation developed.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After the settlement of the Bhagwan action in June 2006, the relationship between Bhora and Mhinder became increasingly strained, and finally erupted into litigation. Bhora fired the opening salvo on March 22 and 23, 2007 when he filed </w:t>
      </w:r>
      <w:r>
        <w:rPr>
          <w:rFonts w:ascii="arial" w:eastAsia="arial" w:hAnsi="arial" w:cs="arial"/>
          <w:i/>
          <w:color w:val="000000"/>
          <w:sz w:val="20"/>
          <w:lang w:val="en-US" w:eastAsia="en-US" w:bidi="ar-SA"/>
        </w:rPr>
        <w:t>caveats</w:t>
      </w:r>
      <w:r>
        <w:rPr>
          <w:rFonts w:ascii="arial" w:eastAsia="arial" w:hAnsi="arial" w:cs="arial"/>
          <w:color w:val="000000"/>
          <w:sz w:val="20"/>
          <w:lang w:val="en-US" w:eastAsia="en-US" w:bidi="ar-SA"/>
        </w:rPr>
        <w:t xml:space="preserve"> against properties registered in the name of Mhinder that Bhora claimed were assets of the brothers' trust, and in which he was therefore entitled to an undivided one-half interest. He followed this with an action he filed on May 15, 2007, in which he pleaded that he and Mhinder were both trustees and beneficiaries of the brothers' trust, and asserted his interest in the properties registered solely in Mhinder's name.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Mhinder returned fire on July 30, 2007, when he filed his statement of defence and counterclaim. Mhinder maintained that five of the properties identified by Bhora were his own, and not trust properties. He counterclaimed for his one-half interest in rent collected from properties that were trust properties, but which rent he alleged was kept by Bhora for himself (now known as the "Gina rent claim" because the rents were physically collected by Gina).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Mhinder went on to claim that the six ITCs had been operated by Bhora for his own benefit, inconsistently with Mhinder's best interests as beneficiary. Finally, Mhinder claimed against Mr. Furnemont as a defendant by counterclaim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management and administration of the ITCs.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litigation escalated as the brothers' relationship deteriorated. In March 2008, Bhora amended his statement of claim to include a claim for an interest in the DTCs. Mhinder subsequently launched four further actions and issued a petition alleging oppression.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One of Mhinder's four further actions, commenced on October 20, 2009 to comply with a deadline imposed by the judge then assigned to manage the litigation, was the new family trust claim. With this, Mhinder rolled out the heavy artillery. Relying on the acknowledgments of trust, he alleged that Richard and Rita held the shares in their respective companies, together with properties registered in their names, in trust for Bhora and Mhinder. Much of the ammunition expended in this litigation has been spent on this claim, which brought Richard and Rita and their companies into the brothers' fight and is quite inconsistent with the position all members of the family (other than Bhagwan) took in defending the similar claims brought in the Bhagwan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very starkness of this inconsistency, among other things, led the defendants in that new family trust claim (there had as yet been no consolidation) to apply for judgment dismissing it by way of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Ultimately, after much procedural wrangling by the parties and a 13-day summary trial that included the cross-examination of Mhinder on his affidavits, Mr. Justice Walker dismissed all of Mhinder's new family trust claims: </w:t>
      </w:r>
      <w:r>
        <w:rPr>
          <w:rFonts w:ascii="arial" w:eastAsia="arial" w:hAnsi="arial" w:cs="arial"/>
          <w:i/>
          <w:color w:val="000000"/>
          <w:sz w:val="20"/>
          <w:lang w:val="en-US" w:eastAsia="en-US" w:bidi="ar-SA"/>
        </w:rPr>
        <w:t>Mayer v Osborne Contracting Ltd</w:t>
      </w:r>
      <w:r>
        <w:rPr>
          <w:rFonts w:ascii="arial" w:eastAsia="arial" w:hAnsi="arial" w:cs="arial"/>
          <w:color w:val="000000"/>
          <w:sz w:val="20"/>
          <w:lang w:val="en-US" w:eastAsia="en-US" w:bidi="ar-SA"/>
        </w:rPr>
        <w:t xml:space="preserve">, </w:t>
      </w:r>
      <w:hyperlink r:id="rId816" w:history="1">
        <w:r>
          <w:rPr>
            <w:rFonts w:ascii="arial" w:eastAsia="arial" w:hAnsi="arial" w:cs="arial"/>
            <w:i/>
            <w:color w:val="0077CC"/>
            <w:sz w:val="20"/>
            <w:u w:val="single"/>
            <w:shd w:val="clear" w:color="auto" w:fill="FFFFFF"/>
            <w:lang w:val="en-US" w:eastAsia="en-US" w:bidi="ar-SA"/>
          </w:rPr>
          <w:t>2010 BCSC 1249</w:t>
        </w:r>
      </w:hyperlink>
      <w:r>
        <w:rPr>
          <w:rFonts w:ascii="arial" w:eastAsia="arial" w:hAnsi="arial" w:cs="arial"/>
          <w:color w:val="000000"/>
          <w:sz w:val="20"/>
          <w:lang w:val="en-US" w:eastAsia="en-US" w:bidi="ar-SA"/>
        </w:rPr>
        <w:t xml:space="preserve">. Much turned on the inconsistency between the evidence Mhinder gave in the Bhagwan action and the evidence he gave before Walker J., who decided the application "based on Mhinder Mayer's own case, including his evidence and prior conduct, without the need to weigh conflicting affidavit evidence" [para 292]. Walker J. was much struck by the fact that if he accepted Mhinder's evidence about the new family trust, "then it would mean he gave misleading and inaccurate discovery evidence in the [Bhagwan action] in order to benefit himself" [para 248], a position, he found, of the sort rejected by Huddart J., as she then was, in </w:t>
      </w:r>
      <w:r>
        <w:rPr>
          <w:rFonts w:ascii="arial" w:eastAsia="arial" w:hAnsi="arial" w:cs="arial"/>
          <w:i/>
          <w:color w:val="000000"/>
          <w:sz w:val="20"/>
          <w:lang w:val="en-US" w:eastAsia="en-US" w:bidi="ar-SA"/>
        </w:rPr>
        <w:t>Werner v Werner</w:t>
      </w:r>
      <w:r>
        <w:rPr>
          <w:rFonts w:ascii="arial" w:eastAsia="arial" w:hAnsi="arial" w:cs="arial"/>
          <w:color w:val="000000"/>
          <w:sz w:val="20"/>
          <w:lang w:val="en-US" w:eastAsia="en-US" w:bidi="ar-SA"/>
        </w:rPr>
        <w:t xml:space="preserve">, </w:t>
      </w:r>
      <w:hyperlink r:id="rId817" w:history="1">
        <w:r>
          <w:rPr>
            <w:rFonts w:ascii="arial" w:eastAsia="arial" w:hAnsi="arial" w:cs="arial"/>
            <w:i/>
            <w:color w:val="0077CC"/>
            <w:sz w:val="20"/>
            <w:u w:val="single"/>
            <w:shd w:val="clear" w:color="auto" w:fill="FFFFFF"/>
            <w:lang w:val="en-US" w:eastAsia="en-US" w:bidi="ar-SA"/>
          </w:rPr>
          <w:t>[1987] B.C.J. No. 2546</w:t>
        </w:r>
      </w:hyperlink>
      <w:r>
        <w:rPr>
          <w:rFonts w:ascii="arial" w:eastAsia="arial" w:hAnsi="arial" w:cs="arial"/>
          <w:color w:val="000000"/>
          <w:sz w:val="20"/>
          <w:lang w:val="en-US" w:eastAsia="en-US" w:bidi="ar-SA"/>
        </w:rPr>
        <w:t xml:space="preserve"> (SC), pursuant to the "clean hands" doctrine.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Mhinder appealed that decision. In the meantime, on a further summary trial application, Walker J. dismissed Mhinder's claims against Marc Furnemont based on the allegation that trust drawings had not been equal between Mhinder and Bhora, against Bastion Project Management Ltd, and against Gina for rents she collected. In addition, Walker J. dismissed Mhinder's application to amend his pleadings to allege further claims against Richard and Rita: </w:t>
      </w:r>
      <w:r>
        <w:rPr>
          <w:rFonts w:ascii="arial" w:eastAsia="arial" w:hAnsi="arial" w:cs="arial"/>
          <w:i/>
          <w:color w:val="000000"/>
          <w:sz w:val="20"/>
          <w:lang w:val="en-US" w:eastAsia="en-US" w:bidi="ar-SA"/>
        </w:rPr>
        <w:t>Mayer v Mayer</w:t>
      </w:r>
      <w:r>
        <w:rPr>
          <w:rFonts w:ascii="arial" w:eastAsia="arial" w:hAnsi="arial" w:cs="arial"/>
          <w:color w:val="000000"/>
          <w:sz w:val="20"/>
          <w:lang w:val="en-US" w:eastAsia="en-US" w:bidi="ar-SA"/>
        </w:rPr>
        <w:t xml:space="preserve">, </w:t>
      </w:r>
      <w:hyperlink r:id="rId818" w:history="1">
        <w:r>
          <w:rPr>
            <w:rFonts w:ascii="arial" w:eastAsia="arial" w:hAnsi="arial" w:cs="arial"/>
            <w:i/>
            <w:color w:val="0077CC"/>
            <w:sz w:val="20"/>
            <w:u w:val="single"/>
            <w:shd w:val="clear" w:color="auto" w:fill="FFFFFF"/>
            <w:lang w:val="en-US" w:eastAsia="en-US" w:bidi="ar-SA"/>
          </w:rPr>
          <w:t>2011 BCSC 386</w:t>
        </w:r>
      </w:hyperlink>
      <w:r>
        <w:rPr>
          <w:rFonts w:ascii="arial" w:eastAsia="arial" w:hAnsi="arial" w:cs="arial"/>
          <w:color w:val="000000"/>
          <w:sz w:val="20"/>
          <w:lang w:val="en-US" w:eastAsia="en-US" w:bidi="ar-SA"/>
        </w:rPr>
        <w:t xml:space="preserve">. That judgment, too, was appealed, as were a number of other orders pronounced by Walker J. in the management of the litigation. Mhinder's application to the Court of Appeal for a stay of the proceedings in this court pending the hearing of his appeals was dismissed: </w:t>
      </w:r>
      <w:r>
        <w:rPr>
          <w:rFonts w:ascii="arial" w:eastAsia="arial" w:hAnsi="arial" w:cs="arial"/>
          <w:i/>
          <w:color w:val="000000"/>
          <w:sz w:val="20"/>
          <w:lang w:val="en-US" w:eastAsia="en-US" w:bidi="ar-SA"/>
        </w:rPr>
        <w:t>Mayer v Mayer</w:t>
      </w:r>
      <w:r>
        <w:rPr>
          <w:rFonts w:ascii="arial" w:eastAsia="arial" w:hAnsi="arial" w:cs="arial"/>
          <w:color w:val="000000"/>
          <w:sz w:val="20"/>
          <w:lang w:val="en-US" w:eastAsia="en-US" w:bidi="ar-SA"/>
        </w:rPr>
        <w:t xml:space="preserve">, </w:t>
      </w:r>
      <w:hyperlink r:id="rId819" w:history="1">
        <w:r>
          <w:rPr>
            <w:rFonts w:ascii="arial" w:eastAsia="arial" w:hAnsi="arial" w:cs="arial"/>
            <w:i/>
            <w:color w:val="0077CC"/>
            <w:sz w:val="20"/>
            <w:u w:val="single"/>
            <w:shd w:val="clear" w:color="auto" w:fill="FFFFFF"/>
            <w:lang w:val="en-US" w:eastAsia="en-US" w:bidi="ar-SA"/>
          </w:rPr>
          <w:t>2011 BCCA 290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Then on July 8, 2011, Walker J. awarded special costs against Mhinder arising from the dismissals (</w:t>
      </w:r>
      <w:r>
        <w:rPr>
          <w:rFonts w:ascii="arial" w:eastAsia="arial" w:hAnsi="arial" w:cs="arial"/>
          <w:i/>
          <w:color w:val="000000"/>
          <w:sz w:val="20"/>
          <w:lang w:val="en-US" w:eastAsia="en-US" w:bidi="ar-SA"/>
        </w:rPr>
        <w:t>Mayer v Osborne Contracting Ltd</w:t>
      </w:r>
      <w:r>
        <w:rPr>
          <w:rFonts w:ascii="arial" w:eastAsia="arial" w:hAnsi="arial" w:cs="arial"/>
          <w:color w:val="000000"/>
          <w:sz w:val="20"/>
          <w:lang w:val="en-US" w:eastAsia="en-US" w:bidi="ar-SA"/>
        </w:rPr>
        <w:t xml:space="preserve">, </w:t>
      </w:r>
      <w:hyperlink r:id="rId820" w:history="1">
        <w:r>
          <w:rPr>
            <w:rFonts w:ascii="arial" w:eastAsia="arial" w:hAnsi="arial" w:cs="arial"/>
            <w:i/>
            <w:color w:val="0077CC"/>
            <w:sz w:val="20"/>
            <w:u w:val="single"/>
            <w:shd w:val="clear" w:color="auto" w:fill="FFFFFF"/>
            <w:lang w:val="en-US" w:eastAsia="en-US" w:bidi="ar-SA"/>
          </w:rPr>
          <w:t>2011 BCSC 914</w:t>
        </w:r>
      </w:hyperlink>
      <w:r>
        <w:rPr>
          <w:rFonts w:ascii="arial" w:eastAsia="arial" w:hAnsi="arial" w:cs="arial"/>
          <w:color w:val="000000"/>
          <w:sz w:val="20"/>
          <w:lang w:val="en-US" w:eastAsia="en-US" w:bidi="ar-SA"/>
        </w:rPr>
        <w:t>). These costs came to a total of $1,163,590 plus taxes, demonstrating the high cost of the proceedings to that date, six years ago. This was unquestionably a very low point in the litigation for Mhinder. The tide turned, however, in the Court of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That court's decision allowing Mhinder's appeals was delivered on February 17, 2012: </w:t>
      </w:r>
      <w:r>
        <w:rPr>
          <w:rFonts w:ascii="arial" w:eastAsia="arial" w:hAnsi="arial" w:cs="arial"/>
          <w:i/>
          <w:color w:val="000000"/>
          <w:sz w:val="20"/>
          <w:lang w:val="en-US" w:eastAsia="en-US" w:bidi="ar-SA"/>
        </w:rPr>
        <w:t>Mayer v Mayer</w:t>
      </w:r>
      <w:r>
        <w:rPr>
          <w:rFonts w:ascii="arial" w:eastAsia="arial" w:hAnsi="arial" w:cs="arial"/>
          <w:color w:val="000000"/>
          <w:sz w:val="20"/>
          <w:lang w:val="en-US" w:eastAsia="en-US" w:bidi="ar-SA"/>
        </w:rPr>
        <w:t xml:space="preserve">, </w:t>
      </w:r>
      <w:hyperlink r:id="rId821" w:history="1">
        <w:r>
          <w:rPr>
            <w:rFonts w:ascii="arial" w:eastAsia="arial" w:hAnsi="arial" w:cs="arial"/>
            <w:i/>
            <w:color w:val="0077CC"/>
            <w:sz w:val="20"/>
            <w:u w:val="single"/>
            <w:shd w:val="clear" w:color="auto" w:fill="FFFFFF"/>
            <w:lang w:val="en-US" w:eastAsia="en-US" w:bidi="ar-SA"/>
          </w:rPr>
          <w:t>2012 BCCA 77</w:t>
        </w:r>
      </w:hyperlink>
      <w:r>
        <w:rPr>
          <w:rFonts w:ascii="arial" w:eastAsia="arial" w:hAnsi="arial" w:cs="arial"/>
          <w:color w:val="000000"/>
          <w:sz w:val="20"/>
          <w:lang w:val="en-US" w:eastAsia="en-US" w:bidi="ar-SA"/>
        </w:rPr>
        <w:t xml:space="preserve">, reported as </w:t>
      </w:r>
      <w:r>
        <w:rPr>
          <w:rFonts w:ascii="arial" w:eastAsia="arial" w:hAnsi="arial" w:cs="arial"/>
          <w:i/>
          <w:color w:val="000000"/>
          <w:sz w:val="20"/>
          <w:lang w:val="en-US" w:eastAsia="en-US" w:bidi="ar-SA"/>
        </w:rPr>
        <w:t>Mayer v Osborne Contracting Ltd</w:t>
      </w:r>
      <w:r>
        <w:rPr>
          <w:rFonts w:ascii="arial" w:eastAsia="arial" w:hAnsi="arial" w:cs="arial"/>
          <w:color w:val="000000"/>
          <w:sz w:val="20"/>
          <w:lang w:val="en-US" w:eastAsia="en-US" w:bidi="ar-SA"/>
        </w:rPr>
        <w:t xml:space="preserve">, </w:t>
      </w:r>
      <w:hyperlink r:id="rId821" w:history="1">
        <w:r>
          <w:rPr>
            <w:rFonts w:ascii="arial" w:eastAsia="arial" w:hAnsi="arial" w:cs="arial"/>
            <w:i/>
            <w:color w:val="0077CC"/>
            <w:sz w:val="20"/>
            <w:u w:val="single"/>
            <w:shd w:val="clear" w:color="auto" w:fill="FFFFFF"/>
            <w:lang w:val="en-US" w:eastAsia="en-US" w:bidi="ar-SA"/>
          </w:rPr>
          <w:t>29 BCLR (5th) 232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Mayer CA</w:t>
      </w:r>
      <w:r>
        <w:rPr>
          <w:rFonts w:ascii="arial" w:eastAsia="arial" w:hAnsi="arial" w:cs="arial"/>
          <w:color w:val="000000"/>
          <w:sz w:val="20"/>
          <w:lang w:val="en-US" w:eastAsia="en-US" w:bidi="ar-SA"/>
        </w:rPr>
        <w:t>"). The reasons are lengthy and cannot justly be summarized in a few paragraphs. The interested reader should therefore refer to the full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For present purposes, I note the following salient point (see </w:t>
      </w:r>
      <w:r>
        <w:rPr>
          <w:rFonts w:ascii="arial" w:eastAsia="arial" w:hAnsi="arial" w:cs="arial"/>
          <w:i/>
          <w:color w:val="000000"/>
          <w:sz w:val="20"/>
          <w:lang w:val="en-US" w:eastAsia="en-US" w:bidi="ar-SA"/>
        </w:rPr>
        <w:t>Mayer CA</w:t>
      </w:r>
      <w:r>
        <w:rPr>
          <w:rFonts w:ascii="arial" w:eastAsia="arial" w:hAnsi="arial" w:cs="arial"/>
          <w:color w:val="000000"/>
          <w:sz w:val="20"/>
          <w:lang w:val="en-US" w:eastAsia="en-US" w:bidi="ar-SA"/>
        </w:rPr>
        <w:t xml:space="preserve"> at paras 68-84).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court, per K. Smith J.A., considered that a determination of Mhinder's claims of express, resulting and constructive trusts could not properly be determined summarily in the face of conflicting evidence on the central facts, without a proper judicial consideration of the evidence, which would necessarily have included discovery and cross-examination of Mhinder's opponents. In other words, credibility could not be determined in a vacuum. Once issues of credibility arose, wrote Smith J.A., the judge ought to have permitted Mhinder to develop his case fully through discovery and cross-examination of the defendants on their affidavits or through a conventional trial. This problem was compounded by the fact that Mhinder was responding to a defence application, and was therefore deprived of the advantages accruing to plaintiffs in a normal trial of developing their claim fully in an orderly way and in its best light before it is challenged by the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Following the Court of Appeal's decision, the various proceedings were assigned to me for ongoing case management, and I ordered their consolidation. Now, after five more years and a conventional trial of 60 days, all of the parties have had an opportunity to develop their cases fully.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3.5 </w:t>
      </w:r>
      <w:r>
        <w:rPr>
          <w:rFonts w:ascii="arial" w:eastAsia="arial" w:hAnsi="arial" w:cs="arial"/>
          <w:b/>
          <w:color w:val="000000"/>
          <w:sz w:val="20"/>
          <w:u w:val="single"/>
          <w:lang w:val="en-US" w:eastAsia="en-US" w:bidi="ar-SA"/>
        </w:rPr>
        <w:t>Winding up the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One of the problems Mhinder had encountered both before Walker J. and in the Court of Appeal was that a number of the claims he wished to pursue were properly claims on behalf of the trust that the trustees would normally pursue, rather than claims personal to him. Before pursuing them, then, he was obliged to apply for directions under the </w:t>
      </w:r>
      <w:r>
        <w:rPr>
          <w:rFonts w:ascii="arial" w:eastAsia="arial" w:hAnsi="arial" w:cs="arial"/>
          <w:i/>
          <w:color w:val="000000"/>
          <w:sz w:val="20"/>
          <w:lang w:val="en-US" w:eastAsia="en-US" w:bidi="ar-SA"/>
        </w:rPr>
        <w:t>Trustee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464</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In October 2013 I considered an application by Mhinder pursuant to section 86(1) of the </w:t>
      </w:r>
      <w:r>
        <w:rPr>
          <w:rFonts w:ascii="arial" w:eastAsia="arial" w:hAnsi="arial" w:cs="arial"/>
          <w:i/>
          <w:color w:val="000000"/>
          <w:sz w:val="20"/>
          <w:lang w:val="en-US" w:eastAsia="en-US" w:bidi="ar-SA"/>
        </w:rPr>
        <w:t>Trustee Act</w:t>
      </w:r>
      <w:r>
        <w:rPr>
          <w:rFonts w:ascii="arial" w:eastAsia="arial" w:hAnsi="arial" w:cs="arial"/>
          <w:color w:val="000000"/>
          <w:sz w:val="20"/>
          <w:lang w:val="en-US" w:eastAsia="en-US" w:bidi="ar-SA"/>
        </w:rPr>
        <w:t xml:space="preserve"> for leave, as trustee, to pursue claims on behalf of the trust that his brother as co-trustee declined to pursue, or alternatively for confirmation of his right to pursue those claims as beneficiary. The claims in question were largely against Bhora, Marc Furnemont, and Richard, Rita and Gina, for various alleged wrongs suffered by the trust, and hence by Mhinder.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In addition, Mhinder sought a declaration that it was just and equitable to wind up the trust in order to break the deadlock between the trustees.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Mayer v Mayer</w:t>
      </w:r>
      <w:r>
        <w:rPr>
          <w:rFonts w:ascii="arial" w:eastAsia="arial" w:hAnsi="arial" w:cs="arial"/>
          <w:color w:val="000000"/>
          <w:sz w:val="20"/>
          <w:lang w:val="en-US" w:eastAsia="en-US" w:bidi="ar-SA"/>
        </w:rPr>
        <w:t xml:space="preserve">, </w:t>
      </w:r>
      <w:hyperlink r:id="rId822" w:history="1">
        <w:r>
          <w:rPr>
            <w:rFonts w:ascii="arial" w:eastAsia="arial" w:hAnsi="arial" w:cs="arial"/>
            <w:i/>
            <w:color w:val="0077CC"/>
            <w:sz w:val="20"/>
            <w:u w:val="single"/>
            <w:shd w:val="clear" w:color="auto" w:fill="FFFFFF"/>
            <w:lang w:val="en-US" w:eastAsia="en-US" w:bidi="ar-SA"/>
          </w:rPr>
          <w:t>2013 BCSC 1958</w:t>
        </w:r>
      </w:hyperlink>
      <w:r>
        <w:rPr>
          <w:rFonts w:ascii="arial" w:eastAsia="arial" w:hAnsi="arial" w:cs="arial"/>
          <w:color w:val="000000"/>
          <w:sz w:val="20"/>
          <w:lang w:val="en-US" w:eastAsia="en-US" w:bidi="ar-SA"/>
        </w:rPr>
        <w:t>, I concluded that Mhinder could not pursue his proposed claims as a sole trustee of the brothers' trust, but was at liberty to pursue them in his capacity as a beneficiary of the brothers' trust, at his own risk and expense. Those claims were, accordingly, to be incorporated into the existing consolidated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I also concluded that, while a winding-up order seemed eminently sensible, I had no jurisdiction to order it in the face of Bhora's opposition. An appeal from that decision was dismissed, subject to the ability of the parties to raise at trial the question of whether the trust by its terms permitted a winding up order: </w:t>
      </w:r>
      <w:r>
        <w:rPr>
          <w:rFonts w:ascii="arial" w:eastAsia="arial" w:hAnsi="arial" w:cs="arial"/>
          <w:i/>
          <w:color w:val="000000"/>
          <w:sz w:val="20"/>
          <w:lang w:val="en-US" w:eastAsia="en-US" w:bidi="ar-SA"/>
        </w:rPr>
        <w:t>Mayer v Mayer</w:t>
      </w:r>
      <w:r>
        <w:rPr>
          <w:rFonts w:ascii="arial" w:eastAsia="arial" w:hAnsi="arial" w:cs="arial"/>
          <w:color w:val="000000"/>
          <w:sz w:val="20"/>
          <w:lang w:val="en-US" w:eastAsia="en-US" w:bidi="ar-SA"/>
        </w:rPr>
        <w:t xml:space="preserve">, </w:t>
      </w:r>
      <w:hyperlink r:id="rId823" w:history="1">
        <w:r>
          <w:rPr>
            <w:rFonts w:ascii="arial" w:eastAsia="arial" w:hAnsi="arial" w:cs="arial"/>
            <w:i/>
            <w:color w:val="0077CC"/>
            <w:sz w:val="20"/>
            <w:u w:val="single"/>
            <w:shd w:val="clear" w:color="auto" w:fill="FFFFFF"/>
            <w:lang w:val="en-US" w:eastAsia="en-US" w:bidi="ar-SA"/>
          </w:rPr>
          <w:t>2014 BCCA 293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That problem was resolved when the parties agreed to a winding up of the brothers' trust, subject to some details that I was asked to resolve: </w:t>
      </w:r>
      <w:r>
        <w:rPr>
          <w:rFonts w:ascii="arial" w:eastAsia="arial" w:hAnsi="arial" w:cs="arial"/>
          <w:i/>
          <w:color w:val="000000"/>
          <w:sz w:val="20"/>
          <w:lang w:val="en-US" w:eastAsia="en-US" w:bidi="ar-SA"/>
        </w:rPr>
        <w:t>Mayer v Mayer</w:t>
      </w:r>
      <w:r>
        <w:rPr>
          <w:rFonts w:ascii="arial" w:eastAsia="arial" w:hAnsi="arial" w:cs="arial"/>
          <w:color w:val="000000"/>
          <w:sz w:val="20"/>
          <w:lang w:val="en-US" w:eastAsia="en-US" w:bidi="ar-SA"/>
        </w:rPr>
        <w:t xml:space="preserve"> (25 September 2015), Vancouver S073324. The winding up has continued. The proceeds realized will, of course, be subject to an accounting based upon these reasons for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3.6 </w:t>
      </w:r>
      <w:r>
        <w:rPr>
          <w:rFonts w:ascii="arial" w:eastAsia="arial" w:hAnsi="arial" w:cs="arial"/>
          <w:b/>
          <w:color w:val="000000"/>
          <w:sz w:val="20"/>
          <w:u w:val="single"/>
          <w:lang w:val="en-US" w:eastAsia="en-US" w:bidi="ar-SA"/>
        </w:rPr>
        <w:t>A final skirmish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On March 10, 2016, some six months before the commencement of this trial, Bhora and the ITCs applied for an order disqualifying Mhinder's solicitors from continuing to represent him. If successful, Mhinder's position would have been seriously crippled, and the trial derailed.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application was based upon the terms of an agreement Mhinder had entered into with his solicitors on April 1, 2011, to secure the fees he owed them. I dismissed the application (</w:t>
      </w:r>
      <w:r>
        <w:rPr>
          <w:rFonts w:ascii="arial" w:eastAsia="arial" w:hAnsi="arial" w:cs="arial"/>
          <w:i/>
          <w:color w:val="000000"/>
          <w:sz w:val="20"/>
          <w:lang w:val="en-US" w:eastAsia="en-US" w:bidi="ar-SA"/>
        </w:rPr>
        <w:t>Mayer v Mayer</w:t>
      </w:r>
      <w:r>
        <w:rPr>
          <w:rFonts w:ascii="arial" w:eastAsia="arial" w:hAnsi="arial" w:cs="arial"/>
          <w:color w:val="000000"/>
          <w:sz w:val="20"/>
          <w:lang w:val="en-US" w:eastAsia="en-US" w:bidi="ar-SA"/>
        </w:rPr>
        <w:t xml:space="preserve">, </w:t>
      </w:r>
      <w:hyperlink r:id="rId824" w:history="1">
        <w:r>
          <w:rPr>
            <w:rFonts w:ascii="arial" w:eastAsia="arial" w:hAnsi="arial" w:cs="arial"/>
            <w:i/>
            <w:color w:val="0077CC"/>
            <w:sz w:val="20"/>
            <w:u w:val="single"/>
            <w:shd w:val="clear" w:color="auto" w:fill="FFFFFF"/>
            <w:lang w:val="en-US" w:eastAsia="en-US" w:bidi="ar-SA"/>
          </w:rPr>
          <w:t>2016 BCSC 791</w:t>
        </w:r>
      </w:hyperlink>
      <w:r>
        <w:rPr>
          <w:rFonts w:ascii="arial" w:eastAsia="arial" w:hAnsi="arial" w:cs="arial"/>
          <w:color w:val="000000"/>
          <w:sz w:val="20"/>
          <w:lang w:val="en-US" w:eastAsia="en-US" w:bidi="ar-SA"/>
        </w:rPr>
        <w:t>) and awarded special costs against Bhora (</w:t>
      </w:r>
      <w:r>
        <w:rPr>
          <w:rFonts w:ascii="arial" w:eastAsia="arial" w:hAnsi="arial" w:cs="arial"/>
          <w:i/>
          <w:color w:val="000000"/>
          <w:sz w:val="20"/>
          <w:lang w:val="en-US" w:eastAsia="en-US" w:bidi="ar-SA"/>
        </w:rPr>
        <w:t>Mayer v Mayer</w:t>
      </w:r>
      <w:r>
        <w:rPr>
          <w:rFonts w:ascii="arial" w:eastAsia="arial" w:hAnsi="arial" w:cs="arial"/>
          <w:color w:val="000000"/>
          <w:sz w:val="20"/>
          <w:lang w:val="en-US" w:eastAsia="en-US" w:bidi="ar-SA"/>
        </w:rPr>
        <w:t xml:space="preserve">, </w:t>
      </w:r>
      <w:hyperlink r:id="rId825" w:history="1">
        <w:r>
          <w:rPr>
            <w:rFonts w:ascii="arial" w:eastAsia="arial" w:hAnsi="arial" w:cs="arial"/>
            <w:i/>
            <w:color w:val="0077CC"/>
            <w:sz w:val="20"/>
            <w:u w:val="single"/>
            <w:shd w:val="clear" w:color="auto" w:fill="FFFFFF"/>
            <w:lang w:val="en-US" w:eastAsia="en-US" w:bidi="ar-SA"/>
          </w:rPr>
          <w:t>2016 BCSC 615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In this proceeding, Bhora pleaded that Mhinder's security agreement with his solicitors was one of a number of actions by Mhinder that demonstrate his election to withdraw from the brothers' trust. He did not pursue that allegation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Credibility is a significant issue in this litigation, and I have already outlined some of the difficulties arising from positions taken and evidence given in the Bhagwan action that differ markedly from positions taken and evidence given in this proceeding. It should also be evident that there were many interlocutory applications in this proceeding, only some of which I have described above. In the course of those interlocutory proceedings, too, the parties gave evidence that differs from their testimony at trial to varying degrees, and there were many inconsistencies between their discovery evidence and their trial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Counsel for Bhora, Mr. Canofari, and counsel for Mr. Furnemont and Gina, Richard and Rita and their companies, Mr. Fraser, did not hold back in excoriating Mhinder's credibility, and his problems in that regard are indeed significant. But credibility was a problem not just for Mhinder.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Before I delve into detail, which necessarily will involve some criticism of the principal parties, I would like to set out some positive observations.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All members of the family spent a considerable time in the witness box. Mhinder was under cross-examination for 10 days. Both Bhora and Richard testified and were cross-examined twice: as adverse party witnesses in the plaintiff's case, and again as party witnesses in their own cases. Even Kelly was in the box for four days. I had ample opportunity to observe them all, and have been managing this case now for over five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Mhinder impressed me as a man who has worked very hard all his life (all seemed to agree that he was the hardest working member of the family), has cared about his work, and is extremely knowledgeable about the operations side of all of the family businesses. He was the man on the ground, getting things done. He said, and I accept, that he paid little attention to, and had little interest in, administration, financial statements, ledgers and tax documents. He did not hesitate to share his practical expertise with and provide assistance to other members of the family, particularly assisting Richard and Rita as they grew into the businesses. The evidence is undisputed that until 2007, Richard and Rita had a closer relationship with Mhinder than they had with their own father, Bhora. With his affable personality and his considerable energy and practical expertise, Mhinder generally earned the respect and loyalty of the employees and customers with whom he worked.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Bhora also impressed me as very knowledgeable and hard-working. He had developed a great deal of experience in all aspects of the business, and did his best to step into Bhagwan's shoes, taking over the Osborne Group's administration and management. This was a role that did not interest Mhinder. Bhora devoted himself to managing the trust businesses and he, too, generally earned the respect and loyalty of the employees who worked under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Regrettably, due in part I expect to the mysteries of family dynamics, they were unable to maintain the respect and loyalty of each other. Bhora, by all accounts, including those of his children, managed with a rather domineering and confrontational style. Mhinder had a strong independent streak and, uninterested in management, was equally uninterested in being managed. The Bhagwan action had opened up a number of issues about the brothers' trust, many of which have been replayed in this litigation. Their relationship markedly and rapidly deteriorated after the Bhagwan litigation concluded.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 found Richard and Rita both to be very bright, energetic and businesslike. Richard learned the businesses from the ground up and has demonstrated a strong entrepreneurial flair and sound managerial ability. Rita is the best educated member of the family, earning a BA from the University of Victoria and an MBA from the University of Ottawa. Although her grounding was accordingly a little less practical, she nevertheless was prepared to work in any area of the business where she could assist, and proved to be a capable manager. The family could justly take pride in them as the next generation.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As a family, then, the Mayers were hard-working and productive contributors-until conflict over the brothers' trust drove them apart. As litigants, all four of these parties showed to varying degrees a tendency to adjust their evidence to fit their perception of the current strategic exigencies-with Rita at the more benign end of that scale, moving upwards through Richard to Bhora to Mhinder at the top.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Richard, for instance, was not alone in attributing discrepancies between his evidence at trial and evidence he had given in earlier affidavits to carelessness: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...but again back in 2009 I don't think I proofread every word and punctuation in affidavits.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Richard was also obliged to acknowledge that an affidavit he had sworn on January 18, 2008, in opposition to a claim Mhinder had made to repayment of a loan by OCL to Richard's company, was quite simply wrong in several respects that were inconsistent with his assertion at trial that he was the beneficial owner of D &amp; A. This makes it rather difficult to know what to believe.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Bhora had a similar problem on the same issue. In this trial, Bhora testified, as did Richard, that Richard is the beneficial owner of D &amp; A, not Mhinder, and not Mhinder and Bhora together. But in an affidavit Bhora swore in this proceeding on January 15, 2008, Bhora deposed that while Kelly owned the shares in D &amp; A, he believed that Mhinder was the beneficial owner. He testified to the same effect when cross-examined on that affidavit, referring to D &amp; A as "Mhindy's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These affidavits were sworn early on in this litigation, when the strategic outlook was undoubtedly different. But it was sworn evidence that could not stand with the assertions of Bhora and Richard at trial that Richard was and always had been the beneficial owner of D &amp; 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When Bhora's inconsistent earlier evidence was put to him at trial, he was reduced to describing it as false and incorrect, for which he had no explanation. The fact remains that the 2008 affidavit was clearly intended to convey to the court that Mhinder was the beneficial owner of D &amp; A, not Kelly.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xml:space="preserve">  In both cases, it follows that on one occasion or the other, these parties were misleading the court, whether intentionally or not. These particular instances both relate to the status of D &amp; A. As I discuss below, there was a good deal of confusion about the status of that company in 2007 and 2008, and this may in part explain these discrepancies. It suggests to me, at least, that Richard and Bhora were not </w:t>
      </w:r>
      <w:r>
        <w:rPr>
          <w:rFonts w:ascii="arial" w:eastAsia="arial" w:hAnsi="arial" w:cs="arial"/>
          <w:i/>
          <w:color w:val="000000"/>
          <w:sz w:val="20"/>
          <w:lang w:val="en-US" w:eastAsia="en-US" w:bidi="ar-SA"/>
        </w:rPr>
        <w:t>intending</w:t>
      </w:r>
      <w:r>
        <w:rPr>
          <w:rFonts w:ascii="arial" w:eastAsia="arial" w:hAnsi="arial" w:cs="arial"/>
          <w:color w:val="000000"/>
          <w:sz w:val="20"/>
          <w:lang w:val="en-US" w:eastAsia="en-US" w:bidi="ar-SA"/>
        </w:rPr>
        <w:t xml:space="preserve"> to mislead the court. Bhora, however, had the added problem of serious and irreconcilable differences between evidence he gave in the Bhagwan action and evidence he gave in this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I found that the inconsistencies in the evidence of Richard and Rita, when viewed in the context of the evidence as a whole, were of a much lesser degree than those of their father and uncle. In general, where their evidence conflicts with that of Bhora or Mhinder and is not inconsistent with independent evidence, I prefer the evidence of Rita and Richard. This is particularly so with the evidence of Rita. Nevertheless, I am obliged to approach all of the evidence carefully.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Although not a family member, Marc Furnemont played a central role in the family businesses and was an important witness. He demonstrated a tendency to give evidence based on his reconstruction of events as opposed to his recollection, as, on occasion, did both Richard and Rita. To that extent, parts of their testimony must be treated with some caution. Generally, however, I found Mr. Furnemont to be a credible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I now turn to Mhinder, who, it is clear, intended to mislead the court on more than one occasion, going so far as to persuade a customer to do the same thing. This relates to events that occurred when Mhinder was managing the operations at Gulf Coast Materials ("GCM"), an ITC that operated a ready-mix concrete plant on Salt Spring Island.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During the course of this litigation, after Mhinder was no longer managing GCM due to circumstances that will be discussed in more detail below (section 12.0), the solicitors then acting for the ITCs sought, among other things, information concerning what appeared to have been "a significant number of cash sales which took place while Mhinder Mayer was involved in [GCM's] affairs", and for which there had been no accounting. That was in November 2011. The suggestion was that Mhinder had been pocketing cash, and had to account to GCM for that money.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Through his solicitors, Mhinder denied this, responding that while he was general manager of GCM, cash sales were "recorded in the ordinary course" through the company's accounting records. This was untrue, and on April 30, 2012, Mhinder's counsel wrote to say that he was now instructed that there were two occasions on which Mhinder received cash payments, totaling $1,900, and that he acknowledged his obligation to GCM in that amount. At trial, Mhinder testified that he had tried to conceal this because he felt very bad, knowing that it had been wrong of him, and was ashamed of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But that was not all. On February 10, 2012, the solicitors for the ITCs had raised another question: a dispatch sheet had been discovered in a desk drawer showing a delivery made to one B at 7:30 a.m. on September 1, 2011 - a delivery that was missing from the dispatch sheet that formed part of the records for that date. This suggested an alteration. There was no other record of a transaction with B. B had later produced a cheque payable to GCM in payment of a handwritten invoice from Mhinder. This was put forward as an example of a cash sale which had not been "recorded in the ordinary course" as Mhinder had claimed.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Mhinder's counsel responded by letter of February 13, 2012, explaining that Mhinder had prepared a handwritten quote that he had forgotten to enter into the computer. Because B was about to leave at the time of delivery, counsel wrote, it was agreed that he could pay later, and he did so by cheque to GCM after Mhinder had been removed as manager. There had been, counsel declared, no cash sale to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xml:space="preserve">  At this trial in 2016, Mhinder acknowledged that although this representation from his counsel was made on his instructions, it was false. B </w:t>
      </w:r>
      <w:r>
        <w:rPr>
          <w:rFonts w:ascii="arial" w:eastAsia="arial" w:hAnsi="arial" w:cs="arial"/>
          <w:i/>
          <w:color w:val="000000"/>
          <w:sz w:val="20"/>
          <w:lang w:val="en-US" w:eastAsia="en-US" w:bidi="ar-SA"/>
        </w:rPr>
        <w:t>had</w:t>
      </w:r>
      <w:r>
        <w:rPr>
          <w:rFonts w:ascii="arial" w:eastAsia="arial" w:hAnsi="arial" w:cs="arial"/>
          <w:color w:val="000000"/>
          <w:sz w:val="20"/>
          <w:lang w:val="en-US" w:eastAsia="en-US" w:bidi="ar-SA"/>
        </w:rPr>
        <w:t xml:space="preserve"> paid him in cash, to the tune of $1,400, and Mhinder </w:t>
      </w:r>
      <w:r>
        <w:rPr>
          <w:rFonts w:ascii="arial" w:eastAsia="arial" w:hAnsi="arial" w:cs="arial"/>
          <w:i/>
          <w:color w:val="000000"/>
          <w:sz w:val="20"/>
          <w:lang w:val="en-US" w:eastAsia="en-US" w:bidi="ar-SA"/>
        </w:rPr>
        <w:t>had</w:t>
      </w:r>
      <w:r>
        <w:rPr>
          <w:rFonts w:ascii="arial" w:eastAsia="arial" w:hAnsi="arial" w:cs="arial"/>
          <w:color w:val="000000"/>
          <w:sz w:val="20"/>
          <w:lang w:val="en-US" w:eastAsia="en-US" w:bidi="ar-SA"/>
        </w:rPr>
        <w:t xml:space="preserve"> arranged for the dispatch record to be altered to hide this. But when problems arose at GCM, he repaid this money to B, and persuaded B to write a cheque for a slightly lower amount to GCM. He had hoped this would end the matter, but it did not, and Mhinder continued to weave a tangled web, piling denial on denial.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This process reached its pinnacle in June 2012, when Mhinder's counsel prepared an application for an injunction restraining Bhora's ability to manage GCM unilaterally. I heard this application on July 3 and 4, 2012. In support of it, Mhinder swore and filed an affidavit in which he deposed that there had been no cash sale to B, and even produced an affidavit from B to the same effect. B deposed that Mhinder had come to his property first thing in the morning and provided a quote on a piece of paper. B told Mhinder that he was going into camp and would like to pay when he returned, which Mhinder said would be no problem. B further deposed that he brought the cheque to GCM on October 21, 2011, and that this was the only payment he made. This corroborated Mhinder's evidence; but it was a lie.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Mhinder lied under oath again when examined for discovery on this question in May 2016, maintaining the fiction that B had never paid him cash.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When this trial started, B was on Mhinder's witness list. Then on September 23, 2016, during the first week of this trial, Mhinder's counsel wrote a letter to counsel for the defendants disclosing the true facts. Needless to say, B did not appear as a witness. On the witness stand, Mhinder acknowledged that it was wrong of him to persuade B to swear a false affidavit, that he had been very foolish, and that he was sorry for getting B into trouble. By way of context, his counsel noted that the timing of these events coincided with Mhinder reaching rock-bottom in the litigation, having lost the summary trial before Walker J., and facing liability for special costs in excess of $1,000,000.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These acknowledged lies concerned a relatively minor matter in the great scheme of this litigation. But they are revealing. Mhinder lied not only to his brother, but also to his counsel and to the court; he then went further, involving a customer in both cheating GCM and deceiving the court, all to the end of corroborating his lie. In this, his conduct was not just foolish; it was egregious and it was disgraceful.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Mhinder had a number of other difficulties. As we have seen, he seeks in this action to establish that Richard and Rita hold their respective companies in trust for him and Bhora as a new family trust. In doing so, he relies on the acknowledgements of trust that Richard and Rita signed on December 24, 2001. In the Bhagwan action, he repeatedly denied the existence of any such trust arrangement and made no mention of the acknowledgements of trust. He did not produce them although he had them in his possession. He explained this by maintaining that he had been assured by Marc Furnemont that the acknowledgement of trust documents need not be produced as they were simply not relevant.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Before me, Mhinder continued to contend that they were not relevant to Bhagwan's claims. As far as he was concerned, he testified, anything that happened after Bhagwan left the brothers' trust in 1991 was none of Bhagwan's business notwithstanding that his pleadings squarely raised the issue of whether the family companies were held in trust. Mhinder was adamant that the new family trust was nothing that Bhagwan needed to know about. In fact, he did not feel Bhagwan needed to know anything they had done in the family after he left.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This viewpoint left me wondering what Mhinder might have felt none of Bhora, Richard, Rita or the court needed to know in this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Like his evidence that Marc Furnemont had assured him that he need not produce the acknowledgement of trust documents in the Bhagwan litigation, I observed that it was a habit of Mhinder to seek to add weight to his narrative through corroborative detail in the form of statements that he testified were made by other persons. With B, he took this to the extreme of obtaining a false affidavit. In other instances, those other persons, when asked about Mhinder's evidence, denied making any such statements and failed to corroborate Mhinder. That was the case with Mr. Furnemont here. Similarly, when discussing a controversial proposal he had made to Richard and Rita in February 2007, Mhinder testified that Tony Fitterer, who handled outside accounting for the Osborne Group, enthusiastically described the proposal as a sweet deal for Richard and Rita. Mr. Fitterer testified that no such discussion happened. I have no reason to doubt his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Another habit of Mhinder was to retreat into breathtakingly equivocal explanations when challenged on cross examination with prior inconsistent statements, of which there were many. Thus, when confronted with inconsistent evidence he had given on discovery in the Bhagwan action, and asked whether what he had said there was true, he answered, "To my thinking at that time it most probably was true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Mhinder, I conclude, was very much inclined to shape his evidence to support his position, rather than shaping his position to fit the evidence. There seems to be a lot of that going about these days. In this trial, as I have commented, Mhinder was not alone in this tendency, but, I find, took it considerably further than anyone else.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This affects not only his oral testimony, but also notes he made that he tendered into evidence. He testified that these were his diary notes relating to relevant events and meetings. He explained that some of the notes were made contemporaneously, while others were later transposed into his notebook from contemporaneous notes he had made on scraps of paper. I ruled that these notes could be entered into evidence as past recollection recorded, and were admissible for the truth of their contents to the extent Mhinder vouched for their accuracy in the sense of being truthful at the time that he made the notes. He did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In the end, I find myself unable to give these notes much weight. I have no confidence that his notes truly reflected what occurred at the time, as opposed to how he would like things to have occurred. Accordingly, I am unable to rely on them as corroborating Mhinder unless they are supported by other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The defendants contend that I should reject all of Mhinder's evidence and all of his claims on the basis that he has no credibility, and I cannot safely rely on anything he says.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His credibility is certainly in tatters, but it does not necessarily follow that because his evidence is unreliable his positions are untenable, and the same may be said of Bhora. That depends on what I am able to conclude from all of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xml:space="preserve">  In these circumstances, I consider it appropriate to adopt the approach taken by Madam Justice Allan in </w:t>
      </w:r>
      <w:r>
        <w:rPr>
          <w:rFonts w:ascii="arial" w:eastAsia="arial" w:hAnsi="arial" w:cs="arial"/>
          <w:i/>
          <w:color w:val="000000"/>
          <w:sz w:val="20"/>
          <w:lang w:val="en-US" w:eastAsia="en-US" w:bidi="ar-SA"/>
        </w:rPr>
        <w:t>Sangha v Reliance Investment Group Ltd</w:t>
      </w:r>
      <w:r>
        <w:rPr>
          <w:rFonts w:ascii="arial" w:eastAsia="arial" w:hAnsi="arial" w:cs="arial"/>
          <w:color w:val="000000"/>
          <w:sz w:val="20"/>
          <w:lang w:val="en-US" w:eastAsia="en-US" w:bidi="ar-SA"/>
        </w:rPr>
        <w:t xml:space="preserve">, </w:t>
      </w:r>
      <w:hyperlink r:id="rId826" w:history="1">
        <w:r>
          <w:rPr>
            <w:rFonts w:ascii="arial" w:eastAsia="arial" w:hAnsi="arial" w:cs="arial"/>
            <w:i/>
            <w:color w:val="0077CC"/>
            <w:sz w:val="20"/>
            <w:u w:val="single"/>
            <w:shd w:val="clear" w:color="auto" w:fill="FFFFFF"/>
            <w:lang w:val="en-US" w:eastAsia="en-US" w:bidi="ar-SA"/>
          </w:rPr>
          <w:t>2011 BCSC 1324</w:t>
        </w:r>
      </w:hyperlink>
      <w:r>
        <w:rPr>
          <w:rFonts w:ascii="arial" w:eastAsia="arial" w:hAnsi="arial" w:cs="arial"/>
          <w:color w:val="000000"/>
          <w:sz w:val="20"/>
          <w:lang w:val="en-US" w:eastAsia="en-US" w:bidi="ar-SA"/>
        </w:rPr>
        <w:t xml:space="preserve">. There, Allan J. commented at para 196 that because the stakes were so large and the animosities so deep, "none of the parties had the slightest hesitation in tailoring their evidence to advance their positions". She concluded at para 199 that the court must nevertheless "attempt to ascertain the truth despite the unreliability of the evidence of the parties", quoting from her earlier judgment in </w:t>
      </w:r>
      <w:r>
        <w:rPr>
          <w:rFonts w:ascii="arial" w:eastAsia="arial" w:hAnsi="arial" w:cs="arial"/>
          <w:i/>
          <w:color w:val="000000"/>
          <w:sz w:val="20"/>
          <w:lang w:val="en-US" w:eastAsia="en-US" w:bidi="ar-SA"/>
        </w:rPr>
        <w:t>Randhawa v 420413 BC Ltd</w:t>
      </w:r>
      <w:r>
        <w:rPr>
          <w:rFonts w:ascii="arial" w:eastAsia="arial" w:hAnsi="arial" w:cs="arial"/>
          <w:color w:val="000000"/>
          <w:sz w:val="20"/>
          <w:lang w:val="en-US" w:eastAsia="en-US" w:bidi="ar-SA"/>
        </w:rPr>
        <w:t xml:space="preserve">, </w:t>
      </w:r>
      <w:hyperlink r:id="rId827" w:history="1">
        <w:r>
          <w:rPr>
            <w:rFonts w:ascii="arial" w:eastAsia="arial" w:hAnsi="arial" w:cs="arial"/>
            <w:i/>
            <w:color w:val="0077CC"/>
            <w:sz w:val="20"/>
            <w:u w:val="single"/>
            <w:shd w:val="clear" w:color="auto" w:fill="FFFFFF"/>
            <w:lang w:val="en-US" w:eastAsia="en-US" w:bidi="ar-SA"/>
          </w:rPr>
          <w:t>2007 BCSC 1507</w:t>
        </w:r>
      </w:hyperlink>
      <w:r>
        <w:rPr>
          <w:rFonts w:ascii="arial" w:eastAsia="arial" w:hAnsi="arial" w:cs="arial"/>
          <w:color w:val="000000"/>
          <w:sz w:val="20"/>
          <w:lang w:val="en-US" w:eastAsia="en-US" w:bidi="ar-SA"/>
        </w:rPr>
        <w:t xml:space="preserve">, aff'd </w:t>
      </w:r>
      <w:hyperlink r:id="rId828" w:history="1">
        <w:r>
          <w:rPr>
            <w:rFonts w:ascii="arial" w:eastAsia="arial" w:hAnsi="arial" w:cs="arial"/>
            <w:i/>
            <w:color w:val="0077CC"/>
            <w:sz w:val="20"/>
            <w:u w:val="single"/>
            <w:shd w:val="clear" w:color="auto" w:fill="FFFFFF"/>
            <w:lang w:val="en-US" w:eastAsia="en-US" w:bidi="ar-SA"/>
          </w:rPr>
          <w:t>2009 BCCA 602</w:t>
        </w:r>
      </w:hyperlink>
      <w:r>
        <w:rPr>
          <w:rFonts w:ascii="arial" w:eastAsia="arial" w:hAnsi="arial" w:cs="arial"/>
          <w:color w:val="000000"/>
          <w:sz w:val="20"/>
          <w:lang w:val="en-US" w:eastAsia="en-US" w:bidi="ar-SA"/>
        </w:rPr>
        <w:t xml:space="preserve">, leave to appeal ref'd </w:t>
      </w:r>
      <w:hyperlink r:id="rId829" w:history="1">
        <w:r>
          <w:rPr>
            <w:rFonts w:ascii="arial" w:eastAsia="arial" w:hAnsi="arial" w:cs="arial"/>
            <w:i/>
            <w:color w:val="0077CC"/>
            <w:sz w:val="20"/>
            <w:u w:val="single"/>
            <w:shd w:val="clear" w:color="auto" w:fill="FFFFFF"/>
            <w:lang w:val="en-US" w:eastAsia="en-US" w:bidi="ar-SA"/>
          </w:rPr>
          <w:t>[2010] SCCA No. 73</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[222] The critical issue is to determine which evidence on the core issue is consistent with the probabilities affecting the case as a whole and shown to be in existence at the material time: </w:t>
      </w:r>
      <w:r>
        <w:rPr>
          <w:rFonts w:ascii="arial" w:eastAsia="arial" w:hAnsi="arial" w:cs="arial"/>
          <w:i/>
          <w:color w:val="000000"/>
          <w:sz w:val="20"/>
          <w:lang w:val="en-US" w:eastAsia="en-US" w:bidi="ar-SA"/>
        </w:rPr>
        <w:t>Farnya v. Chorney</w:t>
      </w:r>
      <w:r>
        <w:rPr>
          <w:rFonts w:ascii="arial" w:eastAsia="arial" w:hAnsi="arial" w:cs="arial"/>
          <w:color w:val="000000"/>
          <w:sz w:val="20"/>
          <w:lang w:val="en-US" w:eastAsia="en-US" w:bidi="ar-SA"/>
        </w:rPr>
        <w:t xml:space="preserve"> </w:t>
      </w:r>
      <w:hyperlink r:id="rId409" w:history="1">
        <w:r>
          <w:rPr>
            <w:rFonts w:ascii="arial" w:eastAsia="arial" w:hAnsi="arial" w:cs="arial"/>
            <w:i/>
            <w:color w:val="0077CC"/>
            <w:sz w:val="20"/>
            <w:u w:val="single"/>
            <w:shd w:val="clear" w:color="auto" w:fill="FFFFFF"/>
            <w:lang w:val="en-US" w:eastAsia="en-US" w:bidi="ar-SA"/>
          </w:rPr>
          <w:t>(1951), 4 W.W.R. (N.S.) 171</w:t>
        </w:r>
      </w:hyperlink>
      <w:r>
        <w:rPr>
          <w:rFonts w:ascii="arial" w:eastAsia="arial" w:hAnsi="arial" w:cs="arial"/>
          <w:color w:val="000000"/>
          <w:sz w:val="20"/>
          <w:lang w:val="en-US" w:eastAsia="en-US" w:bidi="ar-SA"/>
        </w:rPr>
        <w:t xml:space="preserve"> (B.C.C.A.) at 174:</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 short, the real test of the truth of a story ... must be its harmony with the preponderance of the probabilities which a practical and informed person would readily recognize as reasonable in that place and in those conditions. Only thus can a court satisfactorily appraise the testimony of quick-minded, experienced and confident witnesses and of those shrewd persons adept in the half-lie and of long and successful experience in combining skilful exaggeration with partial suppression of the truth.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With this in mind, I will now review the many claims and counterclaims advanced in this litigation. Because these claims are interwoven and interdependent on a number of different levels, they are not easily organized into a chronological, or, for that matter, any kind of linear fashion, and will necessarily involve some repetition. I turn first to discuss Mhinder's claim that the family companies and various properties are held by Richard and Rita in trust for him and Bhora.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 THE NEW FAMILY TRUST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5.1 </w:t>
      </w:r>
      <w:r>
        <w:rPr>
          <w:rFonts w:ascii="arial" w:eastAsia="arial" w:hAnsi="arial" w:cs="arial"/>
          <w:b/>
          <w:color w:val="000000"/>
          <w:sz w:val="20"/>
          <w:u w:val="single"/>
          <w:lang w:val="en-US" w:eastAsia="en-US" w:bidi="ar-SA"/>
        </w:rPr>
        <w:t>Overview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As we have seen, Mhinder and Bhora raise a number of issues concerning their rights as beneficiaries and trustees of the brothers' trust, including whether certain businesses and properties registered only in the name of one brother or the other are assets of that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But what about Bhora's children, the next generation? There are businesses and properties registered in their names too. No one suggests that their businesses or properties are assets of the brothers' trust. Mhinder, however, alleges that a new family trust was intentionally created by which Richard and Rita agreed to hold their properties and businesses in trust for Bhora and Mhinder, not through the brothers' trust, to which Richard and Rita are strangers, but through an express trust to which they all agreed in the period after Bhagwan left the trust, culminating in the acknowledgements of trust they signed on December 24,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Alternatively, Mhinder submits that even if the acknowledgements of trust do not create an express trust, the circumstances are such that the court should nevertheless impose a remedial constructive trust based upon unjust enrichment, or a subset of that concept, being knowing receipt of trust property. The claim is strongly reminiscent of that advanced by Bhagwan in his action in relation to the "related companies", in which context Mhinder stoutly resisted it (see paragraph 54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Assessing these claims requires a review of much of the background of the Mayer family and their businesses in order to understand the genesis of Richard's and Rita's businesses, and the circumstances relevant to a consideration of the law and the equities of the situation.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5.2 </w:t>
      </w:r>
      <w:r>
        <w:rPr>
          <w:rFonts w:ascii="arial" w:eastAsia="arial" w:hAnsi="arial" w:cs="arial"/>
          <w:b/>
          <w:color w:val="000000"/>
          <w:sz w:val="20"/>
          <w:u w:val="single"/>
          <w:lang w:val="en-US" w:eastAsia="en-US" w:bidi="ar-SA"/>
        </w:rPr>
        <w:t>The litigation context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The litigation also provides useful context. As set out above, Mhinder first raised the new family trust concept in a writ of summons and statement of claim he filed on October 20, 2009, to comply with a deadline imposed for the bringing of all new claims. In his statement of claim, Mhinder reiterated allegations pleaded by Bhagwan concerning the alleged transfer of large amounts of money and assets from the brothers' trust to Richard, Gina, Rita and other family companies, for no consideration or gross undervalues. The statement of claim did not refer to the acknowledgement of trust documents. These did not appear in the pleadings until Mhinder supplied particulars of his trust claims on November 10,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According to Rita, Mhinder telephoned her on October 18, 2009. He told her that if she and Richard did not get on Mhinder's side in his fight with Bhora, and do what he asked, he would make sure that she and Richard lost everything. Rita declined to yield to what she perceived to be blackmail. Mhinder's trust claim was filed within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Mhinder denied making any such threat, although it is clear that he did telephone Rita, which Kelly acknowledged. Kelly further recalled that Mhinder received a "really mean and nasty" letter from Rita's lawyer telling him not to contact Rita again. This is consistent with the Rita's version of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Also consistent is the evidence of Mr. Fitterer. He testified that he first learned about the acknowledgements of trust when Mhinder faxed copies to him on February 23, 2009. He discussed them with Mhinder afterwards. He told Mhinder that such documents could give rise to significant tax ramifications, and he also strongly recommended that Mhinder attempt to achieve a settlement of his dispute with Bhora, rather than expend significant sums on legal fees. Mr. Fitterer testified that Mhinder told him that he wanted half of the trust properties and the rental properties, half of the Custom Group (Rita's companies) and half of the Bastion Group (Richard's companies). Mr. Fitterer's comment was that he thought the likely result would be just retaining half of the Osborne Group and the trust properties. Mhinder responded, "If I can't get half of everything, I will make sure no one gets anything." This evidence was not challenged in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I accept the evidence of Rita and Mr. Fitterer. It does not follow from this that Mhinder's evidence concerning the new family trust must be rejected. It adds, however, to the skepticism that Mhinder's evidence attracts.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5.3 </w:t>
      </w:r>
      <w:r>
        <w:rPr>
          <w:rFonts w:ascii="arial" w:eastAsia="arial" w:hAnsi="arial" w:cs="arial"/>
          <w:b/>
          <w:color w:val="000000"/>
          <w:sz w:val="20"/>
          <w:u w:val="single"/>
          <w:lang w:val="en-US" w:eastAsia="en-US" w:bidi="ar-SA"/>
        </w:rPr>
        <w:t>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xml:space="preserve">  To demonstrate the creation of an intentional trust (express or implied), Mhinder must establish three certainties: certainty of intention to create the trust, certainty of the subject of the trust, and certainty of the trust object: Waters, Gillen and Smith: </w:t>
      </w:r>
      <w:r>
        <w:rPr>
          <w:rFonts w:ascii="arial" w:eastAsia="arial" w:hAnsi="arial" w:cs="arial"/>
          <w:i/>
          <w:color w:val="000000"/>
          <w:sz w:val="20"/>
          <w:lang w:val="en-US" w:eastAsia="en-US" w:bidi="ar-SA"/>
        </w:rPr>
        <w:t>Waters' Law of Trusts in Canada</w:t>
      </w:r>
      <w:r>
        <w:rPr>
          <w:rFonts w:ascii="arial" w:eastAsia="arial" w:hAnsi="arial" w:cs="arial"/>
          <w:color w:val="000000"/>
          <w:sz w:val="20"/>
          <w:lang w:val="en-US" w:eastAsia="en-US" w:bidi="ar-SA"/>
        </w:rPr>
        <w:t>, 4th ed. 2012 ("</w:t>
      </w:r>
      <w:r>
        <w:rPr>
          <w:rFonts w:ascii="arial" w:eastAsia="arial" w:hAnsi="arial" w:cs="arial"/>
          <w:i/>
          <w:color w:val="000000"/>
          <w:sz w:val="20"/>
          <w:lang w:val="en-US" w:eastAsia="en-US" w:bidi="ar-SA"/>
        </w:rPr>
        <w:t>Waters</w:t>
      </w:r>
      <w:r>
        <w:rPr>
          <w:rFonts w:ascii="arial" w:eastAsia="arial" w:hAnsi="arial" w:cs="arial"/>
          <w:color w:val="000000"/>
          <w:sz w:val="20"/>
          <w:lang w:val="en-US" w:eastAsia="en-US" w:bidi="ar-SA"/>
        </w:rPr>
        <w:t xml:space="preserve">") at p 140 and following; </w:t>
      </w:r>
      <w:r>
        <w:rPr>
          <w:rFonts w:ascii="arial" w:eastAsia="arial" w:hAnsi="arial" w:cs="arial"/>
          <w:i/>
          <w:color w:val="000000"/>
          <w:sz w:val="20"/>
          <w:lang w:val="en-US" w:eastAsia="en-US" w:bidi="ar-SA"/>
        </w:rPr>
        <w:t>Lewis v Union of BC Performers</w:t>
      </w:r>
      <w:r>
        <w:rPr>
          <w:rFonts w:ascii="arial" w:eastAsia="arial" w:hAnsi="arial" w:cs="arial"/>
          <w:color w:val="000000"/>
          <w:sz w:val="20"/>
          <w:lang w:val="en-US" w:eastAsia="en-US" w:bidi="ar-SA"/>
        </w:rPr>
        <w:t xml:space="preserve"> </w:t>
      </w:r>
      <w:hyperlink r:id="rId46" w:history="1">
        <w:r>
          <w:rPr>
            <w:rFonts w:ascii="arial" w:eastAsia="arial" w:hAnsi="arial" w:cs="arial"/>
            <w:i/>
            <w:color w:val="0077CC"/>
            <w:sz w:val="20"/>
            <w:u w:val="single"/>
            <w:shd w:val="clear" w:color="auto" w:fill="FFFFFF"/>
            <w:lang w:val="en-US" w:eastAsia="en-US" w:bidi="ar-SA"/>
          </w:rPr>
          <w:t>(1996), 18 BCLR (3d) 382</w:t>
        </w:r>
      </w:hyperlink>
      <w:r>
        <w:rPr>
          <w:rFonts w:ascii="arial" w:eastAsia="arial" w:hAnsi="arial" w:cs="arial"/>
          <w:color w:val="000000"/>
          <w:sz w:val="20"/>
          <w:lang w:val="en-US" w:eastAsia="en-US" w:bidi="ar-SA"/>
        </w:rPr>
        <w:t xml:space="preserve"> at paras 21-22 (CA); and </w:t>
      </w:r>
      <w:r>
        <w:rPr>
          <w:rFonts w:ascii="arial" w:eastAsia="arial" w:hAnsi="arial" w:cs="arial"/>
          <w:i/>
          <w:color w:val="000000"/>
          <w:sz w:val="20"/>
          <w:lang w:val="en-US" w:eastAsia="en-US" w:bidi="ar-SA"/>
        </w:rPr>
        <w:t>Brown v Manuck</w:t>
      </w:r>
      <w:r>
        <w:rPr>
          <w:rFonts w:ascii="arial" w:eastAsia="arial" w:hAnsi="arial" w:cs="arial"/>
          <w:color w:val="000000"/>
          <w:sz w:val="20"/>
          <w:lang w:val="en-US" w:eastAsia="en-US" w:bidi="ar-SA"/>
        </w:rPr>
        <w:t xml:space="preserve">, </w:t>
      </w:r>
      <w:hyperlink r:id="rId830" w:history="1">
        <w:r>
          <w:rPr>
            <w:rFonts w:ascii="arial" w:eastAsia="arial" w:hAnsi="arial" w:cs="arial"/>
            <w:i/>
            <w:color w:val="0077CC"/>
            <w:sz w:val="20"/>
            <w:u w:val="single"/>
            <w:shd w:val="clear" w:color="auto" w:fill="FFFFFF"/>
            <w:lang w:val="en-US" w:eastAsia="en-US" w:bidi="ar-SA"/>
          </w:rPr>
          <w:t>2015 BCSC 1966</w:t>
        </w:r>
      </w:hyperlink>
      <w:r>
        <w:rPr>
          <w:rFonts w:ascii="arial" w:eastAsia="arial" w:hAnsi="arial" w:cs="arial"/>
          <w:color w:val="000000"/>
          <w:sz w:val="20"/>
          <w:lang w:val="en-US" w:eastAsia="en-US" w:bidi="ar-SA"/>
        </w:rPr>
        <w:t xml:space="preserve"> at paras 147-150.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Mhinder contends that all three certainties are established here by the acknowledgements of trust signed by Rita and Richard.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xml:space="preserve">  The foundation for his constructive trust claims is Mhinder's proposition that he and Bhora contributed a great deal in both time, energy and money to the establishment and success of the businesses that are in Richard's and Rita's names, and that they were essentially family enterprises, created for the common good, to which the businesses of the brothers' trust devolved their operations. Mhinder asserts that these contributions continued through 2006. After the brothers fell out in early 2007, he contends, Bhora continued to render financial assistance to the businesses of Richard and Rita, but now over Mhinder's objections. Mhinder repeats the words of Dickson J. in </w:t>
      </w:r>
      <w:r>
        <w:rPr>
          <w:rFonts w:ascii="arial" w:eastAsia="arial" w:hAnsi="arial" w:cs="arial"/>
          <w:i/>
          <w:color w:val="000000"/>
          <w:sz w:val="20"/>
          <w:lang w:val="en-US" w:eastAsia="en-US" w:bidi="ar-SA"/>
        </w:rPr>
        <w:t>Rathwell v Rathwell</w:t>
      </w:r>
      <w:r>
        <w:rPr>
          <w:rFonts w:ascii="arial" w:eastAsia="arial" w:hAnsi="arial" w:cs="arial"/>
          <w:color w:val="000000"/>
          <w:sz w:val="20"/>
          <w:lang w:val="en-US" w:eastAsia="en-US" w:bidi="ar-SA"/>
        </w:rPr>
        <w:t xml:space="preserve">, </w:t>
      </w:r>
      <w:hyperlink r:id="rId831" w:history="1">
        <w:r>
          <w:rPr>
            <w:rFonts w:ascii="arial" w:eastAsia="arial" w:hAnsi="arial" w:cs="arial"/>
            <w:i/>
            <w:color w:val="0077CC"/>
            <w:sz w:val="20"/>
            <w:u w:val="single"/>
            <w:shd w:val="clear" w:color="auto" w:fill="FFFFFF"/>
            <w:lang w:val="en-US" w:eastAsia="en-US" w:bidi="ar-SA"/>
          </w:rPr>
          <w:t>[1978] 2 SCR 436</w:t>
        </w:r>
      </w:hyperlink>
      <w:r>
        <w:rPr>
          <w:rFonts w:ascii="arial" w:eastAsia="arial" w:hAnsi="arial" w:cs="arial"/>
          <w:color w:val="000000"/>
          <w:sz w:val="20"/>
          <w:lang w:val="en-US" w:eastAsia="en-US" w:bidi="ar-SA"/>
        </w:rPr>
        <w:t xml:space="preserve"> at 455: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a matter of principle, the court will not allow any man unjustly to appropriate to himself the value earned by the labours of another...[F]or the principal to succeed, the facts must display an enrichment, a corresponding deprivation, and the absence of any juristic reason -- such as a contract or disposition of law-- for the enrichment.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xml:space="preserve">  The test for unjust enrichment thus has three elements: (1) an enrichment of the defendant; (2) a corresponding deprivation of the plaintiff; and (3) an absence of juristic reason for the enrichment: </w:t>
      </w:r>
      <w:r>
        <w:rPr>
          <w:rFonts w:ascii="arial" w:eastAsia="arial" w:hAnsi="arial" w:cs="arial"/>
          <w:i/>
          <w:color w:val="000000"/>
          <w:sz w:val="20"/>
          <w:lang w:val="en-US" w:eastAsia="en-US" w:bidi="ar-SA"/>
        </w:rPr>
        <w:t>Garland v Consumers' Gas Co</w:t>
      </w:r>
      <w:r>
        <w:rPr>
          <w:rFonts w:ascii="arial" w:eastAsia="arial" w:hAnsi="arial" w:cs="arial"/>
          <w:color w:val="000000"/>
          <w:sz w:val="20"/>
          <w:lang w:val="en-US" w:eastAsia="en-US" w:bidi="ar-SA"/>
        </w:rPr>
        <w:t xml:space="preserve">, </w:t>
      </w:r>
      <w:hyperlink r:id="rId832" w:history="1">
        <w:r>
          <w:rPr>
            <w:rFonts w:ascii="arial" w:eastAsia="arial" w:hAnsi="arial" w:cs="arial"/>
            <w:i/>
            <w:color w:val="0077CC"/>
            <w:sz w:val="20"/>
            <w:u w:val="single"/>
            <w:shd w:val="clear" w:color="auto" w:fill="FFFFFF"/>
            <w:lang w:val="en-US" w:eastAsia="en-US" w:bidi="ar-SA"/>
          </w:rPr>
          <w:t>2004 SCC 25</w:t>
        </w:r>
      </w:hyperlink>
      <w:r>
        <w:rPr>
          <w:rFonts w:ascii="arial" w:eastAsia="arial" w:hAnsi="arial" w:cs="arial"/>
          <w:color w:val="000000"/>
          <w:sz w:val="20"/>
          <w:lang w:val="en-US" w:eastAsia="en-US" w:bidi="ar-SA"/>
        </w:rPr>
        <w:t xml:space="preserve"> at para 30; </w:t>
      </w:r>
      <w:r>
        <w:rPr>
          <w:rFonts w:ascii="arial" w:eastAsia="arial" w:hAnsi="arial" w:cs="arial"/>
          <w:i/>
          <w:color w:val="000000"/>
          <w:sz w:val="20"/>
          <w:lang w:val="en-US" w:eastAsia="en-US" w:bidi="ar-SA"/>
        </w:rPr>
        <w:t>Pettkus v Becker</w:t>
      </w:r>
      <w:r>
        <w:rPr>
          <w:rFonts w:ascii="arial" w:eastAsia="arial" w:hAnsi="arial" w:cs="arial"/>
          <w:color w:val="000000"/>
          <w:sz w:val="20"/>
          <w:lang w:val="en-US" w:eastAsia="en-US" w:bidi="ar-SA"/>
        </w:rPr>
        <w:t xml:space="preserve">, </w:t>
      </w:r>
      <w:hyperlink r:id="rId833" w:history="1">
        <w:r>
          <w:rPr>
            <w:rFonts w:ascii="arial" w:eastAsia="arial" w:hAnsi="arial" w:cs="arial"/>
            <w:i/>
            <w:color w:val="0077CC"/>
            <w:sz w:val="20"/>
            <w:u w:val="single"/>
            <w:shd w:val="clear" w:color="auto" w:fill="FFFFFF"/>
            <w:lang w:val="en-US" w:eastAsia="en-US" w:bidi="ar-SA"/>
          </w:rPr>
          <w:t>[1980] 2 SCR 834</w:t>
        </w:r>
      </w:hyperlink>
      <w:r>
        <w:rPr>
          <w:rFonts w:ascii="arial" w:eastAsia="arial" w:hAnsi="arial" w:cs="arial"/>
          <w:color w:val="000000"/>
          <w:sz w:val="20"/>
          <w:lang w:val="en-US" w:eastAsia="en-US" w:bidi="ar-SA"/>
        </w:rPr>
        <w:t xml:space="preserve"> at 848; and </w:t>
      </w:r>
      <w:r>
        <w:rPr>
          <w:rFonts w:ascii="arial" w:eastAsia="arial" w:hAnsi="arial" w:cs="arial"/>
          <w:i/>
          <w:color w:val="000000"/>
          <w:sz w:val="20"/>
          <w:lang w:val="en-US" w:eastAsia="en-US" w:bidi="ar-SA"/>
        </w:rPr>
        <w:t>Peel (Regional Municipality) v Canada</w:t>
      </w:r>
      <w:r>
        <w:rPr>
          <w:rFonts w:ascii="arial" w:eastAsia="arial" w:hAnsi="arial" w:cs="arial"/>
          <w:color w:val="000000"/>
          <w:sz w:val="20"/>
          <w:lang w:val="en-US" w:eastAsia="en-US" w:bidi="ar-SA"/>
        </w:rPr>
        <w:t xml:space="preserve">, </w:t>
      </w:r>
      <w:hyperlink r:id="rId834" w:history="1">
        <w:r>
          <w:rPr>
            <w:rFonts w:ascii="arial" w:eastAsia="arial" w:hAnsi="arial" w:cs="arial"/>
            <w:i/>
            <w:color w:val="0077CC"/>
            <w:sz w:val="20"/>
            <w:u w:val="single"/>
            <w:shd w:val="clear" w:color="auto" w:fill="FFFFFF"/>
            <w:lang w:val="en-US" w:eastAsia="en-US" w:bidi="ar-SA"/>
          </w:rPr>
          <w:t>[1992] 3 SCR 762</w:t>
        </w:r>
      </w:hyperlink>
      <w:r>
        <w:rPr>
          <w:rFonts w:ascii="arial" w:eastAsia="arial" w:hAnsi="arial" w:cs="arial"/>
          <w:color w:val="000000"/>
          <w:sz w:val="20"/>
          <w:lang w:val="en-US" w:eastAsia="en-US" w:bidi="ar-SA"/>
        </w:rPr>
        <w:t xml:space="preserve"> at 784. Mhinder maintains that those three elements are met by the contributions that Mhinder and Bhora made both individually and through OCL.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xml:space="preserve">  With respect to knowing receipt, Mhinder relies on that subset involving strangers to a trust (here the brothers' trust), who receive trust property for their own use and benefit and with the knowledge that the property was transferred to them in breach of trust. It is that knowledge that establishes the "unjust" nature of the recipient's enrichment, thereby entitling the plaintiff to a restitutionary remedy; constructive knowledge (knowledge of facts sufficient to put a reasonable person on notice or inquiry) will suffice. In the absence of constructive or actual knowledge of the breach of trust, the recipient may well have a lawful claim to the trust property, and would not be considered to have been unjustly enriched: </w:t>
      </w:r>
      <w:r>
        <w:rPr>
          <w:rFonts w:ascii="arial" w:eastAsia="arial" w:hAnsi="arial" w:cs="arial"/>
          <w:i/>
          <w:color w:val="000000"/>
          <w:sz w:val="20"/>
          <w:lang w:val="en-US" w:eastAsia="en-US" w:bidi="ar-SA"/>
        </w:rPr>
        <w:t>Citadel General Assurance Co v Lloyds Bank Canada</w:t>
      </w:r>
      <w:r>
        <w:rPr>
          <w:rFonts w:ascii="arial" w:eastAsia="arial" w:hAnsi="arial" w:cs="arial"/>
          <w:color w:val="000000"/>
          <w:sz w:val="20"/>
          <w:lang w:val="en-US" w:eastAsia="en-US" w:bidi="ar-SA"/>
        </w:rPr>
        <w:t xml:space="preserve">, </w:t>
      </w:r>
      <w:hyperlink r:id="rId835" w:history="1">
        <w:r>
          <w:rPr>
            <w:rFonts w:ascii="arial" w:eastAsia="arial" w:hAnsi="arial" w:cs="arial"/>
            <w:i/>
            <w:color w:val="0077CC"/>
            <w:sz w:val="20"/>
            <w:u w:val="single"/>
            <w:shd w:val="clear" w:color="auto" w:fill="FFFFFF"/>
            <w:lang w:val="en-US" w:eastAsia="en-US" w:bidi="ar-SA"/>
          </w:rPr>
          <w:t>[1997] 3 SCR 805</w:t>
        </w:r>
      </w:hyperlink>
      <w:r>
        <w:rPr>
          <w:rFonts w:ascii="arial" w:eastAsia="arial" w:hAnsi="arial" w:cs="arial"/>
          <w:color w:val="000000"/>
          <w:sz w:val="20"/>
          <w:lang w:val="en-US" w:eastAsia="en-US" w:bidi="ar-SA"/>
        </w:rPr>
        <w:t xml:space="preserve"> at paras 25 and 48-51.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xml:space="preserve">  Mhinder further refers to the venerable concept of a substantive constructive trust (as opposed to a remedial one), recently resuscitated (at least as a valid pleading) by the Court of Appeal in </w:t>
      </w:r>
      <w:r>
        <w:rPr>
          <w:rFonts w:ascii="arial" w:eastAsia="arial" w:hAnsi="arial" w:cs="arial"/>
          <w:i/>
          <w:color w:val="000000"/>
          <w:sz w:val="20"/>
          <w:lang w:val="en-US" w:eastAsia="en-US" w:bidi="ar-SA"/>
        </w:rPr>
        <w:t>BNSF Railway Co v Teck Metals Ltd</w:t>
      </w:r>
      <w:r>
        <w:rPr>
          <w:rFonts w:ascii="arial" w:eastAsia="arial" w:hAnsi="arial" w:cs="arial"/>
          <w:color w:val="000000"/>
          <w:sz w:val="20"/>
          <w:lang w:val="en-US" w:eastAsia="en-US" w:bidi="ar-SA"/>
        </w:rPr>
        <w:t xml:space="preserve">, </w:t>
      </w:r>
      <w:hyperlink r:id="rId836" w:history="1">
        <w:r>
          <w:rPr>
            <w:rFonts w:ascii="arial" w:eastAsia="arial" w:hAnsi="arial" w:cs="arial"/>
            <w:i/>
            <w:color w:val="0077CC"/>
            <w:sz w:val="20"/>
            <w:u w:val="single"/>
            <w:shd w:val="clear" w:color="auto" w:fill="FFFFFF"/>
            <w:lang w:val="en-US" w:eastAsia="en-US" w:bidi="ar-SA"/>
          </w:rPr>
          <w:t>2016 BCCA 350</w:t>
        </w:r>
      </w:hyperlink>
      <w:r>
        <w:rPr>
          <w:rFonts w:ascii="arial" w:eastAsia="arial" w:hAnsi="arial" w:cs="arial"/>
          <w:color w:val="000000"/>
          <w:sz w:val="20"/>
          <w:lang w:val="en-US" w:eastAsia="en-US" w:bidi="ar-SA"/>
        </w:rPr>
        <w:t xml:space="preserve">. A remedial constructive trust, as discussed above, is a judicial remedy constructed by the court and imposed to enforce an equity obligation arising from two categories: breach of fiduciary duty or (in our case) unjust enrichment. A substantive constructive trust, on the other hand, arises by operation of law as from the date of the circumstances that give rise to it, and may arise outside of the two categories that pertain to remedial constructive trusts. The court's function is merely to declare that it has arisen in the past; see </w:t>
      </w:r>
      <w:r>
        <w:rPr>
          <w:rFonts w:ascii="arial" w:eastAsia="arial" w:hAnsi="arial" w:cs="arial"/>
          <w:i/>
          <w:color w:val="000000"/>
          <w:sz w:val="20"/>
          <w:lang w:val="en-US" w:eastAsia="en-US" w:bidi="ar-SA"/>
        </w:rPr>
        <w:t>BNSF Railway</w:t>
      </w:r>
      <w:r>
        <w:rPr>
          <w:rFonts w:ascii="arial" w:eastAsia="arial" w:hAnsi="arial" w:cs="arial"/>
          <w:color w:val="000000"/>
          <w:sz w:val="20"/>
          <w:lang w:val="en-US" w:eastAsia="en-US" w:bidi="ar-SA"/>
        </w:rPr>
        <w:t xml:space="preserve"> at paras 3-4. The court may declare that either type of constructive trust operates retrospectively.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xml:space="preserve">  The purpose of the substantive constructive trust is to hold persons in different situations to high standards of trust and probity and prevent them from retaining property which in "good conscience" they should not be permitted to retain: </w:t>
      </w:r>
      <w:r>
        <w:rPr>
          <w:rFonts w:ascii="arial" w:eastAsia="arial" w:hAnsi="arial" w:cs="arial"/>
          <w:i/>
          <w:color w:val="000000"/>
          <w:sz w:val="20"/>
          <w:lang w:val="en-US" w:eastAsia="en-US" w:bidi="ar-SA"/>
        </w:rPr>
        <w:t>Soulos v Korkontzilas</w:t>
      </w:r>
      <w:r>
        <w:rPr>
          <w:rFonts w:ascii="arial" w:eastAsia="arial" w:hAnsi="arial" w:cs="arial"/>
          <w:color w:val="000000"/>
          <w:sz w:val="20"/>
          <w:lang w:val="en-US" w:eastAsia="en-US" w:bidi="ar-SA"/>
        </w:rPr>
        <w:t xml:space="preserve">, </w:t>
      </w:r>
      <w:hyperlink r:id="rId837" w:history="1">
        <w:r>
          <w:rPr>
            <w:rFonts w:ascii="arial" w:eastAsia="arial" w:hAnsi="arial" w:cs="arial"/>
            <w:i/>
            <w:color w:val="0077CC"/>
            <w:sz w:val="20"/>
            <w:u w:val="single"/>
            <w:shd w:val="clear" w:color="auto" w:fill="FFFFFF"/>
            <w:lang w:val="en-US" w:eastAsia="en-US" w:bidi="ar-SA"/>
          </w:rPr>
          <w:t>[1997] 2 SCR 217</w:t>
        </w:r>
      </w:hyperlink>
      <w:r>
        <w:rPr>
          <w:rFonts w:ascii="arial" w:eastAsia="arial" w:hAnsi="arial" w:cs="arial"/>
          <w:color w:val="000000"/>
          <w:sz w:val="20"/>
          <w:lang w:val="en-US" w:eastAsia="en-US" w:bidi="ar-SA"/>
        </w:rPr>
        <w:t xml:space="preserve"> at para 17. The emphasis, then, is on a wrongful acquisition as opposed to unjust enrichment. Conceptually, as noted by Cory J. in </w:t>
      </w:r>
      <w:r>
        <w:rPr>
          <w:rFonts w:ascii="arial" w:eastAsia="arial" w:hAnsi="arial" w:cs="arial"/>
          <w:i/>
          <w:color w:val="000000"/>
          <w:sz w:val="20"/>
          <w:lang w:val="en-US" w:eastAsia="en-US" w:bidi="ar-SA"/>
        </w:rPr>
        <w:t>Rawluk v Rawluk</w:t>
      </w:r>
      <w:r>
        <w:rPr>
          <w:rFonts w:ascii="arial" w:eastAsia="arial" w:hAnsi="arial" w:cs="arial"/>
          <w:color w:val="000000"/>
          <w:sz w:val="20"/>
          <w:lang w:val="en-US" w:eastAsia="en-US" w:bidi="ar-SA"/>
        </w:rPr>
        <w:t xml:space="preserve">, </w:t>
      </w:r>
      <w:hyperlink r:id="rId838" w:history="1">
        <w:r>
          <w:rPr>
            <w:rFonts w:ascii="arial" w:eastAsia="arial" w:hAnsi="arial" w:cs="arial"/>
            <w:i/>
            <w:color w:val="0077CC"/>
            <w:sz w:val="20"/>
            <w:u w:val="single"/>
            <w:shd w:val="clear" w:color="auto" w:fill="FFFFFF"/>
            <w:lang w:val="en-US" w:eastAsia="en-US" w:bidi="ar-SA"/>
          </w:rPr>
          <w:t>[1990] 1 SCR 70</w:t>
        </w:r>
      </w:hyperlink>
      <w:r>
        <w:rPr>
          <w:rFonts w:ascii="arial" w:eastAsia="arial" w:hAnsi="arial" w:cs="arial"/>
          <w:color w:val="000000"/>
          <w:sz w:val="20"/>
          <w:lang w:val="en-US" w:eastAsia="en-US" w:bidi="ar-SA"/>
        </w:rPr>
        <w:t xml:space="preserve"> at 81, it is very similar to an express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xml:space="preserve">  The example raised in the </w:t>
      </w:r>
      <w:r>
        <w:rPr>
          <w:rFonts w:ascii="arial" w:eastAsia="arial" w:hAnsi="arial" w:cs="arial"/>
          <w:i/>
          <w:color w:val="000000"/>
          <w:sz w:val="20"/>
          <w:lang w:val="en-US" w:eastAsia="en-US" w:bidi="ar-SA"/>
        </w:rPr>
        <w:t>BNSF Railway</w:t>
      </w:r>
      <w:r>
        <w:rPr>
          <w:rFonts w:ascii="arial" w:eastAsia="arial" w:hAnsi="arial" w:cs="arial"/>
          <w:color w:val="000000"/>
          <w:sz w:val="20"/>
          <w:lang w:val="en-US" w:eastAsia="en-US" w:bidi="ar-SA"/>
        </w:rPr>
        <w:t xml:space="preserve"> case was a series of payments allegedly made automatically and by mistake that BNSF Railway alleged the defendant held in trust. The court noted that all constructive trusts require that the plaintiff show that a monetary award would be inadequate or inappropriate, and identify property or proceeds thereof to which the plaintiff's labour or money contributed. In short, the plaintiff must establish a direct link to the property that is said to be the subject of the trust. The advantage of alleging a constructive trust was the availability of an equitable tracing remedy, as opposed to a pure monetary award which might be subject to limitation periods or insolvency problems (see paras 68-70).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xml:space="preserve">  It must be remembered that the issue in </w:t>
      </w:r>
      <w:r>
        <w:rPr>
          <w:rFonts w:ascii="arial" w:eastAsia="arial" w:hAnsi="arial" w:cs="arial"/>
          <w:i/>
          <w:color w:val="000000"/>
          <w:sz w:val="20"/>
          <w:lang w:val="en-US" w:eastAsia="en-US" w:bidi="ar-SA"/>
        </w:rPr>
        <w:t>BNSF Railway</w:t>
      </w:r>
      <w:r>
        <w:rPr>
          <w:rFonts w:ascii="arial" w:eastAsia="arial" w:hAnsi="arial" w:cs="arial"/>
          <w:color w:val="000000"/>
          <w:sz w:val="20"/>
          <w:lang w:val="en-US" w:eastAsia="en-US" w:bidi="ar-SA"/>
        </w:rPr>
        <w:t xml:space="preserve"> was whether a proposed amendment to plead a substantive constructive trust, as distinct from a remedial constructive trust, was bound to fail. The court concluded it was not; rather, at para 55: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open to a court, "where good conscience so requires" (</w:t>
      </w:r>
      <w:r>
        <w:rPr>
          <w:rFonts w:ascii="arial" w:eastAsia="arial" w:hAnsi="arial" w:cs="arial"/>
          <w:i/>
          <w:color w:val="000000"/>
          <w:sz w:val="20"/>
          <w:lang w:val="en-US" w:eastAsia="en-US" w:bidi="ar-SA"/>
        </w:rPr>
        <w:t>Soulos</w:t>
      </w:r>
      <w:r>
        <w:rPr>
          <w:rFonts w:ascii="arial" w:eastAsia="arial" w:hAnsi="arial" w:cs="arial"/>
          <w:color w:val="000000"/>
          <w:sz w:val="20"/>
          <w:lang w:val="en-US" w:eastAsia="en-US" w:bidi="ar-SA"/>
        </w:rPr>
        <w:t xml:space="preserve"> at para. 34), to develop the law in this area on an incremental or a case-by-case basis beyond the constraints of the two categories of breach of fiduciary duty and unjust enrichment.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As will be seen, I conclude that Mhinder's claims must fail. As a matter of evidence, there was no intention to create an express new family trust. As a matter of equity, the undoubted contributions of Mhinder, Bhora and Mr. Furnemont to the success of the family companies did not rise to a level where they constituted a transfer of trust property to them, or an un-bargained, unjust transfer of wealth within the family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xml:space="preserve">  As the Supreme Court stated in </w:t>
      </w:r>
      <w:r>
        <w:rPr>
          <w:rFonts w:ascii="arial" w:eastAsia="arial" w:hAnsi="arial" w:cs="arial"/>
          <w:i/>
          <w:color w:val="000000"/>
          <w:sz w:val="20"/>
          <w:lang w:val="en-US" w:eastAsia="en-US" w:bidi="ar-SA"/>
        </w:rPr>
        <w:t>Peel</w:t>
      </w:r>
      <w:r>
        <w:rPr>
          <w:rFonts w:ascii="arial" w:eastAsia="arial" w:hAnsi="arial" w:cs="arial"/>
          <w:color w:val="000000"/>
          <w:sz w:val="20"/>
          <w:lang w:val="en-US" w:eastAsia="en-US" w:bidi="ar-SA"/>
        </w:rPr>
        <w:t xml:space="preserve"> at p. 788: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the heart of the doctrine of unjust enrichment, whether expressed in terms of the traditional categories of recovery or general principle, lies the notion of restoration of a benefit which justice does not permit one to retain.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 my view, the circumstances of this case are such that neither justice nor good conscience prevents Richard, Rita and Gina from retaining the benefit of the businesses they built.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5.4 </w:t>
      </w:r>
      <w:r>
        <w:rPr>
          <w:rFonts w:ascii="arial" w:eastAsia="arial" w:hAnsi="arial" w:cs="arial"/>
          <w:b/>
          <w:color w:val="000000"/>
          <w:sz w:val="20"/>
          <w:u w:val="single"/>
          <w:lang w:val="en-US" w:eastAsia="en-US" w:bidi="ar-SA"/>
        </w:rPr>
        <w:t>A change in focus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By 1988, Welbier had died and Bhim had departed the brothers' trust, leaving Bhagwan, Bhora and Mhinder. Counsel for Mhinder described the business at this point, I think accurately, as akin to a partnership with Bhagwan the managing partner. OCL was operating two ready-mix plants, one in Duncan and one in Nanaimo at 1125 Farquhar Street, selling concrete under the tradename "Mayco Mix" ("Mayco" being an abbreviation of "Mayer Company"). Spruston Aggregates, then held in trust for the three brothers by Mr. Furnemont, operated a gravel pit in Nanaimo on Spruston Road (the "Spruston pit"). GCM was operating a ready-mix plant on Salt Spring Island. Holman Transport provided trucking, equipment and transportation services. OCL was making and selling Waffle-crete construction panels, and had leased out the Brownsey Block-making business formerly managed by Bhim.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There is no real dispute in the evidence that a change in focus began to develop at about this point. There were a number of motives for this. One was a desire on the part of Bhagwan, with which Bhora and Mhinder agreed, to pull their business back from employee-intensive operations with associated payroll and union issues, and move into a more management/consultation-centred role. Another was the prospect of looming environmental liabilities, particularly in relation to the Nanaimo ready-mix plant. Tax concerns were also a factor. And another generation was coming along. No one testified that this change in focus in any way involved an expectation that trust concepts would apply.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The strategy the brothers developed at this point, as we shall see, was the genesis of most of the family companies that are the subject of Mhinder's trust claims. With the advantage of hindsight, it is not difficult to understand Mhinder's mindset. This change in focus, a legitimate business decision in which he participated, led to the devolution of operating businesses to, and the creation of businesses by, companies owned by Richard and Rita. The fact remains that this was done for consideration, and Richard and Rita added a great deal of value to their businesses through their own efforts.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As this process continued, Bhagwan, the "managing partner", withdrew from the brothers' trust. Bhora stepped into his shoes. Mhinder, always involved in the operational side, became increasingly marginalized in the context of an administration-focused two-person trust. The two operating entities in which he was involved outside of the trust, Nanaimo Concrete and Arrowsmith Concrete, were sold in the Lehigh sale. Then, in the wake of that sale, Bhagwan reappeared, alleging that assets of the brothers' trust had been distributed to "related companies" owned by Richard, Rita and Gina, and maintaining that those assets (or the proceeds from their sale) continued to be held in trust. Mhinder, Bhora, Richard, Rita and Gina all maintained, pleaded and deposed that this was not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xml:space="preserve">  But, it seems to me, the point was not lost on Mhinder and when a falling out led to his increasing marginalization, his trust claim was born, a sort of </w:t>
      </w:r>
      <w:r>
        <w:rPr>
          <w:rFonts w:ascii="arial" w:eastAsia="arial" w:hAnsi="arial" w:cs="arial"/>
          <w:i/>
          <w:color w:val="000000"/>
          <w:sz w:val="20"/>
          <w:lang w:val="en-US" w:eastAsia="en-US" w:bidi="ar-SA"/>
        </w:rPr>
        <w:t>Bhagwan 2.0</w:t>
      </w:r>
      <w:r>
        <w:rPr>
          <w:rFonts w:ascii="arial" w:eastAsia="arial" w:hAnsi="arial" w:cs="arial"/>
          <w:color w:val="000000"/>
          <w:sz w:val="20"/>
          <w:lang w:val="en-US" w:eastAsia="en-US" w:bidi="ar-SA"/>
        </w:rPr>
        <w:t>. The principal modification was the allegation of a new trust replacing Bhagwan's claim on behalf of the brothers' trust. Like Bhagwan, Mhinder also advanced an alternative pleading of a constructive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As I review Richard's and Rita's businesses that are the subject of Mhinder's trust claims, I will comment on the equities that the evidence discloses before turning to review the evidence relevant to Mhinder's claim of an intentional, express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xml:space="preserve">  In this regard, much of what Mhinder relies on is reminiscent of the sort of "family collective" claim that the court in </w:t>
      </w:r>
      <w:r>
        <w:rPr>
          <w:rFonts w:ascii="arial" w:eastAsia="arial" w:hAnsi="arial" w:cs="arial"/>
          <w:i/>
          <w:color w:val="000000"/>
          <w:sz w:val="20"/>
          <w:lang w:val="en-US" w:eastAsia="en-US" w:bidi="ar-SA"/>
        </w:rPr>
        <w:t>Sangha</w:t>
      </w:r>
      <w:r>
        <w:rPr>
          <w:rFonts w:ascii="arial" w:eastAsia="arial" w:hAnsi="arial" w:cs="arial"/>
          <w:color w:val="000000"/>
          <w:sz w:val="20"/>
          <w:lang w:val="en-US" w:eastAsia="en-US" w:bidi="ar-SA"/>
        </w:rPr>
        <w:t xml:space="preserve"> rejected on the basis that it was not a legally-recognized concept in Canada. But Mhinder bases his claim upon the application of Canadian legal concepts and precedents. These include due consideration of the autonomy of the parties, their legitimate expectations, and their right to order their affairs by agreement: see </w:t>
      </w:r>
      <w:r>
        <w:rPr>
          <w:rFonts w:ascii="arial" w:eastAsia="arial" w:hAnsi="arial" w:cs="arial"/>
          <w:i/>
          <w:color w:val="000000"/>
          <w:sz w:val="20"/>
          <w:lang w:val="en-US" w:eastAsia="en-US" w:bidi="ar-SA"/>
        </w:rPr>
        <w:t>Peel</w:t>
      </w:r>
      <w:r>
        <w:rPr>
          <w:rFonts w:ascii="arial" w:eastAsia="arial" w:hAnsi="arial" w:cs="arial"/>
          <w:color w:val="000000"/>
          <w:sz w:val="20"/>
          <w:lang w:val="en-US" w:eastAsia="en-US" w:bidi="ar-SA"/>
        </w:rPr>
        <w:t xml:space="preserve"> at p. 803, and </w:t>
      </w:r>
      <w:r>
        <w:rPr>
          <w:rFonts w:ascii="arial" w:eastAsia="arial" w:hAnsi="arial" w:cs="arial"/>
          <w:i/>
          <w:color w:val="000000"/>
          <w:sz w:val="20"/>
          <w:lang w:val="en-US" w:eastAsia="en-US" w:bidi="ar-SA"/>
        </w:rPr>
        <w:t>Kerr v Baranow</w:t>
      </w:r>
      <w:r>
        <w:rPr>
          <w:rFonts w:ascii="arial" w:eastAsia="arial" w:hAnsi="arial" w:cs="arial"/>
          <w:color w:val="000000"/>
          <w:sz w:val="20"/>
          <w:lang w:val="en-US" w:eastAsia="en-US" w:bidi="ar-SA"/>
        </w:rPr>
        <w:t xml:space="preserve">, </w:t>
      </w:r>
      <w:hyperlink r:id="rId839" w:history="1">
        <w:r>
          <w:rPr>
            <w:rFonts w:ascii="arial" w:eastAsia="arial" w:hAnsi="arial" w:cs="arial"/>
            <w:i/>
            <w:color w:val="0077CC"/>
            <w:sz w:val="20"/>
            <w:u w:val="single"/>
            <w:shd w:val="clear" w:color="auto" w:fill="FFFFFF"/>
            <w:lang w:val="en-US" w:eastAsia="en-US" w:bidi="ar-SA"/>
          </w:rPr>
          <w:t>2011 SCC 10</w:t>
        </w:r>
      </w:hyperlink>
      <w:r>
        <w:rPr>
          <w:rFonts w:ascii="arial" w:eastAsia="arial" w:hAnsi="arial" w:cs="arial"/>
          <w:color w:val="000000"/>
          <w:sz w:val="20"/>
          <w:lang w:val="en-US" w:eastAsia="en-US" w:bidi="ar-SA"/>
        </w:rPr>
        <w:t xml:space="preserve"> at paras 40-41. Consequently, it is not enough simply to say that the family members were prepared to work together for the benefit of each other, which was clearly the case. Many families do that, and the benefits typically go both ways. They did so, I find,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Before looking at the businesses, it is helpful to bear in mind the general approach that members of the Mayer family took to the distribution of money.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5.5 </w:t>
      </w:r>
      <w:r>
        <w:rPr>
          <w:rFonts w:ascii="arial" w:eastAsia="arial" w:hAnsi="arial" w:cs="arial"/>
          <w:b/>
          <w:color w:val="000000"/>
          <w:sz w:val="20"/>
          <w:u w:val="single"/>
          <w:lang w:val="en-US" w:eastAsia="en-US" w:bidi="ar-SA"/>
        </w:rPr>
        <w:t>The family's approach to money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When it came to the brothers' trust, Bhagwan, Mhinder and Bhora were in the habit of drawing out such money as they required whenever they required it, and Mhinder and Bhora continued this practice after Bhagwan's departure. Essentially, they would make their needs known to Mr. Furnemont, and he would arrange to make the money available. How this was accounted for, and whether there was or needed to be overall equality, are subjects of different aspects of this litigation. But as time went by, there were also other sources of funds, including Gina, Richard and Rita and their companies.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Members of the Mayer family and their companies transferred cash back and forth to each other on a frequent basis. Again, it was Mr. Furnemont who generally orchestrated this. As the controller of all the companies, he was the man who always seemed to know where money could be found and where it needed to go. Sometimes the money was transferred as a loan; sometimes there appeared to be no conditions at all; only occasionally was there any formal documentation as to terms and expectations; often, those involved could no longer remember why the money was transferred. Richard described the practice as "just the way we did it": if one of them needed funds, another would notionally lend the money, but with no expectation of it being paid back. This loose arrangement is part of the backdrop against which the equities arising among family members must be assessed.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One exception to this course of dealing was a thoroughly documented loan of $300,000 from OCL, the principal operating asset of the brothers' trust, to Island Aggregates, a company registered solely in the name of Richard (successor to Nanaimo Concrete). This loan, advanced in March 2007, was secured by a promissory note and was ultimately repaid in full. A question arises as to whether Mhinder knew of and consented to this loan before it was made. It is clear that he objected to it afterwards, and he now claims that it is one of a number of transactions in which Bhora favoured his children and their companies at the expense of the brothers' trust through dealing with them on uncommercial terms.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Mhinder also claims against Richard and Rita in debt in relation to various sums he advanced them personally (there were other advances going the opposite direction), and against Richard under a promissory note for $900,000 signed by Richard in Mhinder's favour as part of the Lehigh 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The point is that although money was often transferred among various members of the family, no one suggested that the money was understood to be Mhinder's money, or Bhora's money, or brothers' trust money, or money for which the transferee was accountable to the transferor (unless otherwise stipulated). All contributed as they were able, and all expected to benefit without any particular accounting. The sense was one of an informal collective.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5.6 </w:t>
      </w:r>
      <w:r>
        <w:rPr>
          <w:rFonts w:ascii="arial" w:eastAsia="arial" w:hAnsi="arial" w:cs="arial"/>
          <w:b/>
          <w:color w:val="000000"/>
          <w:sz w:val="20"/>
          <w:u w:val="single"/>
          <w:lang w:val="en-US" w:eastAsia="en-US" w:bidi="ar-SA"/>
        </w:rPr>
        <w:t>The Family Companies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I have already described in general terms the strategic tack taken by the brothers that led to a change in focus for the brothers' trust, and ultimately to the devolution of operating businesses to the family companies. But, as we shall see, this devolution involved transfers that benefited both sides, not gifts.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xml:space="preserve">  Through this process, Richard and Rita undoubtedly benefited from a good deal of familial assistance, principally from Bhora, Mhinder and Mr. Furnemont. But, I find, this assistance was rendered either for consideration, or, in the context of this family and this case, did not constitute the sort of "incontrovertible benefit" that gives rise to a restitutionary right. Otherwise, both Rita and Richard would undoubtedly have preferred to decline the benefit if given the choice: see </w:t>
      </w:r>
      <w:r>
        <w:rPr>
          <w:rFonts w:ascii="arial" w:eastAsia="arial" w:hAnsi="arial" w:cs="arial"/>
          <w:i/>
          <w:color w:val="000000"/>
          <w:sz w:val="20"/>
          <w:lang w:val="en-US" w:eastAsia="en-US" w:bidi="ar-SA"/>
        </w:rPr>
        <w:t>Peel</w:t>
      </w:r>
      <w:r>
        <w:rPr>
          <w:rFonts w:ascii="arial" w:eastAsia="arial" w:hAnsi="arial" w:cs="arial"/>
          <w:color w:val="000000"/>
          <w:sz w:val="20"/>
          <w:lang w:val="en-US" w:eastAsia="en-US" w:bidi="ar-SA"/>
        </w:rPr>
        <w:t xml:space="preserve"> at p. 795.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xml:space="preserve">  With respect to all of their businesses, Richard's and Rita's family connections doubtlessly gave them advantages not shared by persons without such connections, but I find that they do not constitute a benefit that it would be unjust for them to retain in the circumstances of this case. As the court pointed out in </w:t>
      </w:r>
      <w:r>
        <w:rPr>
          <w:rFonts w:ascii="arial" w:eastAsia="arial" w:hAnsi="arial" w:cs="arial"/>
          <w:i/>
          <w:color w:val="000000"/>
          <w:sz w:val="20"/>
          <w:lang w:val="en-US" w:eastAsia="en-US" w:bidi="ar-SA"/>
        </w:rPr>
        <w:t>Pettkus</w:t>
      </w:r>
      <w:r>
        <w:rPr>
          <w:rFonts w:ascii="arial" w:eastAsia="arial" w:hAnsi="arial" w:cs="arial"/>
          <w:color w:val="000000"/>
          <w:sz w:val="20"/>
          <w:lang w:val="en-US" w:eastAsia="en-US" w:bidi="ar-SA"/>
        </w:rPr>
        <w:t xml:space="preserve"> at p. 848, the common law has never been willing to compensate the plaintiff on the sole basis that his actions have benefited another. More is required, and is not to be found here. In the circumstances before me, to give Mhinder and Bhora a beneficial interest in the family companies, as Mhinder claims, would create, not remedy, an injustice. It certainly would be contrary to the expectation of the parties at the time.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5.6.1 </w:t>
      </w:r>
      <w:r>
        <w:rPr>
          <w:rFonts w:ascii="arial" w:eastAsia="arial" w:hAnsi="arial" w:cs="arial"/>
          <w:b/>
          <w:i/>
          <w:color w:val="000000"/>
          <w:sz w:val="20"/>
          <w:lang w:val="en-US" w:eastAsia="en-US" w:bidi="ar-SA"/>
        </w:rPr>
        <w:t>Nanaimo Concrete Ltd. and the genesis of Arrowsmith Concrete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Bhagwan, I am told, had six children and had hoped that his eldest might take over the Nanaimo ready-mix operation. But neither that child nor any of the others was interested in following in their father's footsteps. According to Bhora, Bhagwan then offered to sell that business to Richard-Bhagwan's nephew and Bhora's 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The precise details of how this came about are not really important. What is important, I find, is that the brothers agreed to sell the Nanaimo ready-mix business to Richard on a franchise basis, and this was the origin of Richard's company Nanaimo Concrete Ltd, incorporated on December 29, 1988. After the Lehigh sale, Nanaimo Concrete became Island Aggregates Ltd. It is not disputed that Nanaimo Concrete was, at its inception, Richard's company both legally and beneficially, and was never part of the brothers'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Moreover, this was no gift. Pursuant to the brothers' change in focus, Richard's company would take over operation of the ready-mix business and all its employees from OCL. OCL would continue to own the land and equipment. Richard would buy the equipment over time, pay rent for the land, a franchise fee for use of the tradename Mayco Mix, and an administration fee for accounting and administration including the use of Marc Furnemont. In addition, Nanaimo Concrete would be responsible for dealing with environmental charges. This was all consistent with the brothers' desired change in focus described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Bhora testified, and I accept, that while Mhinder initially agreed to this sale to Richard, he later expressed misgivings. Mhinder viewed Nanaimo as "his town", having worked in the ready-mix business there for some time, and knowing all of the customers and competitors. Because Nanaimo Concrete was not a brothers' trust company, he was concerned that he would be considered to have left the trust if he continued to work in the same capacity for Nanaimo Concrete as he had when OCL owned the business. Bhagwan stepped in to resolve the matter and made it clear to Mhinder that he could work for Richard at Nanaimo Concrete, and be paid a wage, without being considered to have left the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Moreover, Bhagwan agreed with Mhinder to establish another, smaller, ready-mix plant near Coombs, BC, that Mhinder could operate outside the trust. This business, to be operated in the shadow of Mount Arrowsmith, was incorporated as Arrowsmith Concrete Ltd. Arrowsmith later became Mid-Isle Holdings ("MIH") after the Lehigh sale, and is one of the DTCs. Through Arrowsmith, Mhinder, too, entered into a franchise agreement with OCL to use the Mayco Mix tradename, paying OCL a franchise fee and administration fees.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Thus, as discussed above, the benefits flowing from this arrangement went in both directions: to Richard, who was given an opportunity not readily available to someone outside the family; to Mhinder and Bhora as beneficiaries of the brothers' trust because it fulfilled their strategic aims, bringing in cash flow without operational obligations or risk of environmental liability; and to Mhinder personally by providing him with employment and the opportunity to establish Arrowsmith Concrete.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Bhora did not approve of Bhagwan's actions in this regard, but went along with them. He maintains, however, that they never went through with making Arrowsmith Mhinder's company although the shares were registered in Mhinder's name. As far as Bhora is concerned, it was always part of the brothers' trust. As I discuss later (section 6.3 below), I do not accept that evidence. Whatever may have been the status at the start, I find that Arrowsmith was conceptually intended to be Mhinder's company, and was treated as Mhinder's company by the time Bhagwan left in 1991.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Over the ensuing years, Richard, through Nanaimo Concrete, carried on with the operation and development of the ready-mix business in Nanaimo. As Mr. Furnemont testified, Richard brought a very different style of management to the company, improving it in many ways. He bought the equipment formerly owned by OCL, cleaned it up and bought new equipment as well. He continued to pay franchise and administration fees to OCL. Between 1989 and 1996, Nanaimo Concrete paid OCL franchise fees totaling $1,886,349; administration fees totaling $160,000; rent for 1125 Farquhar totaling $372,000, and amounts for the purchase of well-used equipment totaling $126,250.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Mhinder objects that these payments stopped in 1995-1996.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The franchise payments stopped because, I find, Richard had developed the business to the point where the continuing value in the Mayco name was largely due to his efforts, he had purchased all of OCL's equipment, and had bought or was buying the land. With respect to Richard's business development efforts, I accept his evidence and that of Mr. Furnemont that Richard had effected fundamental changes to the manner in which the Nanaimo ready-mix business was operated, upgrading it considerably.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In these circumstances, the parties agreed that enough had been paid. This is supported by the evidence of Richard and Mr. Furnemont, and accords generally with the circumstances independently established. I see no unjust enrichment here. Mhinder also stopped paying franchise fees on behalf of Arrowsmith.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Administration fees stopped, at least temporarily. I observe that the administration of businesses operated by members of the Mayer family did not necessarily follow the lines of ownership. Mr. Furnemont was, in essence, the chief administrator of all family businesses, whether inside or outside the brothers' trust. This applied not only to the businesses owned and operated by Richard and Rita, but also to those registered in the name of Mhinder.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Both Richard and Rita referred to Mr. Furnemont as "my controller" even though Mr. Furnemont remained an employee of OCL. But Mr. Furnemont was expected to bill Richard's and Rita's companies for his services even though much of the administrative work had been transferred from OCL to Bastion Management.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Mhinder submits that, on the evidence of the financial statements, Nanaimo Concrete stopped paying administration and management fees after 1995, paying nothing further until 2001 (Nanaimo Concrete thereafter paid consulting fees to OCL for assistance rendered in connection with the Lehigh sale). Mhinder describes this gap as financial support from Bhora and Mhinder in the form of Mr. Furnemont's services, whose salary was paid by OCL.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Once again, in the wider context of the manner in which this family operated, the evidence from Richard and Mr. Furnemont that there was an agreement between OCL and Nanaimo Concrete to suspend the payment of fees for Mr. Furnemont's services given all that it been paid up till then, the shift of administrative responsibility from OCL to Bastion Management, and the resumption of the payment of substantial fees after 2001, I am unable to find that this constitutes anything like unjust enrichment.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Ultimately, as I describe below, Nanaimo Concrete became the centrepiece of the Lehigh sale.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5.6.2 </w:t>
      </w:r>
      <w:r>
        <w:rPr>
          <w:rFonts w:ascii="arial" w:eastAsia="arial" w:hAnsi="arial" w:cs="arial"/>
          <w:b/>
          <w:i/>
          <w:color w:val="000000"/>
          <w:sz w:val="20"/>
          <w:lang w:val="en-US" w:eastAsia="en-US" w:bidi="ar-SA"/>
        </w:rPr>
        <w:t>Bastion Management Ltd</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Bastion Management began as 363756 BC Ltd, incorporated on April 17, 1989. 363756 BC Ltd later became Bastion Project Management Ltd, and ultimately Bastion Management Ltd. I will simply use the term Bastion Management. Richard incorporated it on the advice of Mr. Furnemont in order to purchase property at 265 Fry Street in Nanaimo, which is adjacent to the property at 1125 Farquhar Street where Nanaimo Concrete's ready-mix plant was located. It provided him with needed room for his equipment and trucks. That purchase completed on June 6, 1990 at a price of $240,000.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Later, on June 10, 1996, Bastion Management bought the property at 1125 Farquhar Street from OCL for $550,000. OCL received $275,000 cash, and gave a second mortgage back in the amount of $275,000 at an interest rate of 7.75%. Nanaimo Concrete was now relieved of its rent obligation to OCL. Mhinder maintains those were terms excessively favourable to Richard, and support his contention that a trust arose. I reject that contention.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During Mhinder's cross examination, Mr. Fraser suggested that it was Mhinder's idea to sell 1125 Farquhar to Richard because it had environmental problems. He put to Mhinder evidence Mhinder had given on discovery in the Bhagwan action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At some point the Farquhar property was sold to Nanaimo Concrete [</w:t>
      </w:r>
      <w:r>
        <w:rPr>
          <w:rFonts w:ascii="arial" w:eastAsia="arial" w:hAnsi="arial" w:cs="arial"/>
          <w:i/>
          <w:color w:val="000000"/>
          <w:sz w:val="20"/>
          <w:lang w:val="en-US" w:eastAsia="en-US" w:bidi="ar-SA"/>
        </w:rPr>
        <w:t>sic</w:t>
      </w:r>
      <w:r>
        <w:rPr>
          <w:rFonts w:ascii="arial" w:eastAsia="arial" w:hAnsi="arial" w:cs="arial"/>
          <w:color w:val="000000"/>
          <w:sz w:val="20"/>
          <w:lang w:val="en-US" w:eastAsia="en-US" w:bidi="ar-SA"/>
        </w:rPr>
        <w:t>]; is that right?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Yes.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Were you involved at all in that decision?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Yes, I was.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And how did it come about, the decision to sell the property to the Nanaimo company?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The Farquhar Street property had some potential problems and, yes-- yes. And I knew of them and I mentioned that to Bhora. I said "Bhora, environmental problems are big problems." And after listening to some of the things that happened in Vancouver here and the amounts the government had to pay, I said, "You know what; we're going to sell it. Let's just sell it to Ricky." He is a lot younger than me. So we got enough raised, we sold it. Ricky said he would buy it. We sold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When asked to confirm that his answers were true, Mhinder responded equivocally before being pinned down: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Yes, somewhat. At that time what was in my mind.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What do you mean, "somewhat true"?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Well, that's what was in my mind at that time, and we did sell 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Was anything in these answers that aren't-- that isn't true?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No, I don't think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Mhinder then confirmed the truth of additional discovery evidence he had given in the Bhagwan action that he did indeed want to sell the property to Richard because of environmental contamination and because OCL needed the money.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Moreover, there was no evidence that the amount Bastion paid for the property, $550,000, was less than its fair market value-indeed Mhinder's position in the Bhagwan action was to the contrary. Mhinder nevertheless points out that OCL received only $275,000 cash, and gave a second mortgage back in the amount of $275,000 at an interest rate of 7.75%. This resulted in payments rather less than what Nanaimo Concrete paid to OCL under the lease for the property. But I am unable to find that this constitutes anything like unjust enrichment. On Mhinder's own evidence, OCL received cash it needed and relieved itself of a significant exposure to liability it did not want. There was ample consideration.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In 1998, Bastion Management took over most of the administrative services provided by OCL, as those services were principally being consumed by Richard's companies. This relieved OCL of a number of employees.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5.6.3 </w:t>
      </w:r>
      <w:r>
        <w:rPr>
          <w:rFonts w:ascii="arial" w:eastAsia="arial" w:hAnsi="arial" w:cs="arial"/>
          <w:b/>
          <w:i/>
          <w:color w:val="000000"/>
          <w:sz w:val="20"/>
          <w:lang w:val="en-US" w:eastAsia="en-US" w:bidi="ar-SA"/>
        </w:rPr>
        <w:t>Mack Sales &amp; Service (Nanaimo) Ltd</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When Richard acquired the property at 265 Fry Street, it included a repair shop that Bastion Management initially rented out to an independent business. When that business proved unsuccessful, Richard incorporated Bastion Truck Maintenance Ltd in January 1996 to take over the business. That company was soon renamed B.T. Repairs Ltd. In 2001 it became Mack Sales &amp; Service of Nanaimo Ltd ("Mack Nanaimo") when Richard acquired the Mack Truck franchise for the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I am unable to accept Mhinder's uncorroborated evidence that Bhora and Mr. Furnemont, acting on behalf of OCL, secured the Mack Truck franchise and put it in Richard's name, and then secured the lands that the former dealership had occupied and put them in Rita's name-essentially assigning assets the brothers had secured randomly between the children. Mhinder was unable to say that OCL put any money into the operation, could not say that he participated in any discussions about the purchase of the property, and was unable to provide any details of any of the financial aspects of these transactions. At the same time, he was obliged to concede that Richard had managed the company successfully and had grown it into a very successful business. No rational basis was offered for recognizing a beneficial interest in the company on Mhinder's part.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I prefer and accept Richard's evidence. The acquisition of the Mack dealership was clearly his initiative, arising out of his creation of BT Repairs Ltd, and his purchase of tools and parts in the course of the liquidation of the assets of the former Mack Truck dealership in Nanaimo.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Through this process, Richard was contacted by a representative of Mack Trucks. That organization was interested in securing servicing for Mack trucks, and ultimately Richard secured its agreement to the establishment of a new franchise on the old dealership property. To accomplish this, Richard required the assistance of his sister (not Bhora, Mhinder or OCL) because he did not have sufficient funds to purchase the land as well as the franchise. Rita's company Archer bought the property and leased it to Mack Nanaimo. I find that Richard, through Bastion, invested considerable funds in Mack Nanaimo, arranged for appropriate financing, and proceeded without financial assistance from Bhora, Mhinder or OCL. The ultimate success of the business was due to his hard work and good management.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5.6.4 </w:t>
      </w:r>
      <w:r>
        <w:rPr>
          <w:rFonts w:ascii="arial" w:eastAsia="arial" w:hAnsi="arial" w:cs="arial"/>
          <w:b/>
          <w:i/>
          <w:color w:val="000000"/>
          <w:sz w:val="20"/>
          <w:lang w:val="en-US" w:eastAsia="en-US" w:bidi="ar-SA"/>
        </w:rPr>
        <w:t>New Concrete Concept Inc</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Gina incorporated New Concrete Concept Inc. ("NCC") on August 6, 1992, but never used it. Richard liked the name, and caused Bastion to acquire Gina's shares so that he could use the company as a vehicle for purchasing property at 1125 Cedar Road for use with his concrete business. NCC bought the Cedar Road property on December 16, 1996, for $285,000, which it financed through a mortgage from CIBC and funds from Bastion.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NCC subsequently purchased the Spruston Pit, and acquired lots at Duke Point, which played a role in the Lehigh sale. I discuss this further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5.6.5 </w:t>
      </w:r>
      <w:r>
        <w:rPr>
          <w:rFonts w:ascii="arial" w:eastAsia="arial" w:hAnsi="arial" w:cs="arial"/>
          <w:b/>
          <w:i/>
          <w:color w:val="000000"/>
          <w:sz w:val="20"/>
          <w:lang w:val="en-US" w:eastAsia="en-US" w:bidi="ar-SA"/>
        </w:rPr>
        <w:t>Custom Pumping Ltd</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According to Rita, she idolized Richard and was determined to follow him into the development of businesses within the areas in which the family was already experienced. I accept her evidence. Her first step in this regard was a company incorporated on February 13, 1990, which became known as Custom Pumping Ltd. Custom Pumping would provide pumping services for the delivery of concrete. Rita has always been the sole shareholder. In organizing this, she was assisted by Marc Furnemont and by a lawyer, Donald Orchard.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To provide pumping services, it is necessary to have a pump truck. Rita arranged to purchase one on February 15, 1990 for $415,000. Bhora helped her find it, and Mr. Furnemont helped with the negotiations. Rita paid cash of $33,920, which came from a loan from her mother, Gina. The balance was financed through a conditional sales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Custom Pumping began operating in Duncan under a manager whom Rita hired with assistance from her father, Bhora. Rita was not in a position to manage the operation herself because of her university studies. But she was no figurehead. When sales dipped she and her father met with the manager and Rita realized that she had to let him go. She hired a new manager who continued to operate the one pump in Duncan although he lived in Victoria. At his suggestion, Rita decided to move the operation down to Victoria and to expand by acquiring a second pump truck. She discussed the financing with Mr. Furnemont who indicated that he was willing to provide it through Spruston Aggregates. Spruston advanced the sum of $140,000 with an interest rate of 12%, secured by a promissory note from Custom, guaranteed by Rita. Custom duly repaid the loan.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Rita was able to acquire a third pump truck, financed through outside equipment financing, but ran into trouble when her manager proved to be siphoning revenue. She let him go and took over management herself.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Rita continued to expand the business, and ultimately moved it to premises she leased in a facility that had been developed by her brother on property Bastion had acquired in Langford.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Ultimately, Rita sold her pump trucks and closed the business down, except for one pump that she continued to lease to Gulf Coast Materials.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I find on the evidence that it was Rita's choice to pursue this business, though her choice was unquestionably inspired by the family businesses with which she was familiar. Bhora helped her with his experience. Gina helped with a loan, as did Mr. Furnemont in his personal capacity. Mr. Furnemont also assisted with his own expertise, for much of which he was compensated through billings from OCL. None of them claims a beneficial interest in the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In her business dealings, Rita was not only inspired by her family's businesses, but dealt with them. That she would prefer to deal with people she knew is hardly surprising. I accept that she also sought and received helpful advice from Mhinder, although he did not advance any funds or participate in any aspect of the business operation.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None of this, in my view, constitutes a knowing receipt of trust property, or an unjust enrichment of Rita to the detriment of Bhora and Mhinder.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5.6.6 </w:t>
      </w:r>
      <w:r>
        <w:rPr>
          <w:rFonts w:ascii="arial" w:eastAsia="arial" w:hAnsi="arial" w:cs="arial"/>
          <w:b/>
          <w:i/>
          <w:color w:val="000000"/>
          <w:sz w:val="20"/>
          <w:lang w:val="en-US" w:eastAsia="en-US" w:bidi="ar-SA"/>
        </w:rPr>
        <w:t>Malo Holdings Ltd</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In 1993, Rita sought to purchase some property in Ladysmith on which she proposed to construct a building to be leased to British Columbia Building Corporation for use by the Ministry of Health. For this purpose, to purchase the property, Malo Enterprises Ltd was incorporated on September 1, 1993, in the name of Marc Furnemont (the name representing an abbreviation of the first names of Marc Furnemont and his then-wife, Lorraine). Both Rita and Mr. Furnemont testified that this was because the seller of the property wanted to sell only to a "local", for which description Mr. Furnemont qualified. Mr. Furnemont subsequently transferred the shares to Rita on December 1, 2000. He was clear that he had always held the shares in trust for Rita (without any written documentation), but that they had forgotten to transfer them into her name until 2000. Malo Enterprises purchased the property for $24,250.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Mhinder maintains that Mr. Furnemont held the shares in trust for him and Bhora, rather than Rita, and indeed, in the flurry of signings on December 24, 2001, Mr. Furnemont signed an acknowledgement of trust to that effect. By then, however, he no longer owned legal title to the shares. He had already transferred them to Rita.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I accept Mr. Furnemont's evidence that he prepared and signed the acknowledgement in error, having forgotten what had happened with the shares in the context of fulfilling troubling instructions, as discussed in more detail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I prefer the evidence of Rita and Mr. Furnemont concerning for whose benefit the company was intended. I also accept Rita's evidence that the purpose of incorporating the company was entirely her idea, that it was she who oversaw the project of constructing a building for occupation by BCBC, and that the purchase of the property and the construction of the building were financed by a mortgage from the Royal Bank of Canada. Neither Mhinder nor Bhora contributed anything to the financing.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5.6.7 </w:t>
      </w:r>
      <w:r>
        <w:rPr>
          <w:rFonts w:ascii="arial" w:eastAsia="arial" w:hAnsi="arial" w:cs="arial"/>
          <w:b/>
          <w:i/>
          <w:color w:val="000000"/>
          <w:sz w:val="20"/>
          <w:lang w:val="en-US" w:eastAsia="en-US" w:bidi="ar-SA"/>
        </w:rPr>
        <w:t>Wee Tree Lumber Co. Ltd. and Archer Holdings Ltd</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On February 15, 1994, Rita bought the shares of Wee Tree Lumber Co. Ltd. The principal asset of this company was a property in Ladysmith on which a lumber mill had been operated. The idea was to open up a new concrete plant on the property which would fit in with Richard's plans as he was having trouble servicing his customers to the south of Nanaimo. Rita was anxious to take this on. Mhinder found the property, and then helped Rita find, acquire and set up a small concrete batching plant. Rita financed this through an operating line of credit provided by Royal Bank of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Wee Tree Lumber's ready-mix operation was sold as part of the Lehigh sale in 2001. Wee Tree Lumber then became Ladysmith Holdings Ltd which, together with Malo Enterprises, was then folded into Archer Holdings Ltd. Rita had initially incorporated Archer Holdings on August 4, 1993, for the purpose of buying real property. Mr. Furnemont had given her the same advice as he had given to Richard: to hold real estate, incorporate an entity separate from the operating business. Archer Holdings bought a number of properties, including one at 953 Balmoral in Victoria, purchased from Mhinder for $120,000.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In relation to his claim for a beneficial interest in Wee Tree, Mhinder relies in part on evidence that he made a cash advance to Rita of $115,000 around the time that she purchased the company and established a ready-makes batch plant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xml:space="preserve">  This seems to me to be one of a number of examples of opportunism on Mhinder's part. He cannot say as a matter of either record or recollection that he advanced funds to her to facilitate her investment in Wee Tree, nor can he say on what basis he advanced the funds (gift, loan or ?), or whether the funds were personal or obtained from OCL. He remembers nothing about them. Rather, he observes the timing and then, through </w:t>
      </w:r>
      <w:r>
        <w:rPr>
          <w:rFonts w:ascii="arial" w:eastAsia="arial" w:hAnsi="arial" w:cs="arial"/>
          <w:i/>
          <w:color w:val="000000"/>
          <w:sz w:val="20"/>
          <w:lang w:val="en-US" w:eastAsia="en-US" w:bidi="ar-SA"/>
        </w:rPr>
        <w:t>post hoc ergo proptor hoc</w:t>
      </w:r>
      <w:r>
        <w:rPr>
          <w:rFonts w:ascii="arial" w:eastAsia="arial" w:hAnsi="arial" w:cs="arial"/>
          <w:color w:val="000000"/>
          <w:sz w:val="20"/>
          <w:lang w:val="en-US" w:eastAsia="en-US" w:bidi="ar-SA"/>
        </w:rPr>
        <w:t xml:space="preserve"> reasoning, converts the transfer of funds into a contribution to her acquisition of Wee Tree. But in the context of this family's dealings with each other, the timing proves nothing either way. More is required in this context to prove an enrichment of Rita to Mhinder's detriment without juristic reason-to establish, in this instance, that it would be unjust to permit Rita to retain ownership of her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Rita acknowledged that it is possible that she may have used some of the funds advanced by Mhinder for Wee Tree. She cannot now say given the passage of time and the absence of any records. But I am satisfied that any such use would have been incidental. Wee Tree came about because Rita was interested in getting into the ready-mix business, and Richard was having trouble servicing his customers south of Nanaimo through Nanaimo Concrete. Rita obtained financing through an operating line of credit provided by the Royal Bank of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To get Wee Tree going, Mhinder provided a good deal of hands-on assistance. That was his way. He was knowledgeable and willing to help. But he was employed by Nanaimo Concrete, and paid for his work. His contribution, I find, though helpful, falls short of what is required to give him a remedial beneficial interest in the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As with other instances of Mhinder's hands-on help, he and Rita were not like a couple who worked together to create a joint enterprise or home, so that it would be inequitable to allow one to hold on to the whole. This was Rita's enterprise. I am satisfied that neither Mhinder nor Rita had any expectation that Mhinder's avuncular assistance would give him a beneficial interest in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5.6.8 </w:t>
      </w:r>
      <w:r>
        <w:rPr>
          <w:rFonts w:ascii="arial" w:eastAsia="arial" w:hAnsi="arial" w:cs="arial"/>
          <w:b/>
          <w:i/>
          <w:color w:val="000000"/>
          <w:sz w:val="20"/>
          <w:lang w:val="en-US" w:eastAsia="en-US" w:bidi="ar-SA"/>
        </w:rPr>
        <w:t>Richard's and Rita's properties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Richard and Rita own a number of properties individually. They also own one property together, jointly with their mother, Gina. The one they owned jointly is a condominium that is presently rented out. Previously, both Richard and Rita used it as a personal residence.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In addition, Richard owns 244 Fry St. in Nanaimo, which he purchased on July 26, 1995, for $85,000. The seller took a mortgage back in the amount of $65,000. He also owned 1581 Prairie Ave. in Port Coquitlam, which he purchased on April 27, 1989, for $97,000, with Gina's assistance. He sold it in 2002 for $228,000.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Rita bought property at 1737 Northfield Rd. in Nanaimo on March 30, 1995, from Dan Helgesen, an employee of OCL and GCM, for $162,000, and sold it ten years later for $163,000. Only during the course of this trial did it emerge that, according to both Mhinder and Mr. Helgesen, Mhinder had a half interest in that property although it was registered only in the name of Mr. Helgesen. I discuss this transaction in more detail below (see paras 307-312).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Rita owned another property on Northfield Road, which she bought on January 3, 1997, for $132,000, and sold on October 14, 2004, for $152,000.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Neither Mhinder nor Bhora financed or contributed to the purchase of any of these properties.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5.6.9 </w:t>
      </w:r>
      <w:r>
        <w:rPr>
          <w:rFonts w:ascii="arial" w:eastAsia="arial" w:hAnsi="arial" w:cs="arial"/>
          <w:b/>
          <w:i/>
          <w:color w:val="000000"/>
          <w:sz w:val="20"/>
          <w:lang w:val="en-US" w:eastAsia="en-US" w:bidi="ar-SA"/>
        </w:rPr>
        <w:t>The Lehigh sale and the $900,000 promissory note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The Lehigh sale closed in the spring of 2001. It was certainly a catalyst. By the fall of that year, Bhagwan was raising questions and threatening litigation. On December 12 he filed, but did not serve, his writ and statement of claim. On December 24, Richard and Rita signed the acknowledgements of trust upon which Mhinder relies. Mr. Furnemont signed one too, with Kelly signing hers on January 24,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The Lehigh transaction is important to an understanding of the ways in which members of the family and their companies, in and outside of the brothers' trust, interacted. The structure of the Lehigh sale was complicated. Many sophisticated professionals were involved in planning the design of the transaction, and I did not have the advantage of hearing from its chief architect, KPMG.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As we have seen, the Lehigh sale involved the sale of three ready-mix concrete operations: Arrowsmith's operation in Coombs; Wee Tree's operation in Ladysmith; and Nanaimo Concrete's operation in Nanaimo. But it was more than that, and it all began with the supply of cement powder.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Richard's company, Nanaimo Concrete, was a larger operation than the other ready-mix suppliers in the family, Arrowsmith, Wee Tree and GCM, but it was a good deal smaller than its giant competitors, Lehigh/Tilbury and Ocean Cement. Although he was in competition with them Richard had to buy his cement powder from Lehigh, which put him at a competitive disadvantage and caused him logistical problems. The powder had to be picked up from Lehigh's terminal at Mill Bay, and it was difficult to store in large quantities.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In order to address this, Richard researched offshore sources of cement powder. He envisioned building a large silo on the property he purchased through NCC at 1125 Cedar Road in December of 1996. He could then bring in cement powder by the container load. Bhora helped him by negotiating with a supplier in Indonesia who could provide powder at a much lower cost.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Lehigh learned of these inquiries through its own contacts in Asia, and Lehigh's president contacted Bhora to make it clear that he would prefer that Nanaimo Concrete continue to purchase its cement powder from Lehigh. Lehigh recognized the logistical problems and proposed working with Richard to construct a cement terminal to the benefit of both organizations.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This idea attracted Richard, and through NCC he bought a lot (Lot 11) at Duke Point on July 31, 1998. While his own property on Cedar Road would have been adequate for cement powder storage for his own purposes, it was not suited for the construction of a cement terminal. Lehigh advanced $180,000 to assist in this regard. NCC later leased and then purchased a second lot, Lot 14, which was on the water and better suited to his plans. The Lot 14 lease was signed at the end of September 1999 by NCC as lessee, and by Richard and Bhora as guarantors. It included a list of qualifying works that were to be undertaken by the lessee, including the construction of three silos for the storage of cement, and a deep water barge loading facility.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In the meantime, on August 1, 1998, Lehigh (actually Tilbury Cement, but the parties treated them as interchangeable and so will I) entered into a Cement Purchase Agreement and Rights of First Refusal with Nanaimo Concrete and Richard Mayer. By this agreement, Nanaimo Concrete agreed to purchase all of its cement from Lehigh, on terms equal to or better than those otherwise available in the marketplace. In addition, in consideration of the sum of $250,000, Nanaimo Concrete granted to Lehigh a right of first refusal (ROFR) to purchase all of its shares, expiring in 2002. The agreement recites the fact that Richard is the registered and beneficial owner of all of Nanaimo Concrete's issued and outstanding shares.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Similar agreements with Lehigh were concluded by Wee Tree Lumber, Arrowsmith and GCM, with much less consideration for the ROFR. The agreement with GCM was signed by Mhinder and Bhora, recited to be the registered and beneficial owners of all of GCM's issued and outstanding shares. The agreement with Arrowsmith was signed by Mhinder, recited to be the sole registered and beneficial owner of all of Arrowsmith's issued and outstanding shares. The agreement with Wee Tree was signed by Rita, recited to be the sole registered and beneficial owner of all of Wee Tree's issued and outstanding shares. In each of these three agreements, the consideration for the ROFR was a total of $1500 payable in three instalments of $500.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Shortly after this, Richard moved the Nanaimo Concrete ready-mix plant and offices from 1125 Farquhar Street to 1125 Cedar Road. I accept Richard's evidence that he did so because the Cedar Road property was now available, given the change in plans relating to the cement terminal, and because the property in Nanaimo was becoming too cramped, neighbours were complaining, and restrictions were being imposed. It was, in Richard's words, "a good time to get out of town".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Then, later in 1999 or in 2000, the idea was floated of Lehigh buying Nanaimo Concrete. According to both Richard and Bhora, the idea came from Lehigh, whose president first raised it with Bhora. Lehigh had concerns about entering into a cement distribution arrangement with a competitor, because they already owned Ocean Ready-Mix in Nanaimo. They wanted to move ahead with the development of the terminal, but preferred to take Richard out as a competitor by buying Nanaimo Concrete. I accept that evidence. It is consistent with what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Although the Nanaimo Concrete, Arrowsmith and Wee Tree operations were separately owned, they worked cooperatively. Wee Tree was set up in Ladysmith because Nanaimo Concrete was having difficulty servicing the area south of Nanaimo, and Coombs also was out of Nanaimo Concrete's area. Yet they were close enough so that if someone needed an extra truck for the day or assistance with a big job, they could help each other out. When Richard discussed with Rita and Mhinder the proposed sale, Mhinder expressed some reluctance about carrying on in business if Richard was no longer going to be running Nanaimo Concrete.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xml:space="preserve">  From this hatched the concept of exploring whether they could persuade Lehigh to buy all three plants. Bhora and Mr. Furnemont undertook the negotiations. I observe that the three plants being considered for sale were those that were not operated by ITCs. There is no evidence of any consideration of including GCM's ready-mix business in the sale. GCM, of course, </w:t>
      </w:r>
      <w:r>
        <w:rPr>
          <w:rFonts w:ascii="arial" w:eastAsia="arial" w:hAnsi="arial" w:cs="arial"/>
          <w:i/>
          <w:color w:val="000000"/>
          <w:sz w:val="20"/>
          <w:lang w:val="en-US" w:eastAsia="en-US" w:bidi="ar-SA"/>
        </w:rPr>
        <w:t>is</w:t>
      </w:r>
      <w:r>
        <w:rPr>
          <w:rFonts w:ascii="arial" w:eastAsia="arial" w:hAnsi="arial" w:cs="arial"/>
          <w:color w:val="000000"/>
          <w:sz w:val="20"/>
          <w:lang w:val="en-US" w:eastAsia="en-US" w:bidi="ar-SA"/>
        </w:rPr>
        <w:t xml:space="preserve"> an ITC.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Negotiations proceeded. The vendors received advice from KPMG with regard to structuring the transaction to minimize tax, and were represented by a team of lawyers from Blake, Cassels &amp; Graydon LLP led by William Maclagan, QC. The transaction was structured in a way that required, among other things, the incorporation of a new holding company to receive shares and land, the amendment of the authorized capital of the vendor companies to create new classes of shares, the incorporation of subsidiaries of the vendor companies, and the exchange of promissory notes.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As the transaction was structured, the flow of funds went this way: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Wee Tree</w:t>
      </w:r>
    </w:p>
    <w:p>
      <w:pPr>
        <w:numPr>
          <w:numId w:val="2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to subsidiary for assets and goodwill: $1,300,000</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Rita for her shares: $500,000</w:t>
      </w:r>
    </w:p>
    <w:p>
      <w:pPr>
        <w:numPr>
          <w:numId w:val="2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to Rita for non-competition: $300,000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Arrowsmith</w:t>
      </w:r>
    </w:p>
    <w:p>
      <w:pPr>
        <w:numPr>
          <w:numId w:val="24"/>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to subsidiary for assets and goodwill: $1,700,000</w:t>
      </w:r>
    </w:p>
    <w:p>
      <w:pPr>
        <w:numPr>
          <w:numId w:val="25"/>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to Mhinder for his shares: $500,000</w:t>
      </w:r>
    </w:p>
    <w:p>
      <w:pPr>
        <w:numPr>
          <w:numId w:val="26"/>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to Mhinder for non-competition: $500,000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Nanaimo Concrete</w:t>
      </w:r>
    </w:p>
    <w:p>
      <w:pPr>
        <w:numPr>
          <w:numId w:val="27"/>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to subsidiary for assets and goodwill: $2,000,000</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Richard for his shares: $500,000</w:t>
      </w:r>
    </w:p>
    <w:p>
      <w:pPr>
        <w:numPr>
          <w:numId w:val="29"/>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to Richard for non-competition: $700,000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Bhora Mayer</w:t>
      </w:r>
    </w:p>
    <w:p>
      <w:pPr>
        <w:numPr>
          <w:numId w:val="30"/>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for non-competition $500,000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TOTAL $8,500,000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But there was more to be accomplished. The transaction included a lease agreement between Tilbury as lessee and NCC as landlord concerning the lease of Lot 14 at Duke Point where the terminal was to be developed. Richard and Bhora signed the lease agreement as covenantors. It required NCC to pay a security deposit of $3,000,000 to secure the performance of its obligations under the agreement in relation to the purchase, subdivision and development of the lands. That deposit was funded by a loan of $3,000,000 to NCC from Richard.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As the transaction was structured, Richard obtained $2,000,000 of that $3,000,000 through loans from Rita ($700,000), Mhinder ($900,000) and Bhora ($400,000). The documentation included non-interest-bearing demand promissory notes from Richard to each of Rita, Mhinder and Bhora in those amounts. This left Mhinder, Rita and Bhora with $100,000 each from the cash they received individually.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Mhinder forgot all about this until he came upon Richard's promissory note to him in the amount of $900,000 during the course of this litigation. On September 21, 2010, much to Richard's surprise, Mhinder demanded repayment of what he considered to be the balance owing on his note.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Richard, Rita and Bhora all maintain that these promissory notes were notional only, in essence 'pre-forgiven', designed as a means to get the funds for the security deposit to flow through into Richard's hands in a tax-free basis. They were never intended to be called upon, and all parties, including Mhinder, understood that when they signed all of the documentation at the closing. Neither Rita nor Bhora has made any demand on their promissory notes.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As Mr. Furnemont explained it, the lease aspect of the transaction developed after the negotiations that led to an agreed purchase price of $8,500,000. The transaction was then restructured. The security deposit of $3,000,000 payable by NCC, to be funded by Richard, included $2,000,000 that was really part of the value of Nanaimo Concrete, but was not allocated to Nanaimo Concrete. Notionally, then, the value placed on Nanaimo Concrete was $2,000,000 more than what was allocated to it. But instead of allocating it all to Nanaimo Concrete/Richard, some of it was allocated to Rita ($700,000), some to Mhinder ($900,000), and some to Bhora ($400,000). That money was then transferred to Richard via notional loans secured by the promissory notes. Because the promissory notes were not interest-bearing, they would not attract tax as investments, and were effectively forgiven. But it was really Richard's money all along because Nanaimo Concrete is what Tilbury was actually paying for. This structure saved taxes of approximately $1,000,000.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Mr. Furnemont testified that he reviewed these allocations with all members of the family, including Mhinder, explaining how the re-allocation saved taxes by allocating some of the funds due to Richard/ Nanaimo Concrete to Rita/Wee Tree, Mhinder/Arrowsmith, and Bhora. At the end it would flow back to Richard via "loans". These "loans", therefore, were notional only and not intended to be repaid.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I confess to having had some difficulty with this explanation, which was consistent with that of Richard, Rita and Bhora. While I certainly understand the goal of minimizing taxes, I was, perhaps naïvely, surprised to see it accomplished with professional advice through what appeared to be a series of dealings apparently designed to disguise the true nature of the flow of funds for tax-saving purposes. It demonstrates once again that very little in this case can be taken at face value. Nevertheless, there was no evidence that such a design was in any way unlawful.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Although I did not hear from the accountant at KPMG who helped design the structure, I did hear from Mr. Maclagan. He had no specific recollection of what advice he gave, but did say that he could not imagine advising a client that promissory notes such as those signed by Richard could not be called upon, or that the loans documented by the promissory notes were not real. While I accept Mr. Maclagan's evidence, I am not at all sure that it takes me very far. He did not say that his firm would never have permitted a transaction such as this to be structured in the way described by Mr. Furnemont, nor did his evidence exclude the possibility that the parties agreed to a structure that would operate in the manner described by Mr. Furnemont. So I must look at the transaction itself and the surrounding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On the one hand, I have Bhora, Richard, Rita and Mr. Furnemont all testifying that the notional loans to Richard, as evidenced by the promissory notes he signed, were never intended to be repaid, and that the parties, in effect, agreed not to make demand on them. The money, they say, was always considered to be Richard's. I observe that all of the parties (including Mhinder) acted in a manner consistent with this concept for over nine years, until Mhinder apparently rediscovered his promissory note during the course of this litigation. No one sought repayment from Richard before then, even when he received the $3,000,000 deposit back from Lehigh/Tilbury. It is difficult to believe that the parties would simply have forgotten that they were owed such substantial sums.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On the other hand, Mhinder relies upon the note which, on its face, represents a promise by Richard to repay him the sum of $900,000 on demand. He points out that there is no record of any agreement not to rely on the notes, or to forgive them. He denies being given any such advice, although he admits that he paid little attention to what advice he was given. He asserts that the funds that flowed to him and to Rita and their companies properly reflected the relative value of the businesses, so that the monies then transferred to Richard were truly loans. He contends that Richard has failed to establish an agreement to forgive or not to make demand on the promissory note, failing which there is no reason not to enforce what is valid on its face. He points to payments Richard made to him, which Mhinder credits towards the debt covered by the note.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When I view this claim on the promissory note in the context of not only this transaction, but all of the evidence, I find I am unable to accept Mhinder's position. I begin with the family's rather lax approach to the transfer of funds among family members. The amounts Richard transferred to Mhinder, which Mhinder now says were on account of this debt, were never recorded as such. Viewed objectively in the context of this family's dealings, the fact of the payments does not support the existence of a debt. More importantly, the evidence of Mr. Furnemont is to the contrary. He testified that he asked Richard to make these payments because there was a need for cash in the Osborne Group, and he knew that Richard had cash at that time. In the absence of anything from Mhinder acknowledging payment on account of the debt, which one would expect if it was in fact a formal repayment, I accept Mr. Furnemont's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I turn next to the structure of the Lehigh transaction. It is noteworthy in my view that the promissory notes were non-interest-bearing, and were never called upon before Mhinder made demand in the course of this litigation. This is consistent with tax planning that included forgiving the debts, as described in the unchallenged report of David Rickards, CPA, CA. It is not consistent with a true loan. Where members of this family documented true loans, interest was invariably charged.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238</w:t>
      </w:r>
      <w:r>
        <w:rPr>
          <w:rFonts w:ascii="arial" w:eastAsia="arial" w:hAnsi="arial" w:cs="arial"/>
          <w:color w:val="000000"/>
          <w:sz w:val="20"/>
          <w:lang w:val="en-US" w:eastAsia="en-US" w:bidi="ar-SA"/>
        </w:rPr>
        <w:t>  Mhinder then sought to demonstrate through the comparison of the three companies' financial statements that their relative value, taking into account either or both of assets and income, was consistent with the allocations in the transaction ($4,800,000 to Wee Tree and Arrowsmith versus $3,200,000 to Nanaimo Concrete), and would be inconsistent if the amounts going back to Richard by way of loans truly represented the value of Nanaimo Concrete. I did not find that argument convincing.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239</w:t>
      </w:r>
      <w:r>
        <w:rPr>
          <w:rFonts w:ascii="arial" w:eastAsia="arial" w:hAnsi="arial" w:cs="arial"/>
          <w:color w:val="000000"/>
          <w:sz w:val="20"/>
          <w:lang w:val="en-US" w:eastAsia="en-US" w:bidi="ar-SA"/>
        </w:rPr>
        <w:t>  If one backs out the funds lent to Richard from the consideration paid to Rita/Wee Tree and Mhinder/Arrowsmith, they were together left with $3,200,000, with $5,200,000 flowing to Richard/Nanaimo Concrete/NCC. That ratio, I find, is entirely justified. Whether measuring by income or assets, Nanaimo Concrete was worth more than the other two companies put together, and strategically, from a competition point of view, worth still more.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240</w:t>
      </w:r>
      <w:r>
        <w:rPr>
          <w:rFonts w:ascii="arial" w:eastAsia="arial" w:hAnsi="arial" w:cs="arial"/>
          <w:color w:val="000000"/>
          <w:sz w:val="20"/>
          <w:lang w:val="en-US" w:eastAsia="en-US" w:bidi="ar-SA"/>
        </w:rPr>
        <w:t>  I find that Nanaimo Concrete was Lehigh's true target, with Arrowsmith and Wee Tree being essentially afterthoughts of some, but rather less, interest. This is consistent with the nature of the operations, the size of the operations, the sophistication of the operations, the land included in the businesses, the amounts that Lehigh was prepared to pay for rights of first refusal in relation to the businesses, and the ongoing obligations and risk undertaken by Richard through NCC.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241</w:t>
      </w:r>
      <w:r>
        <w:rPr>
          <w:rFonts w:ascii="arial" w:eastAsia="arial" w:hAnsi="arial" w:cs="arial"/>
          <w:color w:val="000000"/>
          <w:sz w:val="20"/>
          <w:lang w:val="en-US" w:eastAsia="en-US" w:bidi="ar-SA"/>
        </w:rPr>
        <w:t>  Moreover, the argument concerning relative value does not explain the $500,000 allocated to Bhora for agreeing not to compete (a tax-free transaction), given that he was selling nothing. Bhora was not in a competing business at the time. While he certainly had expertise, it is not at all clear why $500,000 should be allocated to him on that basis, other than for tax-planning purposes. The net payment to him of $100,000, on the other hand, makes sense given his contribution.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242</w:t>
      </w:r>
      <w:r>
        <w:rPr>
          <w:rFonts w:ascii="arial" w:eastAsia="arial" w:hAnsi="arial" w:cs="arial"/>
          <w:color w:val="000000"/>
          <w:sz w:val="20"/>
          <w:lang w:val="en-US" w:eastAsia="en-US" w:bidi="ar-SA"/>
        </w:rPr>
        <w:t>  As to the ROFRs, Mhinder argues that the amounts paid under each agreement were arbitrary, and simply assigned by the family. I accept the evidence of Richard and Mr. Furnemont that that was not the case: that it was in Nanaimo Concrete that Lehigh was primarily interested, and the ROFRs for the remaining companies were essentially pro forma based on past supply contracts. This evidence is supported by the inclusion of Gulf Coast in those lesser ROFRs, although Gulf Coast was never part of the Lehigh 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243</w:t>
      </w:r>
      <w:r>
        <w:rPr>
          <w:rFonts w:ascii="arial" w:eastAsia="arial" w:hAnsi="arial" w:cs="arial"/>
          <w:color w:val="000000"/>
          <w:sz w:val="20"/>
          <w:lang w:val="en-US" w:eastAsia="en-US" w:bidi="ar-SA"/>
        </w:rPr>
        <w:t xml:space="preserve">  In cross-examination, Mhinder's counsel, Mr. Gomery, put to Mr. Furnemont discovery evidence he had given to the effect that he was "unaware of any agreement that the note was not a valid note". Mr. Furnemont also had testified that the note was "prepared and signed to cross the T's and dot the I's on the transaction of the Lehigh sale". Mhinder then asserts that there is a significant difference between promissory notes that are interest-free and need not be called upon, supporting a tax driven structure, and promissory notes that </w:t>
      </w:r>
      <w:r>
        <w:rPr>
          <w:rFonts w:ascii="arial" w:eastAsia="arial" w:hAnsi="arial" w:cs="arial"/>
          <w:i/>
          <w:color w:val="000000"/>
          <w:sz w:val="20"/>
          <w:lang w:val="en-US" w:eastAsia="en-US" w:bidi="ar-SA"/>
        </w:rPr>
        <w:t>cannot</w:t>
      </w:r>
      <w:r>
        <w:rPr>
          <w:rFonts w:ascii="arial" w:eastAsia="arial" w:hAnsi="arial" w:cs="arial"/>
          <w:color w:val="000000"/>
          <w:sz w:val="20"/>
          <w:lang w:val="en-US" w:eastAsia="en-US" w:bidi="ar-SA"/>
        </w:rPr>
        <w:t xml:space="preserve"> be called upon-a point well taken.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244</w:t>
      </w:r>
      <w:r>
        <w:rPr>
          <w:rFonts w:ascii="arial" w:eastAsia="arial" w:hAnsi="arial" w:cs="arial"/>
          <w:color w:val="000000"/>
          <w:sz w:val="20"/>
          <w:lang w:val="en-US" w:eastAsia="en-US" w:bidi="ar-SA"/>
        </w:rPr>
        <w:t>  From my perspective, however, the cross-examination of Mr. Furnemont did not detract from his evidence concerning the advice he gave about the structure, including the allocation for tax purposes to Rita, Mhinder and Bhora of monies that notionally were part of the consideration for the sale of Nanaimo Concrete's business. I find that while Mhinder paid little attention to detail, he was fully advised of the intent of the structure. Although he denies it, this is the only reasonable inference that arises from the evidence as a whole, including that of Mr. Maclagan. It follows, and I find, that Mhinder agreed to this concept and structure by participating in it and signing the necessary documentation. The transaction was structured, in short, with the understanding that there would be no call upon the promissory notes. I do not accept that Mhinder understood it to be otherwise at the time. Moreover, it is evident that Mhinder benefited considerably by the manner in which the transaction was structured, and indeed would not have been in a position to sell Arrowsmith's ready-mix business at all but for the participation of Richard, Nanaimo Concrete and NCC.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245</w:t>
      </w:r>
      <w:r>
        <w:rPr>
          <w:rFonts w:ascii="arial" w:eastAsia="arial" w:hAnsi="arial" w:cs="arial"/>
          <w:color w:val="000000"/>
          <w:sz w:val="20"/>
          <w:lang w:val="en-US" w:eastAsia="en-US" w:bidi="ar-SA"/>
        </w:rPr>
        <w:t xml:space="preserve">  I conclude that when Mhinder came across the promissory note in the course of reviewing documentation in this litigation, he pursued an opportunistic claim that the evidence as a whole does not support. I am prepared to accept that when he reviewed the note, he no longer had in mind the reason for it and the way the transaction had been structured. But, I find, he must be taken to have known all about that when he signed the documentation, and, having taken all the benefits of that structure, he is estopped from pursuing his claim on the note; see, for instance, </w:t>
      </w:r>
      <w:r>
        <w:rPr>
          <w:rFonts w:ascii="arial" w:eastAsia="arial" w:hAnsi="arial" w:cs="arial"/>
          <w:i/>
          <w:color w:val="000000"/>
          <w:sz w:val="20"/>
          <w:lang w:val="en-US" w:eastAsia="en-US" w:bidi="ar-SA"/>
        </w:rPr>
        <w:t>Vision West Development Ltd v McIvor Properties Ltd</w:t>
      </w:r>
      <w:r>
        <w:rPr>
          <w:rFonts w:ascii="arial" w:eastAsia="arial" w:hAnsi="arial" w:cs="arial"/>
          <w:color w:val="000000"/>
          <w:sz w:val="20"/>
          <w:lang w:val="en-US" w:eastAsia="en-US" w:bidi="ar-SA"/>
        </w:rPr>
        <w:t xml:space="preserve">, </w:t>
      </w:r>
      <w:hyperlink r:id="rId840" w:history="1">
        <w:r>
          <w:rPr>
            <w:rFonts w:ascii="arial" w:eastAsia="arial" w:hAnsi="arial" w:cs="arial"/>
            <w:i/>
            <w:color w:val="0077CC"/>
            <w:sz w:val="20"/>
            <w:u w:val="single"/>
            <w:shd w:val="clear" w:color="auto" w:fill="FFFFFF"/>
            <w:lang w:val="en-US" w:eastAsia="en-US" w:bidi="ar-SA"/>
          </w:rPr>
          <w:t>2012 BCSC 302</w:t>
        </w:r>
      </w:hyperlink>
      <w:r>
        <w:rPr>
          <w:rFonts w:ascii="arial" w:eastAsia="arial" w:hAnsi="arial" w:cs="arial"/>
          <w:color w:val="000000"/>
          <w:sz w:val="20"/>
          <w:lang w:val="en-US" w:eastAsia="en-US" w:bidi="ar-SA"/>
        </w:rPr>
        <w:t xml:space="preserve"> at paras 63-66, and cases cited therein. Mhinder's claim on the promissory note is accordingly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246</w:t>
      </w:r>
      <w:r>
        <w:rPr>
          <w:rFonts w:ascii="arial" w:eastAsia="arial" w:hAnsi="arial" w:cs="arial"/>
          <w:color w:val="000000"/>
          <w:sz w:val="20"/>
          <w:lang w:val="en-US" w:eastAsia="en-US" w:bidi="ar-SA"/>
        </w:rPr>
        <w:t xml:space="preserve">  Richard argues further that, in any event, Mhinder's demand on the note is time-barred under the provisions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w:t>
      </w:r>
      <w:hyperlink r:id="rId263"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lang w:val="en-US" w:eastAsia="en-US" w:bidi="ar-SA"/>
        </w:rPr>
        <w:t xml:space="preserve">. I agree. The loan evidenced by the promissory note was a demand loan, giving rise under the legislation then in force to a limitation period of six years within which to make a claim on the note. Time began to run on the date the loan was said to have been made: April 27, 2001-see </w:t>
      </w:r>
      <w:r>
        <w:rPr>
          <w:rFonts w:ascii="arial" w:eastAsia="arial" w:hAnsi="arial" w:cs="arial"/>
          <w:i/>
          <w:color w:val="000000"/>
          <w:sz w:val="20"/>
          <w:lang w:val="en-US" w:eastAsia="en-US" w:bidi="ar-SA"/>
        </w:rPr>
        <w:t>Kong v Saunders</w:t>
      </w:r>
      <w:r>
        <w:rPr>
          <w:rFonts w:ascii="arial" w:eastAsia="arial" w:hAnsi="arial" w:cs="arial"/>
          <w:color w:val="000000"/>
          <w:sz w:val="20"/>
          <w:lang w:val="en-US" w:eastAsia="en-US" w:bidi="ar-SA"/>
        </w:rPr>
        <w:t xml:space="preserve">, </w:t>
      </w:r>
      <w:hyperlink r:id="rId841" w:history="1">
        <w:r>
          <w:rPr>
            <w:rFonts w:ascii="arial" w:eastAsia="arial" w:hAnsi="arial" w:cs="arial"/>
            <w:i/>
            <w:color w:val="0077CC"/>
            <w:sz w:val="20"/>
            <w:u w:val="single"/>
            <w:shd w:val="clear" w:color="auto" w:fill="FFFFFF"/>
            <w:lang w:val="en-US" w:eastAsia="en-US" w:bidi="ar-SA"/>
          </w:rPr>
          <w:t>2014 BCCA 508</w:t>
        </w:r>
      </w:hyperlink>
      <w:r>
        <w:rPr>
          <w:rFonts w:ascii="arial" w:eastAsia="arial" w:hAnsi="arial" w:cs="arial"/>
          <w:color w:val="000000"/>
          <w:sz w:val="20"/>
          <w:lang w:val="en-US" w:eastAsia="en-US" w:bidi="ar-SA"/>
        </w:rPr>
        <w:t>. It follows that unless confirmed, the cause of action expired on April 27, 2007, more than three years before Mhinder's demand.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247</w:t>
      </w:r>
      <w:r>
        <w:rPr>
          <w:rFonts w:ascii="arial" w:eastAsia="arial" w:hAnsi="arial" w:cs="arial"/>
          <w:color w:val="000000"/>
          <w:sz w:val="20"/>
          <w:lang w:val="en-US" w:eastAsia="en-US" w:bidi="ar-SA"/>
        </w:rPr>
        <w:t>  Mhinder argues that Richard did confirm the cause of action through payments he made to Mhinder that Mhinder says were on account of that debt. But as I indicated above, the evidence indicates that those payments were not made in respect of the alleged debt, or indeed of any debt. Mhinder made no accounting of them at all. I find it likely that his later attribution of those payments to the alleged debt is no more than wishful thinking. Accordingly, I am unable to find any confirmation of the cause of action. It follows that any claim on the note is time-barred.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248</w:t>
      </w:r>
      <w:r>
        <w:rPr>
          <w:rFonts w:ascii="arial" w:eastAsia="arial" w:hAnsi="arial" w:cs="arial"/>
          <w:color w:val="000000"/>
          <w:sz w:val="20"/>
          <w:lang w:val="en-US" w:eastAsia="en-US" w:bidi="ar-SA"/>
        </w:rPr>
        <w:t>  Quite apart from his claim on the promissory note, Mhinder refers to the Lehigh sale for two other purposes: first, as corroborating his claim that Arrowsmith Concrete and its successor, Mid-Isle Holdings, are indeed his companies, and not trust companies; and second, as evidence of the degree to which he and Bhora contributed to the success of the family companies-another example, he says, of the family working together for their common benefit.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249</w:t>
      </w:r>
      <w:r>
        <w:rPr>
          <w:rFonts w:ascii="arial" w:eastAsia="arial" w:hAnsi="arial" w:cs="arial"/>
          <w:color w:val="000000"/>
          <w:sz w:val="20"/>
          <w:lang w:val="en-US" w:eastAsia="en-US" w:bidi="ar-SA"/>
        </w:rPr>
        <w:t>  The first I address below in section 6.0. As to the second, there can be no doubt that members of the family worked together to pull off the Lehigh sale. They did so because they all stood to benefit from a transaction that saw the profitable sale of ready-mix operations to a much larger and increasingly dominant competitor. Bhora helped put it together and pocketed $100,000 personally. Mhinder was able to effect the sale of Arrowsmith for payments totaling $1,800,000. Rita was able to effect the sale of Wee Tree for payments totaling $1,400,000. Richard was able to effect the sale of Nanaimo Concrete for payments totaling $5,200,000, $3,000,000 of which he lent to NCC and was at risk in relation to the development of Lot 14, an integral part of the whole transaction. Bhora and Mhinder, through OCL, benefited from consulting fees with the potential for further consulting and administrative fees in relation to the development of Lot 14. Mhinder, in the meantime, benefited from continued employment with Island Aggregates (Richard's company that was the successor to Nanaimo Concrete after the sale). No one was unjustly enriched.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5.6.10 </w:t>
      </w:r>
      <w:r>
        <w:rPr>
          <w:rFonts w:ascii="arial" w:eastAsia="arial" w:hAnsi="arial" w:cs="arial"/>
          <w:b/>
          <w:i/>
          <w:color w:val="000000"/>
          <w:sz w:val="20"/>
          <w:lang w:val="en-US" w:eastAsia="en-US" w:bidi="ar-SA"/>
        </w:rPr>
        <w:t>After Lehigh, still working together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250</w:t>
      </w:r>
      <w:r>
        <w:rPr>
          <w:rFonts w:ascii="arial" w:eastAsia="arial" w:hAnsi="arial" w:cs="arial"/>
          <w:color w:val="000000"/>
          <w:sz w:val="20"/>
          <w:lang w:val="en-US" w:eastAsia="en-US" w:bidi="ar-SA"/>
        </w:rPr>
        <w:t>  Mhinder submits that in the years after 2001 through to 2006, Mhinder and Bhora continued to render financial assistance to Richard and Rita and their companies, on the continuing understanding that "everyone was working together for the common good, and the benefits of success would be shared".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251</w:t>
      </w:r>
      <w:r>
        <w:rPr>
          <w:rFonts w:ascii="arial" w:eastAsia="arial" w:hAnsi="arial" w:cs="arial"/>
          <w:color w:val="000000"/>
          <w:sz w:val="20"/>
          <w:lang w:val="en-US" w:eastAsia="en-US" w:bidi="ar-SA"/>
        </w:rPr>
        <w:t>  One significant enterprise that began in 2001 and continued after the Lehigh sale was the Nanaimo waterfront project undertaken through what became Rita's company, Front Street Projects. Another concerned NCC. It continued with the development of Duke Point, and in 2001 also acquired two properties it still owns, the Spruston Pit, which it purchased from OCL, and adjacent lands that it bought from Weyerhaeuser Company Limited (the "Weyerhaeuser lands").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252</w:t>
      </w:r>
      <w:r>
        <w:rPr>
          <w:rFonts w:ascii="arial" w:eastAsia="arial" w:hAnsi="arial" w:cs="arial"/>
          <w:color w:val="000000"/>
          <w:sz w:val="20"/>
          <w:lang w:val="en-US" w:eastAsia="en-US" w:bidi="ar-SA"/>
        </w:rPr>
        <w:t>  I turn to look at these enterprises.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5.6.10.1</w:t>
      </w:r>
      <w:r>
        <w:rPr>
          <w:rFonts w:ascii="arial" w:eastAsia="arial" w:hAnsi="arial" w:cs="arial"/>
          <w:color w:val="000000"/>
          <w:sz w:val="20"/>
          <w:lang w:val="en-US" w:eastAsia="en-US" w:bidi="ar-SA"/>
        </w:rPr>
        <w:t xml:space="preserve"> </w:t>
      </w:r>
      <w:r>
        <w:rPr>
          <w:rFonts w:ascii="arial" w:eastAsia="arial" w:hAnsi="arial" w:cs="arial"/>
          <w:color w:val="000000"/>
          <w:sz w:val="20"/>
          <w:u w:val="single"/>
          <w:lang w:val="en-US" w:eastAsia="en-US" w:bidi="ar-SA"/>
        </w:rPr>
        <w:t>The Nanaimo waterfront project (Front Street Projects)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253</w:t>
      </w:r>
      <w:r>
        <w:rPr>
          <w:rFonts w:ascii="arial" w:eastAsia="arial" w:hAnsi="arial" w:cs="arial"/>
          <w:color w:val="000000"/>
          <w:sz w:val="20"/>
          <w:lang w:val="en-US" w:eastAsia="en-US" w:bidi="ar-SA"/>
        </w:rPr>
        <w:t>  This project did not have a happy ending. If it had gone well, one wonders if the family would today be mired in so deep a morass of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254</w:t>
      </w:r>
      <w:r>
        <w:rPr>
          <w:rFonts w:ascii="arial" w:eastAsia="arial" w:hAnsi="arial" w:cs="arial"/>
          <w:color w:val="000000"/>
          <w:sz w:val="20"/>
          <w:lang w:val="en-US" w:eastAsia="en-US" w:bidi="ar-SA"/>
        </w:rPr>
        <w:t>  Front Street Projects was originally incorporated on February 20, 2001, as 622589 BC Ltd, and then underwent several name changes. Its purpose was to construct a conference centre on the Nanaimo waterfront. The project, led by Rita, proved impracticable and was dead by the summer of 2003. Thereafter, Front Street Projects entered into a joint venture with another company to build a condominium development on the site, but in the end this missed the market and was not a financial success.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255</w:t>
      </w:r>
      <w:r>
        <w:rPr>
          <w:rFonts w:ascii="arial" w:eastAsia="arial" w:hAnsi="arial" w:cs="arial"/>
          <w:color w:val="000000"/>
          <w:sz w:val="20"/>
          <w:lang w:val="en-US" w:eastAsia="en-US" w:bidi="ar-SA"/>
        </w:rPr>
        <w:t>  In the meantime, financing had been arranged through Great Pacific Financing, later called Accredit Mortgage.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256</w:t>
      </w:r>
      <w:r>
        <w:rPr>
          <w:rFonts w:ascii="arial" w:eastAsia="arial" w:hAnsi="arial" w:cs="arial"/>
          <w:color w:val="000000"/>
          <w:sz w:val="20"/>
          <w:lang w:val="en-US" w:eastAsia="en-US" w:bidi="ar-SA"/>
        </w:rPr>
        <w:t>  The initial mortgage was for $2,300,000. The "borrowers" were Mhinder, Bhora and Gina. In addition, there were a number of "covenantors" who included the various ITCs and family companies as well as Mr. Furnemont. Additional funds were borrowed resulting in a new mortgage in the amount of $2,550,000, replacing the old one. Once again, Mhinder, Bhora and Gina signed as "mortgagors". This time, Rita signed as a "covenantor", as did her companies, the other family companies, and the ITCs. Ultimately, there was a shortfall that the mortgagors, Mhinder, Bhora and Gina, had to make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257</w:t>
      </w:r>
      <w:r>
        <w:rPr>
          <w:rFonts w:ascii="arial" w:eastAsia="arial" w:hAnsi="arial" w:cs="arial"/>
          <w:color w:val="000000"/>
          <w:sz w:val="20"/>
          <w:lang w:val="en-US" w:eastAsia="en-US" w:bidi="ar-SA"/>
        </w:rPr>
        <w:t>  Mhinder seeks contribution from the covenantors to the mortgages via his "Accredit mortgage claim", which I consider below in section 10.0. In addition, while Mhinder does not advance a claim for an interest in Rita's company, he relies on this venture as a clear example of the family working together for a common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258</w:t>
      </w:r>
      <w:r>
        <w:rPr>
          <w:rFonts w:ascii="arial" w:eastAsia="arial" w:hAnsi="arial" w:cs="arial"/>
          <w:color w:val="000000"/>
          <w:sz w:val="20"/>
          <w:lang w:val="en-US" w:eastAsia="en-US" w:bidi="ar-SA"/>
        </w:rPr>
        <w:t>  I agree that the Nanaimo waterfront project was one in which members of the family did indeed work together for their mutual benefit. I disagree that it involved any transfer of trust property to Rita, or otherwise gave rise to an unjust enrichment. Bhora, Mhinder and Gina assisted by acting as mortgagors, not expecting that the mortgages would in fact go into default. Many, I think, would be startled to learn that a constructive trust arose every time a family member secured a relative's lease or loan. The question that arises is not whether this act of itself constitutes unjust enrichment (it does not), but rather what happens if the mortgagor or guarantor is called upon. That question arises here in relation to Mhinder's Accredit mortgage claim, which I address separately.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259</w:t>
      </w:r>
      <w:r>
        <w:rPr>
          <w:rFonts w:ascii="arial" w:eastAsia="arial" w:hAnsi="arial" w:cs="arial"/>
          <w:color w:val="000000"/>
          <w:sz w:val="20"/>
          <w:lang w:val="en-US" w:eastAsia="en-US" w:bidi="ar-SA"/>
        </w:rPr>
        <w:t>  Mhinder also lent money, through Mid-Isle Holdings, as did Richard through Bastion. These were fully documented loans, and Mid-Isle subsequently sued to recover on its debt. OCL was paid management fees for some of the work contributed by Bhora and Mr. Furnemont. Had things gone well, the mortgages and loans would have been paid off, and OCL could have looked forward to further management fees. In the meantime, the bulk of the expenses were underwritten by Rita through her companies. Apart from the mortgages, the risk was hers. All this was consistent with the strategy developed by the brothers beginning in 1988.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5.6.10.2</w:t>
      </w:r>
      <w:r>
        <w:rPr>
          <w:rFonts w:ascii="arial" w:eastAsia="arial" w:hAnsi="arial" w:cs="arial"/>
          <w:color w:val="000000"/>
          <w:sz w:val="20"/>
          <w:lang w:val="en-US" w:eastAsia="en-US" w:bidi="ar-SA"/>
        </w:rPr>
        <w:t xml:space="preserve"> </w:t>
      </w:r>
      <w:r>
        <w:rPr>
          <w:rFonts w:ascii="arial" w:eastAsia="arial" w:hAnsi="arial" w:cs="arial"/>
          <w:color w:val="000000"/>
          <w:sz w:val="20"/>
          <w:u w:val="single"/>
          <w:lang w:val="en-US" w:eastAsia="en-US" w:bidi="ar-SA"/>
        </w:rPr>
        <w:t>NCC and Island Aggregates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260</w:t>
      </w:r>
      <w:r>
        <w:rPr>
          <w:rFonts w:ascii="arial" w:eastAsia="arial" w:hAnsi="arial" w:cs="arial"/>
          <w:color w:val="000000"/>
          <w:sz w:val="20"/>
          <w:lang w:val="en-US" w:eastAsia="en-US" w:bidi="ar-SA"/>
        </w:rPr>
        <w:t>  Richard caused NCC to purchase the Spruston Pit and the Weyerhaeuser lands on July 27,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261</w:t>
      </w:r>
      <w:r>
        <w:rPr>
          <w:rFonts w:ascii="arial" w:eastAsia="arial" w:hAnsi="arial" w:cs="arial"/>
          <w:color w:val="000000"/>
          <w:sz w:val="20"/>
          <w:lang w:val="en-US" w:eastAsia="en-US" w:bidi="ar-SA"/>
        </w:rPr>
        <w:t>  NCC bought the Spruston Pit from OCL. Although OCL had owned it, it had not operated it. Crushing operations previously carried out by Mr. Furnemont's company, Spruston Aggregates, had been in the hands of D &amp; A for some years, with D &amp; A supplying aggregate to Nanaimo Concrete. With Nanaimo Concrete selling its ready-mix operations in the Lehigh sale, there was an impetus for change.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262</w:t>
      </w:r>
      <w:r>
        <w:rPr>
          <w:rFonts w:ascii="arial" w:eastAsia="arial" w:hAnsi="arial" w:cs="arial"/>
          <w:color w:val="000000"/>
          <w:sz w:val="20"/>
          <w:lang w:val="en-US" w:eastAsia="en-US" w:bidi="ar-SA"/>
        </w:rPr>
        <w:t>  Although Mhinder denied it, I accept the evidence of Richard and Mr. Furnemont that the Spruston Pit was nearing the end of its useful life, most of its accessible gravel supply having been mined. The purchase of the adjoining Weyerhaeuser lands added to the gravel supply, and also permitted an expansion of the gravel resource available from the Spruston Pit.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263</w:t>
      </w:r>
      <w:r>
        <w:rPr>
          <w:rFonts w:ascii="arial" w:eastAsia="arial" w:hAnsi="arial" w:cs="arial"/>
          <w:color w:val="000000"/>
          <w:sz w:val="20"/>
          <w:lang w:val="en-US" w:eastAsia="en-US" w:bidi="ar-SA"/>
        </w:rPr>
        <w:t>  Mhinder submits that the manner in which this project proceeded and was financed further supports his claim of unjust enrichment. The evidence, however, does not support that contention.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264</w:t>
      </w:r>
      <w:r>
        <w:rPr>
          <w:rFonts w:ascii="arial" w:eastAsia="arial" w:hAnsi="arial" w:cs="arial"/>
          <w:color w:val="000000"/>
          <w:sz w:val="20"/>
          <w:lang w:val="en-US" w:eastAsia="en-US" w:bidi="ar-SA"/>
        </w:rPr>
        <w:t>  NCC's purchase of the Weyerhaeuser lands was financed through a mortgage from CIBC.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265</w:t>
      </w:r>
      <w:r>
        <w:rPr>
          <w:rFonts w:ascii="arial" w:eastAsia="arial" w:hAnsi="arial" w:cs="arial"/>
          <w:color w:val="000000"/>
          <w:sz w:val="20"/>
          <w:lang w:val="en-US" w:eastAsia="en-US" w:bidi="ar-SA"/>
        </w:rPr>
        <w:t>  NCC bought the Spruston Pit from OCL for a price of $375,000, after the parties obtained an appraisal. NCC did not, however, pay cash to OCL. Rather, it entered into an unsecured loan agreement for the purchase price, plus an additional advance, for a total loan of $435,964 at a rate of 7.00%. That loan was consolidated with OCL's loan to Bastion for the purchase of 1125 Farquhar Street, with the combined interest rate now set at 7.00% (the Farquhar Street loan had been set at an interest rate of 7.75%, but by this time rates had declined, and would shortly decline significantly further). The loan was recorded in the books of Bastion, of which NCC was a subsidiary.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266</w:t>
      </w:r>
      <w:r>
        <w:rPr>
          <w:rFonts w:ascii="arial" w:eastAsia="arial" w:hAnsi="arial" w:cs="arial"/>
          <w:color w:val="000000"/>
          <w:sz w:val="20"/>
          <w:lang w:val="en-US" w:eastAsia="en-US" w:bidi="ar-SA"/>
        </w:rPr>
        <w:t>  Bastion made payments of principal and interest on the loan from OCL until July 2009. At that time, Bastion and Island Aggregates entered into postponement of claims agreements with OCL and the Business Development Bank of Canada ("BDC"), from which bank they were borrowing $4,088,000. By these agreements, OCL agreed, in essence, that its loans to Bastion (now $620,183) and Island Aggregates (the $300,000 loan now down to $283,386) would be postponed in priority behind the BDC loan, and that Bastion and Island Aggregates would pay OCL interest only at a rate not exceeding 6.00% until the BDC loan was repaid in full. By this time, the bank prime rate had fallen to 2.25%.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267</w:t>
      </w:r>
      <w:r>
        <w:rPr>
          <w:rFonts w:ascii="arial" w:eastAsia="arial" w:hAnsi="arial" w:cs="arial"/>
          <w:color w:val="000000"/>
          <w:sz w:val="20"/>
          <w:lang w:val="en-US" w:eastAsia="en-US" w:bidi="ar-SA"/>
        </w:rPr>
        <w:t>  Although neither Bastion nor Island Aggregates was obliged to make payments of principal during the currency of the postponed agreements, Richard made those payments out of his own pocket. He testified that he felt obliged to do so, having signed a promissory note on the OCL loan to Island Aggregates. It was suggested to him in cross-examination that he had sworn a false affidavit because he had deposed that "Island Aggregates has adhered to all the terms and conditions set forth in [the promissory note]", when in fact OCL had given up its rights under the promissory note by signing the postponement agreement. Richard explained that although OCL did give up its rights to some degree, he nevertheless considered the promissory note binding and continued to make the payments of principal himself. His explanation was, I found,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268</w:t>
      </w:r>
      <w:r>
        <w:rPr>
          <w:rFonts w:ascii="arial" w:eastAsia="arial" w:hAnsi="arial" w:cs="arial"/>
          <w:color w:val="000000"/>
          <w:sz w:val="20"/>
          <w:lang w:val="en-US" w:eastAsia="en-US" w:bidi="ar-SA"/>
        </w:rPr>
        <w:t>  It is thus evident that Bastion (and Island Aggregates) obtained their financing through documented loans that were repaid, and for which they gave consideration in the form of genuine interest. Mhinder argues, however, that they did so on terms that were excessively favourable and uncommercial. He points out, for instance, that OCL received no consideration for entering into the postponement agreements, of which Mhinder was unaware, and that he never agreed to the $300,000 loan to Island Aggregates (a proposition that I reject below; see section 8.5.3.2).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269</w:t>
      </w:r>
      <w:r>
        <w:rPr>
          <w:rFonts w:ascii="arial" w:eastAsia="arial" w:hAnsi="arial" w:cs="arial"/>
          <w:color w:val="000000"/>
          <w:sz w:val="20"/>
          <w:lang w:val="en-US" w:eastAsia="en-US" w:bidi="ar-SA"/>
        </w:rPr>
        <w:t xml:space="preserve">  I do not see these concerns as constituting "incontrovertible benefits" that would give rise to a restitutionary claim against Richard, Rita, or the family companies. To find otherwise, I am satisfied, would do considerable violence to the expectations of the parties. These sorts of arrangements, like others I will be considering below, were business arrangements into which Bhora entered in his capacity as the </w:t>
      </w:r>
      <w:r>
        <w:rPr>
          <w:rFonts w:ascii="arial" w:eastAsia="arial" w:hAnsi="arial" w:cs="arial"/>
          <w:i/>
          <w:color w:val="000000"/>
          <w:sz w:val="20"/>
          <w:lang w:val="en-US" w:eastAsia="en-US" w:bidi="ar-SA"/>
        </w:rPr>
        <w:t>de facto</w:t>
      </w:r>
      <w:r>
        <w:rPr>
          <w:rFonts w:ascii="arial" w:eastAsia="arial" w:hAnsi="arial" w:cs="arial"/>
          <w:color w:val="000000"/>
          <w:sz w:val="20"/>
          <w:lang w:val="en-US" w:eastAsia="en-US" w:bidi="ar-SA"/>
        </w:rPr>
        <w:t xml:space="preserve"> managing partner. They did not involve transferring trust property in breach of trust as required to support a claim of knowing receipt. To the extent Mhinder has claims arising out of these business arrangements, they will be in the nature of derivative claims against Bhora, and oppression claims arising out of Bhora's alleged mismanagement of the affairs of the ITCs in a manner that was oppressive and unfairly prejudicial to Mhinder. I discuss this further in section 12.7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270</w:t>
      </w:r>
      <w:r>
        <w:rPr>
          <w:rFonts w:ascii="arial" w:eastAsia="arial" w:hAnsi="arial" w:cs="arial"/>
          <w:color w:val="000000"/>
          <w:sz w:val="20"/>
          <w:lang w:val="en-US" w:eastAsia="en-US" w:bidi="ar-SA"/>
        </w:rPr>
        <w:t>  Another project undertaken through NCC was the development of a barge ramp facility on Lot 14 at Duke Point. There is no question that Mhinder provided valuable hands-on assistance to Richard in this matter until February 2007 when, under circumstances discussed below in section 8.5.2, Mhinder withdrew from his employment with Island Aggregates and from rendering any assistance to Richard. This was in the wake of Richard's refusal to hand control of the project over to Mhinder.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271</w:t>
      </w:r>
      <w:r>
        <w:rPr>
          <w:rFonts w:ascii="arial" w:eastAsia="arial" w:hAnsi="arial" w:cs="arial"/>
          <w:color w:val="000000"/>
          <w:sz w:val="20"/>
          <w:lang w:val="en-US" w:eastAsia="en-US" w:bidi="ar-SA"/>
        </w:rPr>
        <w:t>  Ultimately, some years later, NCC sold Lot 14 with the barge facility at a considerable profit. Mhinder submits that this profit is largely attributable to assistance rendered to Richard by Mhinder, Bhora and Marc Furnemont.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272</w:t>
      </w:r>
      <w:r>
        <w:rPr>
          <w:rFonts w:ascii="arial" w:eastAsia="arial" w:hAnsi="arial" w:cs="arial"/>
          <w:color w:val="000000"/>
          <w:sz w:val="20"/>
          <w:lang w:val="en-US" w:eastAsia="en-US" w:bidi="ar-SA"/>
        </w:rPr>
        <w:t>  I accept that all three rendered assistance. Mhinder helped on the ground. Bhora assisted with co-signing and contacts, and Marc Furnemont fulfilled his usual administrative duties, for which OCL was paid. But it was Richard who had the ideas, put up the money, took the risk, and pushed forward the project. There was never any understanding that Mhinder's assistance would give rise to an equitable interest, nor, I am satisfied, would Richard have accepted his assistance if Mhinder indicated such an expectation.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5.7 </w:t>
      </w:r>
      <w:r>
        <w:rPr>
          <w:rFonts w:ascii="arial" w:eastAsia="arial" w:hAnsi="arial" w:cs="arial"/>
          <w:b/>
          <w:color w:val="000000"/>
          <w:sz w:val="20"/>
          <w:u w:val="single"/>
          <w:lang w:val="en-US" w:eastAsia="en-US" w:bidi="ar-SA"/>
        </w:rPr>
        <w:t>An express new family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273</w:t>
      </w:r>
      <w:r>
        <w:rPr>
          <w:rFonts w:ascii="arial" w:eastAsia="arial" w:hAnsi="arial" w:cs="arial"/>
          <w:color w:val="000000"/>
          <w:sz w:val="20"/>
          <w:lang w:val="en-US" w:eastAsia="en-US" w:bidi="ar-SA"/>
        </w:rPr>
        <w:t>  I turn to consider Mhinder's claim that he and Bhora, Richard, Rita and Gina all agreed to the creation of an express new family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274</w:t>
      </w:r>
      <w:r>
        <w:rPr>
          <w:rFonts w:ascii="arial" w:eastAsia="arial" w:hAnsi="arial" w:cs="arial"/>
          <w:color w:val="000000"/>
          <w:sz w:val="20"/>
          <w:lang w:val="en-US" w:eastAsia="en-US" w:bidi="ar-SA"/>
        </w:rPr>
        <w:t>  There are two interlocking aspects to this claim. The first is a new family trust that Mhinder testified the family contemplated in the years following Bhagwan's departure from the brothers' trust in 1991. The second is the execution of the acknowledgements of trust on December 24, 2001, which Mhinder maintains they did in furtherance of that new family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275</w:t>
      </w:r>
      <w:r>
        <w:rPr>
          <w:rFonts w:ascii="arial" w:eastAsia="arial" w:hAnsi="arial" w:cs="arial"/>
          <w:color w:val="000000"/>
          <w:sz w:val="20"/>
          <w:lang w:val="en-US" w:eastAsia="en-US" w:bidi="ar-SA"/>
        </w:rPr>
        <w:t>  Mhinder gave different evidence at different times about the timing of the first aspect. In his evidence at trial, he confirmed that Nanaimo Concrete was set up in 1988-89 as Richard's company, and not as a trust company. He said, however, that after Bhagwan's departure in 1991: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in around, I'm going to say '94/'95, somewhere in there, it changed because the help was all coming from us to the kids. And we discussed it, and we said, lookit, we should make a new family trust up, separate than [</w:t>
      </w:r>
      <w:r>
        <w:rPr>
          <w:rFonts w:ascii="arial" w:eastAsia="arial" w:hAnsi="arial" w:cs="arial"/>
          <w:i/>
          <w:color w:val="000000"/>
          <w:sz w:val="20"/>
          <w:lang w:val="en-US" w:eastAsia="en-US" w:bidi="ar-SA"/>
        </w:rPr>
        <w:t>sic</w:t>
      </w:r>
      <w:r>
        <w:rPr>
          <w:rFonts w:ascii="arial" w:eastAsia="arial" w:hAnsi="arial" w:cs="arial"/>
          <w:color w:val="000000"/>
          <w:sz w:val="20"/>
          <w:lang w:val="en-US" w:eastAsia="en-US" w:bidi="ar-SA"/>
        </w:rPr>
        <w:t>] the brothers' trust. And then we bring the kids into it but we have a trust with them. It's going to be complete for all of us. Not just the kids. It was actually with R &amp; G [Gina's company] too. All of those companies were brought into that new family trust. And that was contemplated from I would say-- like I say, '94/' 95, somewhere in there. Never documented but contemplated, and with that contemplation and everybody working together, that's how more equity came into the company, like, Nanaimo Concrete.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276</w:t>
      </w:r>
      <w:r>
        <w:rPr>
          <w:rFonts w:ascii="arial" w:eastAsia="arial" w:hAnsi="arial" w:cs="arial"/>
          <w:color w:val="000000"/>
          <w:sz w:val="20"/>
          <w:lang w:val="en-US" w:eastAsia="en-US" w:bidi="ar-SA"/>
        </w:rPr>
        <w:t>  As he explained it, all of Gina's, Richard's and Rita's companies were to be held as assets of this new family trust, the beneficiaries of which were all five of them: Bhora, Mhinder, Gina, Richard and Rita - not just Bhora and Mhinder as with the brothers' trust. He said that this was discussed among them more than once,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...because I can recall many times that, "Guys we have --", whenever we got together, we kind of talked about it a bit or we bought more stuff to put in those companies. I said, "Guys, we have to put this down in writing." "Yeah, yeah. We will, we will, we will. Yeah, we will." And time marched on and we all got busy.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277</w:t>
      </w:r>
      <w:r>
        <w:rPr>
          <w:rFonts w:ascii="arial" w:eastAsia="arial" w:hAnsi="arial" w:cs="arial"/>
          <w:color w:val="000000"/>
          <w:sz w:val="20"/>
          <w:lang w:val="en-US" w:eastAsia="en-US" w:bidi="ar-SA"/>
        </w:rPr>
        <w:t>  Bhora, Gina, Richard and Rita all deny that any such discussions took place, or that any such arrangement was contemplated.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278</w:t>
      </w:r>
      <w:r>
        <w:rPr>
          <w:rFonts w:ascii="arial" w:eastAsia="arial" w:hAnsi="arial" w:cs="arial"/>
          <w:color w:val="000000"/>
          <w:sz w:val="20"/>
          <w:lang w:val="en-US" w:eastAsia="en-US" w:bidi="ar-SA"/>
        </w:rPr>
        <w:t>  Turning to the second aspect of Mhinder's express trust claim, there is no doubt that Richard and Rita executed acknowledgements of trust on December 24, 2001. No witness, however, was able to explain satisfactorily why these documents came to be signed.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279</w:t>
      </w:r>
      <w:r>
        <w:rPr>
          <w:rFonts w:ascii="arial" w:eastAsia="arial" w:hAnsi="arial" w:cs="arial"/>
          <w:color w:val="000000"/>
          <w:sz w:val="20"/>
          <w:lang w:val="en-US" w:eastAsia="en-US" w:bidi="ar-SA"/>
        </w:rPr>
        <w:t>  It is clear that the documents were drafted by Mr. Furnemont. He prepared four acknowledgements in the same form to be signed by each of Richard, Rita, Gina and Kelly, cosigned by Bhora and Mhinder, and witnessed by himself. He also prepared one for his own signature. Each included the same typographical error in its title: "ACKNOLWEDGEMENT OF TRUST AGREEMENT BETWEEN..." Richard's read as follows (the others are parallel):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ACKNOLWEDGEMENT OF TRUST AGREEMENT BETWEEN RICHARD RAVINDER MAYER AND BHORA SINGH MAYER AND MHINDER SINGH MAYER</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Richard R. Mayer, of 2504-154 Promenade Drive, Nanaimo, BC, hereby confirm that I hold the common shares of Island Aggregates Ltd., Mac Sales &amp; Service of Nanaimo Ltd., and Bastion Project Management Ltd. in trust for my father Bhora Singh Mayer and my uncle Mhinder Singh Mayer.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also confirm that, even though I am registered as owner of the numerous real estate properties, I am holding these properties (with the exception of my principal residence) in trust for my father Bhora Singh Mayer and my uncle Mhinder Singh Mayer.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Signed at Nanaimo this 24 of December, 2001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[signed by Richard, Bhora and Mhinder, all signatures witnessed by Mr. Furnemont]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280</w:t>
      </w:r>
      <w:r>
        <w:rPr>
          <w:rFonts w:ascii="arial" w:eastAsia="arial" w:hAnsi="arial" w:cs="arial"/>
          <w:color w:val="000000"/>
          <w:sz w:val="20"/>
          <w:lang w:val="en-US" w:eastAsia="en-US" w:bidi="ar-SA"/>
        </w:rPr>
        <w:t>  As will be discussed in more detail below, Mhinder maintained that Mr. Furnemont prepared these documents in an attempt to document the new family trust to which the parties had agreed years before. But two discrepancies will be immediately apparent. First, the objects of the trust have contracted from the five beneficiaries contemplated in the new family trust described by Mhinder to just two: Mhinder and Bhora. Second, the subjects of the trust have expanded beyond the family companies to include as well the real estate properties held by Richard, Rita and Gina.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281</w:t>
      </w:r>
      <w:r>
        <w:rPr>
          <w:rFonts w:ascii="arial" w:eastAsia="arial" w:hAnsi="arial" w:cs="arial"/>
          <w:color w:val="000000"/>
          <w:sz w:val="20"/>
          <w:lang w:val="en-US" w:eastAsia="en-US" w:bidi="ar-SA"/>
        </w:rPr>
        <w:t>  There is no dispute that each of Richard, Rita and Gina signed their respective documents individually on December 24, 2001, in Bhora's office. Their signatures, together with those of Bhora and Mhinder, were witnessed by Mr. Furnemont, although Mr. Furnemont was not present when each of Richard, Rita and Gina signed, and Mhinder was not in the office at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282</w:t>
      </w:r>
      <w:r>
        <w:rPr>
          <w:rFonts w:ascii="arial" w:eastAsia="arial" w:hAnsi="arial" w:cs="arial"/>
          <w:color w:val="000000"/>
          <w:sz w:val="20"/>
          <w:lang w:val="en-US" w:eastAsia="en-US" w:bidi="ar-SA"/>
        </w:rPr>
        <w:t>  Mr. Furnemont's acknowledgement, with the same typographical error, confirmed that "I hold the common shares of Malo Enterprises Ltd in trust for Mhinder Singh Mayer and Bhora Singh Mayer". That, too, was signed on December 24, 2001. Mr. Furnemont's signature was witnessed by Mhinder Mayer. The principal oddity is that Mr. Furnemont did not then hold the common shares of Malo Enterprises Ltd, as he had transferred them to Rita more than a year earlier, on December 1,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283</w:t>
      </w:r>
      <w:r>
        <w:rPr>
          <w:rFonts w:ascii="arial" w:eastAsia="arial" w:hAnsi="arial" w:cs="arial"/>
          <w:color w:val="000000"/>
          <w:sz w:val="20"/>
          <w:lang w:val="en-US" w:eastAsia="en-US" w:bidi="ar-SA"/>
        </w:rPr>
        <w:t>  Kelly signed hers a month later, on January 24, 2002, at her home. Her signature is unwitnessed, as is Mhinder's. Bhora presumably signed it in advance, as his signature is witnessed by Mr. Furnemont. Neither Bhora nor Mr. Furnemont were present on January 24 when Kelly signed the document.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284</w:t>
      </w:r>
      <w:r>
        <w:rPr>
          <w:rFonts w:ascii="arial" w:eastAsia="arial" w:hAnsi="arial" w:cs="arial"/>
          <w:color w:val="000000"/>
          <w:sz w:val="20"/>
          <w:lang w:val="en-US" w:eastAsia="en-US" w:bidi="ar-SA"/>
        </w:rPr>
        <w:t>  In the first paragraph of the document, Kelly confirmed that she held the common shares of D &amp; A Crushing in trust for Mhinder and Bora. Before signing, however, she crossed out the second paragraph by which she purported to confirm that she owned her real estate properties in trust for Mhinder and Bora. That deletion is initialed by both Kelly and Mhinder, but not by Bhora.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285</w:t>
      </w:r>
      <w:r>
        <w:rPr>
          <w:rFonts w:ascii="arial" w:eastAsia="arial" w:hAnsi="arial" w:cs="arial"/>
          <w:color w:val="000000"/>
          <w:sz w:val="20"/>
          <w:lang w:val="en-US" w:eastAsia="en-US" w:bidi="ar-SA"/>
        </w:rPr>
        <w:t>  Bhora was the first to have a go at explaining how these documents came to be signed, when he testified as an adverse party witness in the plaintiff's case. As I review his evidence and that of the other parties, it is important to distinguish between what they say they were telling each other, and what was actually happening.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286</w:t>
      </w:r>
      <w:r>
        <w:rPr>
          <w:rFonts w:ascii="arial" w:eastAsia="arial" w:hAnsi="arial" w:cs="arial"/>
          <w:color w:val="000000"/>
          <w:sz w:val="20"/>
          <w:lang w:val="en-US" w:eastAsia="en-US" w:bidi="ar-SA"/>
        </w:rPr>
        <w:t>  According to Bhora, it was Mhinder who insisted that these documents be executed. Mhinder offered two reasons: first, he intended to leave his interest in the brothers' trust to Richard and Rita, but wanted to ensure that they would care for him and look after him if he did so. He needed them to demonstrate loyalty. He wanted to be satisfied that he could trust them not to leave him high and dry once he left his interest to them. This was a way of accomplishing that-not by creating new trusts, but by showing that they were willing to do so. Second, he was worried about his marriage and was concerned that Kelly would make a claim on his share of the trust, and on the shares of D &amp; 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287</w:t>
      </w:r>
      <w:r>
        <w:rPr>
          <w:rFonts w:ascii="arial" w:eastAsia="arial" w:hAnsi="arial" w:cs="arial"/>
          <w:color w:val="000000"/>
          <w:sz w:val="20"/>
          <w:lang w:val="en-US" w:eastAsia="en-US" w:bidi="ar-SA"/>
        </w:rPr>
        <w:t>  Bhora testified that, at Mhinder's request, he asked Marc Furnemont to draft the documents, with Gina and Kelly to be included to show that the whole family was doing this thing together. His instructions to Mr. Furnemont were that Mhinder wanted to transfer his interest to the children because he is going through matrimonial issues with Kelly, and wanted to try to persuade her that the whole family is doing this. He described it as "very complicated". He maintained that he gave no specific instructions to Mr. Furnemont, but just a general description of what Mhinder wanted.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288</w:t>
      </w:r>
      <w:r>
        <w:rPr>
          <w:rFonts w:ascii="arial" w:eastAsia="arial" w:hAnsi="arial" w:cs="arial"/>
          <w:color w:val="000000"/>
          <w:sz w:val="20"/>
          <w:lang w:val="en-US" w:eastAsia="en-US" w:bidi="ar-SA"/>
        </w:rPr>
        <w:t>  Bhora confessed that this made no sense to him, yet he did it anyway. It certainly made no sense to me. It is, however, essentially consistent with what Richard, Rita and Gina testified they were told by Bhora. It is also curiously similar in concept to a proposal Mhinder made much later to Richard and Rita (see section 8.5.2 below), which was that they should transfer control of their businesses to him for 25 years. He would run them and develop the businesses in return for a net salary of $10,000 per month, and then retire (at 85), turning his controlling interest back over to Richard and Rita. I observe that such a proposal would seem unnecessary if Mhinder already held a beneficial interest in all these businesses.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289</w:t>
      </w:r>
      <w:r>
        <w:rPr>
          <w:rFonts w:ascii="arial" w:eastAsia="arial" w:hAnsi="arial" w:cs="arial"/>
          <w:color w:val="000000"/>
          <w:sz w:val="20"/>
          <w:lang w:val="en-US" w:eastAsia="en-US" w:bidi="ar-SA"/>
        </w:rPr>
        <w:t>  Mhinder had quite a different explanation. As he had testified, he had for some time been urging the family in vain to get the terms of the new family trust into writing. Then, at last something was done. On December 24, 2001, out of the blue, Mr. Furnemont approached him when Mhinder was working at the shop at Mack Nanaimo, and asked him to walk with him to his car. As they walked, Mr. Furnemont produced the four acknowledgement of trust forms. The ones for Richard, Rita and Gina had been signed and witnessed, but Kelly's was not yet signed. Mr. Furnemont told Mhinder, "this was something you've been wanting all along", and handed them to him: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...so I looked at them and I said, "Marc, this does not reflect what I feel our new family trust is." And he says, "Mhindy, it's been a long time coming through for these documents, and I know we were supposed to be doing it a long time ago. This is a start. We can always change it." And I said, "Okay." So I signed it and he signed it. And he gave me these copies.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290</w:t>
      </w:r>
      <w:r>
        <w:rPr>
          <w:rFonts w:ascii="arial" w:eastAsia="arial" w:hAnsi="arial" w:cs="arial"/>
          <w:color w:val="000000"/>
          <w:sz w:val="20"/>
          <w:lang w:val="en-US" w:eastAsia="en-US" w:bidi="ar-SA"/>
        </w:rPr>
        <w:t>  According to Mhinder, Mr. Furnemont then told him that he would be bringing him one more acknowledgement of trust for Malo Enterprises. Mhinder reiterated that the documents did not match his understanding of the nature of the trust, but accepted Mr. Furnemont's advice that this was just a start, and they could always change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291</w:t>
      </w:r>
      <w:r>
        <w:rPr>
          <w:rFonts w:ascii="arial" w:eastAsia="arial" w:hAnsi="arial" w:cs="arial"/>
          <w:color w:val="000000"/>
          <w:sz w:val="20"/>
          <w:lang w:val="en-US" w:eastAsia="en-US" w:bidi="ar-SA"/>
        </w:rPr>
        <w:t>  Neither Bhora's nor Mhinder's account explains why Mr. Furnemont was expected to sign an acknowledgement of trust in relation to Malo Enterprises. That could not have had anything to do with a demonstration of loyalty or Mhinder's potential marital issues, and was equally irrelevant to any contemplated new family trust as described by Mhinder.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292</w:t>
      </w:r>
      <w:r>
        <w:rPr>
          <w:rFonts w:ascii="arial" w:eastAsia="arial" w:hAnsi="arial" w:cs="arial"/>
          <w:color w:val="000000"/>
          <w:sz w:val="20"/>
          <w:lang w:val="en-US" w:eastAsia="en-US" w:bidi="ar-SA"/>
        </w:rPr>
        <w:t>  Richard, Rita and Gina gave evidence about the events of December 24, 2001, that was consistent in all material respects.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293</w:t>
      </w:r>
      <w:r>
        <w:rPr>
          <w:rFonts w:ascii="arial" w:eastAsia="arial" w:hAnsi="arial" w:cs="arial"/>
          <w:color w:val="000000"/>
          <w:sz w:val="20"/>
          <w:lang w:val="en-US" w:eastAsia="en-US" w:bidi="ar-SA"/>
        </w:rPr>
        <w:t>  The family was planning to travel by ferry to Vancouver that afternoon to have Christmas Eve dinner with relatives. When they dropped into the OCL office, Bhora asked them to sign the documents, dealing first with Gina and Rita, and then separately with Richard, who came in later. Bhora was, they described, forceful and adamant as only Bhora can be.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294</w:t>
      </w:r>
      <w:r>
        <w:rPr>
          <w:rFonts w:ascii="arial" w:eastAsia="arial" w:hAnsi="arial" w:cs="arial"/>
          <w:color w:val="000000"/>
          <w:sz w:val="20"/>
          <w:lang w:val="en-US" w:eastAsia="en-US" w:bidi="ar-SA"/>
        </w:rPr>
        <w:t>  None of them could understand why they should sign such a document. They were upset. Bhora insisted, however, that this was necessary in order to appease Mhinder for the reasons Bhora described to me, and that they need have no concern, as the documents were not legally binding, meant nothing, and were going nowhere. Ultimately, they each caved in and signed, reluctantly, but with the understanding that there would be no legal consequences.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295</w:t>
      </w:r>
      <w:r>
        <w:rPr>
          <w:rFonts w:ascii="arial" w:eastAsia="arial" w:hAnsi="arial" w:cs="arial"/>
          <w:color w:val="000000"/>
          <w:sz w:val="20"/>
          <w:lang w:val="en-US" w:eastAsia="en-US" w:bidi="ar-SA"/>
        </w:rPr>
        <w:t>  Mr. Furnemont testified that he had had no discussions with anyone about these acknowledgement of trust documents before December 24, 2001. On that day, he spoke with both Bhora and Mhinder. He cannot differentiate between the two conversations because the day remains a bit of a blur for him. He confessed that he was not at all proud of what had transpired that day. He has regretted what he did ever since.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296</w:t>
      </w:r>
      <w:r>
        <w:rPr>
          <w:rFonts w:ascii="arial" w:eastAsia="arial" w:hAnsi="arial" w:cs="arial"/>
          <w:color w:val="000000"/>
          <w:sz w:val="20"/>
          <w:lang w:val="en-US" w:eastAsia="en-US" w:bidi="ar-SA"/>
        </w:rPr>
        <w:t>  As he recalled it, his instructions from Bhora and Mhinder were to prepare documents to be signed by Richard, Rita, Gina and Kelly that mirrored the basic terms of the brothers' trust: all businesses and properties other than the personal residences were held in trust for Bhora and Mhinder. He understood that there were difficulties between Mhinder and Kelly, and the brothers were concerned about Kelly's shares in D &amp; A. In order to persuade her to acknowledge that she held them in trust for the brothers, it was thought important to show that everyone else was doing the same thing, including Mr. Furnemont. But the documents (other than Kelly's) would otherwise mean nothing, and would be discarded or destroyed.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297</w:t>
      </w:r>
      <w:r>
        <w:rPr>
          <w:rFonts w:ascii="arial" w:eastAsia="arial" w:hAnsi="arial" w:cs="arial"/>
          <w:color w:val="000000"/>
          <w:sz w:val="20"/>
          <w:lang w:val="en-US" w:eastAsia="en-US" w:bidi="ar-SA"/>
        </w:rPr>
        <w:t>  Mr. Furnemont drafted up one and gave it to Bhora to review. He said that it looked good, and to get Mhinder's approval. Mr. Furnemont called Mhinder, read it to him over the phone, and Mhinder approved. Mr. Furnemont then prepared the remaining documents and gave them to Bhora.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298</w:t>
      </w:r>
      <w:r>
        <w:rPr>
          <w:rFonts w:ascii="arial" w:eastAsia="arial" w:hAnsi="arial" w:cs="arial"/>
          <w:color w:val="000000"/>
          <w:sz w:val="20"/>
          <w:lang w:val="en-US" w:eastAsia="en-US" w:bidi="ar-SA"/>
        </w:rPr>
        <w:t>  Asked if he had any concern about Kelly being shown false acknowledgements of trust executed by the other members of the family, he agreed that he did. But he justified it at the time because he had worked with Bhora and Mhinder for many years and believed them when they told him that Kelly was holding the D &amp; A shares in trust, but was trying to keep them. As for the other documents, they were not meant to tie anyone down. Bhora's explanation that Mhinder was planning to transfer his share in the brothers' trust to the children, and required a demonstration of loyalty, was never communicated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299</w:t>
      </w:r>
      <w:r>
        <w:rPr>
          <w:rFonts w:ascii="arial" w:eastAsia="arial" w:hAnsi="arial" w:cs="arial"/>
          <w:color w:val="000000"/>
          <w:sz w:val="20"/>
          <w:lang w:val="en-US" w:eastAsia="en-US" w:bidi="ar-SA"/>
        </w:rPr>
        <w:t>  I accept Mr. Furnemont's evidence as to the circumstances under which he came to draft the documents, including the instructions he received from Bhora and Mhinder, and his understanding of the reason. His evidence came the closest of all to making sense of this, and his demeanour was entirely appropriate throughout, consistent with the discomfort and embarrassment he described. Bhora's suggestion that he just gave a general instruction to Mr. Furnemont to draw something up, from which these documents emerged, is not believable. Neither is Mhinder's evidence that Mr. Furnemont drafted them entirely on his own without any instruction at all. Mr. Furnemont's evidence that he was told to draft documents that reflected the structure of the brothers' trust makes sense and is consistent with what he in fact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300</w:t>
      </w:r>
      <w:r>
        <w:rPr>
          <w:rFonts w:ascii="arial" w:eastAsia="arial" w:hAnsi="arial" w:cs="arial"/>
          <w:color w:val="000000"/>
          <w:sz w:val="20"/>
          <w:lang w:val="en-US" w:eastAsia="en-US" w:bidi="ar-SA"/>
        </w:rPr>
        <w:t>  I do not, however, accept that the reason Mhinder and Bhora arranged for these documents to be prepared and executed was as Bhora testified, and as he explained it to Gina, Richard and Rita. That explanation made no sense to Gina, Richard and Rita at the time, made no sense to Bhora when he testified about it, and makes no sense to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301</w:t>
      </w:r>
      <w:r>
        <w:rPr>
          <w:rFonts w:ascii="arial" w:eastAsia="arial" w:hAnsi="arial" w:cs="arial"/>
          <w:color w:val="000000"/>
          <w:sz w:val="20"/>
          <w:lang w:val="en-US" w:eastAsia="en-US" w:bidi="ar-SA"/>
        </w:rPr>
        <w:t>  As to the first part of Bhora's explanation, that Mhinder required some evidence of loyalty in order to feel safe in transferring his interest in the brothers' trust to the children, it is difficult to understand how that could have been accomplished by documents purporting to transfer the beneficial interest in everything to Mhinder and Bhora, a one-way street. And Bhora was clear that they were not intended to be binding. So what was the point? A test of willingness to sacrifice of Abrahamic proportion? I think not. How would it test anyone who was first assured that the documents were not legally binding? And why would such a test arise so suddenly and be so rushed? No rational explanation was provided.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302</w:t>
      </w:r>
      <w:r>
        <w:rPr>
          <w:rFonts w:ascii="arial" w:eastAsia="arial" w:hAnsi="arial" w:cs="arial"/>
          <w:color w:val="000000"/>
          <w:sz w:val="20"/>
          <w:lang w:val="en-US" w:eastAsia="en-US" w:bidi="ar-SA"/>
        </w:rPr>
        <w:t>  As to the second part of Bhora's explanation, if Mhinder were having marital difficulties, they had not surfaced. Moreover, it would make little sense to increase Mhinder's assets by adding the family companies and real estate properties to them--assets not covered by his co-habitation agreement with Kelly that they signed in 1996. I reject that explanation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303</w:t>
      </w:r>
      <w:r>
        <w:rPr>
          <w:rFonts w:ascii="arial" w:eastAsia="arial" w:hAnsi="arial" w:cs="arial"/>
          <w:color w:val="000000"/>
          <w:sz w:val="20"/>
          <w:lang w:val="en-US" w:eastAsia="en-US" w:bidi="ar-SA"/>
        </w:rPr>
        <w:t>  I do accept, however, that that is the explanation that Bhora communicated to Richard, Rita and Gina. It is the sort of arrangement with which Bhora and Mhinder would have been familiar from the manner in which the brothers' trust documents were prepared and executed. It wrapped the entire process up in family dynamics as being necessary to appease Mhinder. It was not, however, 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304</w:t>
      </w:r>
      <w:r>
        <w:rPr>
          <w:rFonts w:ascii="arial" w:eastAsia="arial" w:hAnsi="arial" w:cs="arial"/>
          <w:color w:val="000000"/>
          <w:sz w:val="20"/>
          <w:lang w:val="en-US" w:eastAsia="en-US" w:bidi="ar-SA"/>
        </w:rPr>
        <w:t>  What, then, was their purpose in having Richard, Rita, Gina and Mr. Furnemont sign these documents on so urgent a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305</w:t>
      </w:r>
      <w:r>
        <w:rPr>
          <w:rFonts w:ascii="arial" w:eastAsia="arial" w:hAnsi="arial" w:cs="arial"/>
          <w:color w:val="000000"/>
          <w:sz w:val="20"/>
          <w:lang w:val="en-US" w:eastAsia="en-US" w:bidi="ar-SA"/>
        </w:rPr>
        <w:t>  Mhinder argues that they did it for the obvious reason disclosed on the face of the documents: to acknowledge the existence of a trust. But Mhinder's evidence is equally improbable, and I reject it. The trust the documents purported to create is clearly not the one that Mhinder testified the parties contemplated. To suggest that the acknowledgements were intended to be merely a starting point for documenting the contemplated trust is not credible. His evidence that Mr. Furnemont prepared them on his own volition and then arranged for them to be executed before delivering them to Mhinder is, I find, pure fabrication. Apart from anything else, I am satisfied that Mr. Furnemont would not have hesitated to redraft the documents if they did not properly reflect what was intended by the family. They were all on word processing, and it would have been but a minute's work. And if, as Mhinder suggests, Mr. Furnemont had known all along of the wider trust that the family had discussed, he would never have drafted the documents that way to begin with. Moreover, as I indicated above, it is inconceivable to me that he would have proceeded to draft such documents without specific instructions.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306</w:t>
      </w:r>
      <w:r>
        <w:rPr>
          <w:rFonts w:ascii="arial" w:eastAsia="arial" w:hAnsi="arial" w:cs="arial"/>
          <w:color w:val="000000"/>
          <w:sz w:val="20"/>
          <w:lang w:val="en-US" w:eastAsia="en-US" w:bidi="ar-SA"/>
        </w:rPr>
        <w:t>  In addition, Mhinder was unable to provide any explanation supported by evidence as to why the trust should now include the real estate properties owned by Richard, Rita and Gina. They funded the purchase of their properties on their own, without involvement of Mhinder, Bhora or OCL. The most that could be said is that Mr. Furnemont provided transactional assistance. That would not give rise to a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307</w:t>
      </w:r>
      <w:r>
        <w:rPr>
          <w:rFonts w:ascii="arial" w:eastAsia="arial" w:hAnsi="arial" w:cs="arial"/>
          <w:color w:val="000000"/>
          <w:sz w:val="20"/>
          <w:lang w:val="en-US" w:eastAsia="en-US" w:bidi="ar-SA"/>
        </w:rPr>
        <w:t>  Mhinder's evidence concerning one of Rita's properties, at 1737 Northfield Road in Nanaimo, illustrates the absurdity of his position. As noted above, Rita purchased the property from Dan Helgesen, an Osborne Group employee, on March 30, 1995, for $162,000. She assumed responsibility for the existing mortgage of $92,250, borrowed additional funds, and ultimately sold the property on May 30, 2005, for $163,000. In the meantime, she paid the mortgage, taxes and other expenses.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308</w:t>
      </w:r>
      <w:r>
        <w:rPr>
          <w:rFonts w:ascii="arial" w:eastAsia="arial" w:hAnsi="arial" w:cs="arial"/>
          <w:color w:val="000000"/>
          <w:sz w:val="20"/>
          <w:lang w:val="en-US" w:eastAsia="en-US" w:bidi="ar-SA"/>
        </w:rPr>
        <w:t>  Mr. Helgesen had bought the property on July 28, 1992, for $105,000. He testified as a witness at trial, during which testimony it emerged for the first time that he had an agreement with Mhinder by which they owned the property equally, sharing the purchase cost and its expenses. Mhinder did not appear on title.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309</w:t>
      </w:r>
      <w:r>
        <w:rPr>
          <w:rFonts w:ascii="arial" w:eastAsia="arial" w:hAnsi="arial" w:cs="arial"/>
          <w:color w:val="000000"/>
          <w:sz w:val="20"/>
          <w:lang w:val="en-US" w:eastAsia="en-US" w:bidi="ar-SA"/>
        </w:rPr>
        <w:t>  Rita testified that in 1995, Mhinder had told her that Mr. Helgesen was interested in selling the property, and suggested that she buy it. She was unaware of any interest in the property on Mhinder's part.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310</w:t>
      </w:r>
      <w:r>
        <w:rPr>
          <w:rFonts w:ascii="arial" w:eastAsia="arial" w:hAnsi="arial" w:cs="arial"/>
          <w:color w:val="000000"/>
          <w:sz w:val="20"/>
          <w:lang w:val="en-US" w:eastAsia="en-US" w:bidi="ar-SA"/>
        </w:rPr>
        <w:t>  Mhinder claimed when the property was put up for sale by Mr. Helgesen, it was supposed to come to him. Somehow, however, Mr. Furnemont "switched it" so that it went into Rita's name instead. As such, complained Mhinder, Rita obtained the benefit of his interest, something he did not discover for some time. He also suggested that the price for which the property was sold to Rita was below market value, so that the profit represented only Mr. Helgesen's share, not his. Mr. Helgesen, however, confirmed that Mhinder received half of the profits of the sale, and Mhinder ultimately conceded this. Mhinder led no evidence to support his contention that Rita paid below market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311</w:t>
      </w:r>
      <w:r>
        <w:rPr>
          <w:rFonts w:ascii="arial" w:eastAsia="arial" w:hAnsi="arial" w:cs="arial"/>
          <w:color w:val="000000"/>
          <w:sz w:val="20"/>
          <w:lang w:val="en-US" w:eastAsia="en-US" w:bidi="ar-SA"/>
        </w:rPr>
        <w:t>  Mr. Furnemont testified that he assisted Rita with the sale and in obtaining further financing for the purchase of this property, but had no dealings with Mhinder at all, and was unaware of any interest Mhinder might have had in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312</w:t>
      </w:r>
      <w:r>
        <w:rPr>
          <w:rFonts w:ascii="arial" w:eastAsia="arial" w:hAnsi="arial" w:cs="arial"/>
          <w:color w:val="000000"/>
          <w:sz w:val="20"/>
          <w:lang w:val="en-US" w:eastAsia="en-US" w:bidi="ar-SA"/>
        </w:rPr>
        <w:t>  Mhinder's evidence simply made no sense. It began with his concealed interest in the property, then alleged a botched transfer by Mr. Furnemont which apparently went unnoticed for years and was belied by the financing assumed and obtained by Rita, and ended with an allegation of lost profit that he was obliged to retract. I reject his evidence entirely, and I accept that of Rita and Mr. Furnemont. Their evidence, unlike Mhinder's, was straightforward and sensible, and in "harmony with the preponderance of the probabilities". On the whole, it is evident that Mhinder encouraged Rita to buy the property so that he could reap a healthy undisclosed profit.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313</w:t>
      </w:r>
      <w:r>
        <w:rPr>
          <w:rFonts w:ascii="arial" w:eastAsia="arial" w:hAnsi="arial" w:cs="arial"/>
          <w:color w:val="000000"/>
          <w:sz w:val="20"/>
          <w:lang w:val="en-US" w:eastAsia="en-US" w:bidi="ar-SA"/>
        </w:rPr>
        <w:t>  Accordingly, I am satisfied that the acknowledgement of trust documents were not intended to evidence an actual trust that the parties contemplated. What, then, was their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314</w:t>
      </w:r>
      <w:r>
        <w:rPr>
          <w:rFonts w:ascii="arial" w:eastAsia="arial" w:hAnsi="arial" w:cs="arial"/>
          <w:color w:val="000000"/>
          <w:sz w:val="20"/>
          <w:lang w:val="en-US" w:eastAsia="en-US" w:bidi="ar-SA"/>
        </w:rPr>
        <w:t>  The only alternative is that they were intended to mislead. But to suggest, as Mr. Furnemont understood, that they were intended to mislead Kelly will not do. Mr. Furnemont may have been prepared to accept that explanation, but I am not. Kelly never took the position that she held the shares in D &amp; A for her own benefit, and indeed signed her acknowledgement without hesitation (objecting only, quite properly, to declaring that she held her real estate in trust). I accept her evidence that there were no marital difficulties at that time, and that she had always acknowledged that she held D &amp; A in trust. She did not need to be tricked into signing the document. So who was to be misled?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315</w:t>
      </w:r>
      <w:r>
        <w:rPr>
          <w:rFonts w:ascii="arial" w:eastAsia="arial" w:hAnsi="arial" w:cs="arial"/>
          <w:color w:val="000000"/>
          <w:sz w:val="20"/>
          <w:lang w:val="en-US" w:eastAsia="en-US" w:bidi="ar-SA"/>
        </w:rPr>
        <w:t>  The key, I find, lies in evidence Bhora gave in a slightly different context, and it all relates to Bhagwan's claim as set out in the correspondence that Bhagwan's solicitors delivered in October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316</w:t>
      </w:r>
      <w:r>
        <w:rPr>
          <w:rFonts w:ascii="arial" w:eastAsia="arial" w:hAnsi="arial" w:cs="arial"/>
          <w:color w:val="000000"/>
          <w:sz w:val="20"/>
          <w:lang w:val="en-US" w:eastAsia="en-US" w:bidi="ar-SA"/>
        </w:rPr>
        <w:t>  By December 24, 2001, negotiations had gone nowhere and Bhagwan had filed (but not served) a statement of claim 12 days before. I am satisfied that both Bhora and Mhinder were well aware by then that Bhagwan was asserting that the businesses held in the names of Richard, Gina, Rita and Marc Furnemont were in fact assets of the brothers' trust, of which Bhagwan claimed still to be a beneficiary. This was all spelled out in the letter to Mhinder and Bhora from Bhagwan's solicitors dated September 13, 2001. The reference to Mr. Furnemont was, of course, in error given the transfer of his shares to Rita, but it was an error that was repeated in the acknowledgements of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317</w:t>
      </w:r>
      <w:r>
        <w:rPr>
          <w:rFonts w:ascii="arial" w:eastAsia="arial" w:hAnsi="arial" w:cs="arial"/>
          <w:color w:val="000000"/>
          <w:sz w:val="20"/>
          <w:lang w:val="en-US" w:eastAsia="en-US" w:bidi="ar-SA"/>
        </w:rPr>
        <w:t>  As we have seen, Bhora and Mhinder differ as to whether Arrowsmith Concrete (now MIH) was part of the brothers' trust. Bhora contends that it was, and that MIH still is. Yet when Bhora was examined for discovery in the Bhagwan action, this exchange took place: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Arrowsmith Concrete, later Mid-Isle Concrete, were its shares held by the trust for the benefit of the brothers?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No.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318</w:t>
      </w:r>
      <w:r>
        <w:rPr>
          <w:rFonts w:ascii="arial" w:eastAsia="arial" w:hAnsi="arial" w:cs="arial"/>
          <w:color w:val="000000"/>
          <w:sz w:val="20"/>
          <w:lang w:val="en-US" w:eastAsia="en-US" w:bidi="ar-SA"/>
        </w:rPr>
        <w:t xml:space="preserve">  Not surprisingly, Bhora was cross-examined about this evidence given its inconsistency with his position before me. He sought to explain it by differentiating between the brothers' trust alleged by Bhagwan, of which the beneficiaries were Bhagwan, Bhora and Mhinder, and the brothers' trust acknowledged by Bhora and Mhinder, of which they are the sole beneficiaries. Arrowsmith was not an asset of the trust Bhagwan asserted because, Bhora said, he did not recognize that trust and was entitled to ignore it unless and until a court ruled otherwise. When he said that the shares were not held in trust for the benefit of the brothers, he meant for the benefit of Bhagwan, Bhora and Mhinder. But, he testified, they </w:t>
      </w:r>
      <w:r>
        <w:rPr>
          <w:rFonts w:ascii="arial" w:eastAsia="arial" w:hAnsi="arial" w:cs="arial"/>
          <w:i/>
          <w:color w:val="000000"/>
          <w:sz w:val="20"/>
          <w:lang w:val="en-US" w:eastAsia="en-US" w:bidi="ar-SA"/>
        </w:rPr>
        <w:t>were</w:t>
      </w:r>
      <w:r>
        <w:rPr>
          <w:rFonts w:ascii="arial" w:eastAsia="arial" w:hAnsi="arial" w:cs="arial"/>
          <w:color w:val="000000"/>
          <w:sz w:val="20"/>
          <w:lang w:val="en-US" w:eastAsia="en-US" w:bidi="ar-SA"/>
        </w:rPr>
        <w:t xml:space="preserve"> held in trust for the benefit of Bhora and Mhinder. That was something quite different.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319</w:t>
      </w:r>
      <w:r>
        <w:rPr>
          <w:rFonts w:ascii="arial" w:eastAsia="arial" w:hAnsi="arial" w:cs="arial"/>
          <w:color w:val="000000"/>
          <w:sz w:val="20"/>
          <w:lang w:val="en-US" w:eastAsia="en-US" w:bidi="ar-SA"/>
        </w:rPr>
        <w:t>  As an explanation for his inconsistent evidence, this was woefully inadequate; but it does provide a clue as to Bhora's and Mhinder's thinking and illuminates their approach to defending Bhagwan's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320</w:t>
      </w:r>
      <w:r>
        <w:rPr>
          <w:rFonts w:ascii="arial" w:eastAsia="arial" w:hAnsi="arial" w:cs="arial"/>
          <w:color w:val="000000"/>
          <w:sz w:val="20"/>
          <w:lang w:val="en-US" w:eastAsia="en-US" w:bidi="ar-SA"/>
        </w:rPr>
        <w:t>  The only reasonable inference, I find, is that the acknowledgements of trust were misguidedly devised by Bhora and Mhinder to support a scheme to defeat Bhagwan's claim against those businesses by making them appear to be part of a trust that was different from the brothers' trust asserted by Bhagwan. They were intended, in short, to mislead Bhagwan.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321</w:t>
      </w:r>
      <w:r>
        <w:rPr>
          <w:rFonts w:ascii="arial" w:eastAsia="arial" w:hAnsi="arial" w:cs="arial"/>
          <w:color w:val="000000"/>
          <w:sz w:val="20"/>
          <w:lang w:val="en-US" w:eastAsia="en-US" w:bidi="ar-SA"/>
        </w:rPr>
        <w:t>  What happened after December 24 is this. Mr. Furnemont gave the signed acknowledgements to Mhinder. Bhora and his family went to Vancouver, and Gina and Bhora subsequently vacationed in Mexico. Gina, whose evidence concerning these circumstances I accept, continued to be concerned about the documents. On their return in January 2002, she asked Mhinder whether he had taken steps to transfer his assets as she understood he was to do. Mhinder said he was not going to do that, and so Gina asked for the documents to be returned. Mhinder agreed.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322</w:t>
      </w:r>
      <w:r>
        <w:rPr>
          <w:rFonts w:ascii="arial" w:eastAsia="arial" w:hAnsi="arial" w:cs="arial"/>
          <w:color w:val="000000"/>
          <w:sz w:val="20"/>
          <w:lang w:val="en-US" w:eastAsia="en-US" w:bidi="ar-SA"/>
        </w:rPr>
        <w:t>  A few days later, I find, Mhinder returned Gina's acknowledgement of trust to her, and told her that he had ripped up the others. But he had not destroyed the others. Much to the surprise of Richard and Rita, he produced them years later, in 2007, when relations among the family members were seriously deteriorating.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323</w:t>
      </w:r>
      <w:r>
        <w:rPr>
          <w:rFonts w:ascii="arial" w:eastAsia="arial" w:hAnsi="arial" w:cs="arial"/>
          <w:color w:val="000000"/>
          <w:sz w:val="20"/>
          <w:lang w:val="en-US" w:eastAsia="en-US" w:bidi="ar-SA"/>
        </w:rPr>
        <w:t>  The documents were not used in the Bhagwan litigation. Indeed, nobody mentioned their existence. Gina testified that in early January 2002, while she and Bhora were still in Mexico, Bhora told her that Bhagwan had sued them. Bhora and Mhinder already had solicitors. On her return to Vancouver, Gina, Richard and Rita retained Farris &amp; Co. I find it reasonable to infer that once the action had been commenced and the amended statement of claim served (the first amended statement of claim was filed January 2, 2002), Bhora and Mhinder obtained legal advice and, after consideration, concluded that their scheme to protect the family companies by purporting to put them in a new trust in favour of Bhora and Mhinder would not accomplish their goal. No doubt it is for this reason that Mhinder was happy to return Gina's document. If there was a problem with Mhinder's marriage as suggested by Bhora, it seems highly unlikely that he would have done so. Kelly had yet to sign hers. And if the documents signed by Gina, Richard and Rita truly reflected the intention of the parties, as suggested by Mhinder, it would have made no sense for Mhinder to return Gina's (or indeed for Gina to demand it) and to say that he had destroyed the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324</w:t>
      </w:r>
      <w:r>
        <w:rPr>
          <w:rFonts w:ascii="arial" w:eastAsia="arial" w:hAnsi="arial" w:cs="arial"/>
          <w:color w:val="000000"/>
          <w:sz w:val="20"/>
          <w:lang w:val="en-US" w:eastAsia="en-US" w:bidi="ar-SA"/>
        </w:rPr>
        <w:t xml:space="preserve">  No other explanation fits with the timing, the urgency with which Bhora and Mhinder acted, and the preponderance of the probabilities. It is otherwise inconceivable that Richard, Rita and Gina would have expressly agreed to hold their properties in trust for Mhinder and Bhora, when the new family trust they had all contemplated, as described by Mhinder, was quite different and much more to their advantage. (I observe parenthetically that in his alternative argument based upon unjust enrichment, Mhinder suggests that an </w:t>
      </w:r>
      <w:r>
        <w:rPr>
          <w:rFonts w:ascii="arial" w:eastAsia="arial" w:hAnsi="arial" w:cs="arial"/>
          <w:i/>
          <w:color w:val="000000"/>
          <w:sz w:val="20"/>
          <w:lang w:val="en-US" w:eastAsia="en-US" w:bidi="ar-SA"/>
        </w:rPr>
        <w:t>equitable</w:t>
      </w:r>
      <w:r>
        <w:rPr>
          <w:rFonts w:ascii="arial" w:eastAsia="arial" w:hAnsi="arial" w:cs="arial"/>
          <w:color w:val="000000"/>
          <w:sz w:val="20"/>
          <w:lang w:val="en-US" w:eastAsia="en-US" w:bidi="ar-SA"/>
        </w:rPr>
        <w:t xml:space="preserve"> result would be an award of a 25% beneficial interest in the assets of Richard and Rita, not 50%. There was nothing equitable about what the acknowledgements purported to create.)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325</w:t>
      </w:r>
      <w:r>
        <w:rPr>
          <w:rFonts w:ascii="arial" w:eastAsia="arial" w:hAnsi="arial" w:cs="arial"/>
          <w:color w:val="000000"/>
          <w:sz w:val="20"/>
          <w:lang w:val="en-US" w:eastAsia="en-US" w:bidi="ar-SA"/>
        </w:rPr>
        <w:t>  It is also inconceivable that, if the family had agreed to a trust as Mhinder described, and then executed documents acknowledging it, he would have done nothing consistent with being the beneficial owner of these businesses, which is what happened.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326</w:t>
      </w:r>
      <w:r>
        <w:rPr>
          <w:rFonts w:ascii="arial" w:eastAsia="arial" w:hAnsi="arial" w:cs="arial"/>
          <w:color w:val="000000"/>
          <w:sz w:val="20"/>
          <w:lang w:val="en-US" w:eastAsia="en-US" w:bidi="ar-SA"/>
        </w:rPr>
        <w:t>  Mhinder denied that he told Gina or anyone that he had ripped up the acknowledgements. He sought to explain his agreement to return Gina's acknowledgement by saying that, at a family meeting, Richard told him not to worry about 'mom's company', R &amp; G, as it would eventually come to Richard anyway and thereby become part of "our family trust". Richard and Gina denied any such conversation.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327</w:t>
      </w:r>
      <w:r>
        <w:rPr>
          <w:rFonts w:ascii="arial" w:eastAsia="arial" w:hAnsi="arial" w:cs="arial"/>
          <w:color w:val="000000"/>
          <w:sz w:val="20"/>
          <w:lang w:val="en-US" w:eastAsia="en-US" w:bidi="ar-SA"/>
        </w:rPr>
        <w:t>  It is not easy to understand why Richard would refer to "our family trust" if he had intentionally agreed that he held his companies and properties in trust for Bhora and Mhinder. Moreover, Mhinder said something quite different in an affidavit he swore on April 19, 2010: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Early in the new year 2002, Gina Mayer asked me to return her acknowledgement of trust. At that time I spoke with Bhora Mayer who said that all of Gina Mayer's assets would come to Richard Mayer and Rita Webb anyway and that to keep the family peace I should humour Gina Mayer.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328</w:t>
      </w:r>
      <w:r>
        <w:rPr>
          <w:rFonts w:ascii="arial" w:eastAsia="arial" w:hAnsi="arial" w:cs="arial"/>
          <w:color w:val="000000"/>
          <w:sz w:val="20"/>
          <w:lang w:val="en-US" w:eastAsia="en-US" w:bidi="ar-SA"/>
        </w:rPr>
        <w:t>  Notwithstanding the frailties of his evidence, Mhinder argued that it should be preferred because otherwise it would mean that:</w:t>
      </w:r>
      <w:r>
        <w:rPr>
          <w:rFonts w:ascii="arial" w:eastAsia="arial" w:hAnsi="arial" w:cs="arial"/>
          <w:sz w:val="20"/>
          <w:lang w:val="en-US" w:eastAsia="en-US" w:bidi="ar-SA"/>
        </w:rPr>
        <w:cr/>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Mhinder was prepared to cold-bloodedly lie about his actions at the time and repeat the lie several times, (b) Mhinder did so with the intention of relying upon the acknowledgements in the future, thereby undertaking a long-term private plan to trick Richard and Rita, and (c) this was at odds with Mhinder's prior conduct and took place while Mhinder was to all appearances on good terms with the other family members, something that persisted until early 2007. All this is unlikely.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329</w:t>
      </w:r>
      <w:r>
        <w:rPr>
          <w:rFonts w:ascii="arial" w:eastAsia="arial" w:hAnsi="arial" w:cs="arial"/>
          <w:color w:val="000000"/>
          <w:sz w:val="20"/>
          <w:lang w:val="en-US" w:eastAsia="en-US" w:bidi="ar-SA"/>
        </w:rPr>
        <w:t>  Regrettably, Mhinder has amply demonstrated his preparedness to lie about his actions, and also cold-bloodedly to induce a third party to lie to support his own false evidence. But it does not necessarily follow from my findings that Mhinder callously undertook a "long-term private plan" in this instance. It may be that once it became apparent that the documents would not assist in the defence of Bhagwan's claim, he lost interest in them, said that he had ripped them up just to get the others off his back, and then promptly forgot about them until everything began to go sideways. Then, upon rediscovering them, just as with Richard's promissory note, he saw an opportunity and jumped on it. Alternatively, it may be that he was already beginning to worry about his future and tucked these documents away in case they might someday prove useful. Given all that occurred in this case, I am unable to say that the evidence renders either scenario "unlikely".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330</w:t>
      </w:r>
      <w:r>
        <w:rPr>
          <w:rFonts w:ascii="arial" w:eastAsia="arial" w:hAnsi="arial" w:cs="arial"/>
          <w:color w:val="000000"/>
          <w:sz w:val="20"/>
          <w:lang w:val="en-US" w:eastAsia="en-US" w:bidi="ar-SA"/>
        </w:rPr>
        <w:t>  Consequently, I reject Mhinder's evidence that he returned Gina's acknowledgement based on representations from Richard (or Bhora), and I accept Richard's evidence that he said no such 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331</w:t>
      </w:r>
      <w:r>
        <w:rPr>
          <w:rFonts w:ascii="arial" w:eastAsia="arial" w:hAnsi="arial" w:cs="arial"/>
          <w:color w:val="000000"/>
          <w:sz w:val="20"/>
          <w:lang w:val="en-US" w:eastAsia="en-US" w:bidi="ar-SA"/>
        </w:rPr>
        <w:t>  Kelly's acknowledgement, of course, was not destroyed or returned, and was executed well after the return of Gina's acknowledgement. While no one disputed that D &amp; A was held in trust, and it was not part of Bhagwan's claim, its trust status had never been documented. I have no doubt that its attempted (but, as I find in section 8.6 below, incorrect) documentation at this time was also inspired by Bhagwan's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332</w:t>
      </w:r>
      <w:r>
        <w:rPr>
          <w:rFonts w:ascii="arial" w:eastAsia="arial" w:hAnsi="arial" w:cs="arial"/>
          <w:color w:val="000000"/>
          <w:sz w:val="20"/>
          <w:lang w:val="en-US" w:eastAsia="en-US" w:bidi="ar-SA"/>
        </w:rPr>
        <w:t>  Throughout the Bhagwan litigation, all of the parties denied that the family companies were part of any trust. With respect to Richard, Rita and Gina, those denials were consistent with what they perceived to have occurred: they executed documents that purported to but did not create a trust, that were of no legal effect and which were subsequently destroyed. In these circumstances I do not find that their evidence in the Bhagwan action impairs their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333</w:t>
      </w:r>
      <w:r>
        <w:rPr>
          <w:rFonts w:ascii="arial" w:eastAsia="arial" w:hAnsi="arial" w:cs="arial"/>
          <w:color w:val="000000"/>
          <w:sz w:val="20"/>
          <w:lang w:val="en-US" w:eastAsia="en-US" w:bidi="ar-SA"/>
        </w:rPr>
        <w:t>  The same cannot be said of Mhinder.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334</w:t>
      </w:r>
      <w:r>
        <w:rPr>
          <w:rFonts w:ascii="arial" w:eastAsia="arial" w:hAnsi="arial" w:cs="arial"/>
          <w:color w:val="000000"/>
          <w:sz w:val="20"/>
          <w:lang w:val="en-US" w:eastAsia="en-US" w:bidi="ar-SA"/>
        </w:rPr>
        <w:t>  Mhinder testified that he did not produce the acknowledgements in the Bhagwan litigation notwithstanding the issues raised in that case because Bhagwan had left the trust and so what they had done after was none of his business. He tried to split hairs when confronted with his evidence in the Bhagwan action that Richard's and Rita's companies belonged to them, that they were the owners, and that Mhinder was not. He explained that he simply meant that the shares were the names of Richard and Rita. He acknowledged that his answers were incomplete and misleading. He maintained, however, that they were not "completely false".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335</w:t>
      </w:r>
      <w:r>
        <w:rPr>
          <w:rFonts w:ascii="arial" w:eastAsia="arial" w:hAnsi="arial" w:cs="arial"/>
          <w:color w:val="000000"/>
          <w:sz w:val="20"/>
          <w:lang w:val="en-US" w:eastAsia="en-US" w:bidi="ar-SA"/>
        </w:rPr>
        <w:t>  When it was suggested to him that his testimony in the Bhagwan action that Custom Pumping belonged to his niece, Rita, was inconsistent with his position that it was held in trust for him, he again said he meant that it belonged to her because she owned the shares. There followed this exchange, which is but one of many similar exchanges: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But according to the acknowledgements she was holding them on trust for you and Bhora?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Yes.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So it didn't belong to her in a beneficial sense. She was only holding the shares in her name. And you didn't say that company, the shares are held in the name of Rita Mayer, but he holds them on trust for me and Bhora. You didn't say that, did you?</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I did not say that, no. I did not say that.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The statement you made here was intended, I suggest you, to mislead Bhagwan's counsel.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It is an incomplete answer. And I agree with that. And I didn't feel that Bhagwan needed to know. He had left the trust. It's not really his business.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It wasn't just incomplete. It was intended to mislead him. Isn't that right?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That -- that may have been my thinking at that time. That could well have been, yes.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336</w:t>
      </w:r>
      <w:r>
        <w:rPr>
          <w:rFonts w:ascii="arial" w:eastAsia="arial" w:hAnsi="arial" w:cs="arial"/>
          <w:color w:val="000000"/>
          <w:sz w:val="20"/>
          <w:lang w:val="en-US" w:eastAsia="en-US" w:bidi="ar-SA"/>
        </w:rPr>
        <w:t>  I reject Mhinder's evidence. Nothing he has said about this purported trust can be relied upon in view of his myriad inconsistencies and contradictions.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337</w:t>
      </w:r>
      <w:r>
        <w:rPr>
          <w:rFonts w:ascii="arial" w:eastAsia="arial" w:hAnsi="arial" w:cs="arial"/>
          <w:color w:val="000000"/>
          <w:sz w:val="20"/>
          <w:lang w:val="en-US" w:eastAsia="en-US" w:bidi="ar-SA"/>
        </w:rPr>
        <w:t>  I accept the evidence of Gina, Richard and Rita that they signed the documents under protest, and with the understanding, based on the assurances of Bhora and Mr. Furnemont, that the documents were not legally binding and would have no effect. It is true that they signed voluntarily in the sense that no guns were put to their heads. But they did so: reluctantly and under pressure; in the context of the strong and stern insistence of Bhora, the family patriarch; with the understanding that it related to family dynamics having to do with Mhinder; and with the assurance that it would mean nothing of any legal consequence.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338</w:t>
      </w:r>
      <w:r>
        <w:rPr>
          <w:rFonts w:ascii="arial" w:eastAsia="arial" w:hAnsi="arial" w:cs="arial"/>
          <w:color w:val="000000"/>
          <w:sz w:val="20"/>
          <w:lang w:val="en-US" w:eastAsia="en-US" w:bidi="ar-SA"/>
        </w:rPr>
        <w:t>  The three certainties required to establish an intentional trust have not been established here. Even the trust object, which purported to be for the benefit of Bhora and Mhinder, was not the one to which, on Mhinder's evidence, the parties had agreed. Rather, he testified, what Mr. Furnemont drafted was just a start.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339</w:t>
      </w:r>
      <w:r>
        <w:rPr>
          <w:rFonts w:ascii="arial" w:eastAsia="arial" w:hAnsi="arial" w:cs="arial"/>
          <w:color w:val="000000"/>
          <w:sz w:val="20"/>
          <w:lang w:val="en-US" w:eastAsia="en-US" w:bidi="ar-SA"/>
        </w:rPr>
        <w:t>  But perhaps most importantly, I find that there was no certainty of intention on the part of the alleged settlors. What they unwittingly created, I find, were sham trusts, incapable of transferring beneficial interests, and unenforceable. Instead of an intention on the part of Richard, Rita and Gina to hold property in trust, there was a ruse devised by Bhora and Mhinder for their own purposes, although ultimately intended to benefit the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Sangha</w:t>
      </w:r>
      <w:r>
        <w:rPr>
          <w:rFonts w:ascii="arial" w:eastAsia="arial" w:hAnsi="arial" w:cs="arial"/>
          <w:color w:val="000000"/>
          <w:sz w:val="20"/>
          <w:lang w:val="en-US" w:eastAsia="en-US" w:bidi="ar-SA"/>
        </w:rPr>
        <w:t>, Allan J. reviewed the law concerning sham trusts: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[346] Canadian courts have consistently held that a trust is a sham if the parties had a common intention that the acts done or the documents executed not create the legal rights and obligations which they gave the appearance of creating: </w:t>
      </w:r>
      <w:r>
        <w:rPr>
          <w:rFonts w:ascii="arial" w:eastAsia="arial" w:hAnsi="arial" w:cs="arial"/>
          <w:i/>
          <w:color w:val="000000"/>
          <w:sz w:val="20"/>
          <w:lang w:val="en-US" w:eastAsia="en-US" w:bidi="ar-SA"/>
        </w:rPr>
        <w:t>Forsyth (Re)</w:t>
      </w:r>
      <w:r>
        <w:rPr>
          <w:rFonts w:ascii="arial" w:eastAsia="arial" w:hAnsi="arial" w:cs="arial"/>
          <w:color w:val="000000"/>
          <w:sz w:val="20"/>
          <w:lang w:val="en-US" w:eastAsia="en-US" w:bidi="ar-SA"/>
        </w:rPr>
        <w:t xml:space="preserve">, </w:t>
      </w:r>
      <w:hyperlink r:id="rId364" w:history="1">
        <w:r>
          <w:rPr>
            <w:rFonts w:ascii="arial" w:eastAsia="arial" w:hAnsi="arial" w:cs="arial"/>
            <w:i/>
            <w:color w:val="0077CC"/>
            <w:sz w:val="20"/>
            <w:u w:val="single"/>
            <w:shd w:val="clear" w:color="auto" w:fill="FFFFFF"/>
            <w:lang w:val="en-US" w:eastAsia="en-US" w:bidi="ar-SA"/>
          </w:rPr>
          <w:t>2010 BCSC 1720</w:t>
        </w:r>
      </w:hyperlink>
      <w:r>
        <w:rPr>
          <w:rFonts w:ascii="arial" w:eastAsia="arial" w:hAnsi="arial" w:cs="arial"/>
          <w:color w:val="000000"/>
          <w:sz w:val="20"/>
          <w:lang w:val="en-US" w:eastAsia="en-US" w:bidi="ar-SA"/>
        </w:rPr>
        <w:t xml:space="preserve"> at para. 16; </w:t>
      </w:r>
      <w:r>
        <w:rPr>
          <w:rFonts w:ascii="arial" w:eastAsia="arial" w:hAnsi="arial" w:cs="arial"/>
          <w:i/>
          <w:color w:val="000000"/>
          <w:sz w:val="20"/>
          <w:lang w:val="en-US" w:eastAsia="en-US" w:bidi="ar-SA"/>
        </w:rPr>
        <w:t>In the Matter of the Bankruptcy of Larry Peter Biggar</w:t>
      </w:r>
      <w:r>
        <w:rPr>
          <w:rFonts w:ascii="arial" w:eastAsia="arial" w:hAnsi="arial" w:cs="arial"/>
          <w:color w:val="000000"/>
          <w:sz w:val="20"/>
          <w:lang w:val="en-US" w:eastAsia="en-US" w:bidi="ar-SA"/>
        </w:rPr>
        <w:t xml:space="preserve">, </w:t>
      </w:r>
      <w:hyperlink r:id="rId363" w:history="1">
        <w:r>
          <w:rPr>
            <w:rFonts w:ascii="arial" w:eastAsia="arial" w:hAnsi="arial" w:cs="arial"/>
            <w:i/>
            <w:color w:val="0077CC"/>
            <w:sz w:val="20"/>
            <w:u w:val="single"/>
            <w:shd w:val="clear" w:color="auto" w:fill="FFFFFF"/>
            <w:lang w:val="en-US" w:eastAsia="en-US" w:bidi="ar-SA"/>
          </w:rPr>
          <w:t>2005 BCSC 1657</w:t>
        </w:r>
      </w:hyperlink>
      <w:r>
        <w:rPr>
          <w:rFonts w:ascii="arial" w:eastAsia="arial" w:hAnsi="arial" w:cs="arial"/>
          <w:color w:val="000000"/>
          <w:sz w:val="20"/>
          <w:lang w:val="en-US" w:eastAsia="en-US" w:bidi="ar-SA"/>
        </w:rPr>
        <w:t xml:space="preserve"> at para. 8; </w:t>
      </w:r>
      <w:r>
        <w:rPr>
          <w:rFonts w:ascii="arial" w:eastAsia="arial" w:hAnsi="arial" w:cs="arial"/>
          <w:i/>
          <w:color w:val="000000"/>
          <w:sz w:val="20"/>
          <w:lang w:val="en-US" w:eastAsia="en-US" w:bidi="ar-SA"/>
        </w:rPr>
        <w:t>Mordo v. Nitting</w:t>
      </w:r>
      <w:r>
        <w:rPr>
          <w:rFonts w:ascii="arial" w:eastAsia="arial" w:hAnsi="arial" w:cs="arial"/>
          <w:color w:val="000000"/>
          <w:sz w:val="20"/>
          <w:lang w:val="en-US" w:eastAsia="en-US" w:bidi="ar-SA"/>
        </w:rPr>
        <w:t xml:space="preserve">, </w:t>
      </w:r>
      <w:hyperlink r:id="rId22" w:history="1">
        <w:r>
          <w:rPr>
            <w:rFonts w:ascii="arial" w:eastAsia="arial" w:hAnsi="arial" w:cs="arial"/>
            <w:i/>
            <w:color w:val="0077CC"/>
            <w:sz w:val="20"/>
            <w:u w:val="single"/>
            <w:shd w:val="clear" w:color="auto" w:fill="FFFFFF"/>
            <w:lang w:val="en-US" w:eastAsia="en-US" w:bidi="ar-SA"/>
          </w:rPr>
          <w:t>2006 BCSC 1761</w:t>
        </w:r>
      </w:hyperlink>
      <w:r>
        <w:rPr>
          <w:rFonts w:ascii="arial" w:eastAsia="arial" w:hAnsi="arial" w:cs="arial"/>
          <w:color w:val="000000"/>
          <w:sz w:val="20"/>
          <w:lang w:val="en-US" w:eastAsia="en-US" w:bidi="ar-SA"/>
        </w:rPr>
        <w:t xml:space="preserve"> at para. 297; </w:t>
      </w:r>
      <w:r>
        <w:rPr>
          <w:rFonts w:ascii="arial" w:eastAsia="arial" w:hAnsi="arial" w:cs="arial"/>
          <w:i/>
          <w:color w:val="000000"/>
          <w:sz w:val="20"/>
          <w:lang w:val="en-US" w:eastAsia="en-US" w:bidi="ar-SA"/>
        </w:rPr>
        <w:t>Trident Foreshore Lands Ltd. v. Brown</w:t>
      </w:r>
      <w:r>
        <w:rPr>
          <w:rFonts w:ascii="arial" w:eastAsia="arial" w:hAnsi="arial" w:cs="arial"/>
          <w:color w:val="000000"/>
          <w:sz w:val="20"/>
          <w:lang w:val="en-US" w:eastAsia="en-US" w:bidi="ar-SA"/>
        </w:rPr>
        <w:t xml:space="preserve">, </w:t>
      </w:r>
      <w:hyperlink r:id="rId360" w:history="1">
        <w:r>
          <w:rPr>
            <w:rFonts w:ascii="arial" w:eastAsia="arial" w:hAnsi="arial" w:cs="arial"/>
            <w:i/>
            <w:color w:val="0077CC"/>
            <w:sz w:val="20"/>
            <w:u w:val="single"/>
            <w:shd w:val="clear" w:color="auto" w:fill="FFFFFF"/>
            <w:lang w:val="en-US" w:eastAsia="en-US" w:bidi="ar-SA"/>
          </w:rPr>
          <w:t>2004 BCSC 1365</w:t>
        </w:r>
      </w:hyperlink>
      <w:r>
        <w:rPr>
          <w:rFonts w:ascii="arial" w:eastAsia="arial" w:hAnsi="arial" w:cs="arial"/>
          <w:color w:val="000000"/>
          <w:sz w:val="20"/>
          <w:lang w:val="en-US" w:eastAsia="en-US" w:bidi="ar-SA"/>
        </w:rPr>
        <w:t xml:space="preserve"> at para. 39, quoting </w:t>
      </w:r>
      <w:r>
        <w:rPr>
          <w:rFonts w:ascii="arial" w:eastAsia="arial" w:hAnsi="arial" w:cs="arial"/>
          <w:i/>
          <w:color w:val="000000"/>
          <w:sz w:val="20"/>
          <w:lang w:val="en-US" w:eastAsia="en-US" w:bidi="ar-SA"/>
        </w:rPr>
        <w:t>Snook v. London and West Riding Investments Ltd.</w:t>
      </w:r>
      <w:r>
        <w:rPr>
          <w:rFonts w:ascii="arial" w:eastAsia="arial" w:hAnsi="arial" w:cs="arial"/>
          <w:color w:val="000000"/>
          <w:sz w:val="20"/>
          <w:lang w:val="en-US" w:eastAsia="en-US" w:bidi="ar-SA"/>
        </w:rPr>
        <w:t xml:space="preserve">, [1967] 2 Q.B. 786; </w:t>
      </w:r>
      <w:r>
        <w:rPr>
          <w:rFonts w:ascii="arial" w:eastAsia="arial" w:hAnsi="arial" w:cs="arial"/>
          <w:i/>
          <w:color w:val="000000"/>
          <w:sz w:val="20"/>
          <w:lang w:val="en-US" w:eastAsia="en-US" w:bidi="ar-SA"/>
        </w:rPr>
        <w:t>Sran (Re)</w:t>
      </w:r>
      <w:r>
        <w:rPr>
          <w:rFonts w:ascii="arial" w:eastAsia="arial" w:hAnsi="arial" w:cs="arial"/>
          <w:color w:val="000000"/>
          <w:sz w:val="20"/>
          <w:lang w:val="en-US" w:eastAsia="en-US" w:bidi="ar-SA"/>
        </w:rPr>
        <w:t xml:space="preserve">, </w:t>
      </w:r>
      <w:hyperlink r:id="rId842" w:history="1">
        <w:r>
          <w:rPr>
            <w:rFonts w:ascii="arial" w:eastAsia="arial" w:hAnsi="arial" w:cs="arial"/>
            <w:i/>
            <w:color w:val="0077CC"/>
            <w:sz w:val="20"/>
            <w:u w:val="single"/>
            <w:shd w:val="clear" w:color="auto" w:fill="FFFFFF"/>
            <w:lang w:val="en-US" w:eastAsia="en-US" w:bidi="ar-SA"/>
          </w:rPr>
          <w:t>2010 BCSC 937</w:t>
        </w:r>
      </w:hyperlink>
      <w:r>
        <w:rPr>
          <w:rFonts w:ascii="arial" w:eastAsia="arial" w:hAnsi="arial" w:cs="arial"/>
          <w:color w:val="000000"/>
          <w:sz w:val="20"/>
          <w:lang w:val="en-US" w:eastAsia="en-US" w:bidi="ar-SA"/>
        </w:rPr>
        <w:t xml:space="preserve"> at para. 57; and </w:t>
      </w:r>
      <w:r>
        <w:rPr>
          <w:rFonts w:ascii="arial" w:eastAsia="arial" w:hAnsi="arial" w:cs="arial"/>
          <w:i/>
          <w:color w:val="000000"/>
          <w:sz w:val="20"/>
          <w:lang w:val="en-US" w:eastAsia="en-US" w:bidi="ar-SA"/>
        </w:rPr>
        <w:t>Duca Financial Services Credit Union Ltd. v. Bozzo</w:t>
      </w:r>
      <w:r>
        <w:rPr>
          <w:rFonts w:ascii="arial" w:eastAsia="arial" w:hAnsi="arial" w:cs="arial"/>
          <w:color w:val="000000"/>
          <w:sz w:val="20"/>
          <w:lang w:val="en-US" w:eastAsia="en-US" w:bidi="ar-SA"/>
        </w:rPr>
        <w:t xml:space="preserve">, </w:t>
      </w:r>
      <w:hyperlink r:id="rId843" w:history="1">
        <w:r>
          <w:rPr>
            <w:rFonts w:ascii="arial" w:eastAsia="arial" w:hAnsi="arial" w:cs="arial"/>
            <w:i/>
            <w:color w:val="0077CC"/>
            <w:sz w:val="20"/>
            <w:u w:val="single"/>
            <w:shd w:val="clear" w:color="auto" w:fill="FFFFFF"/>
            <w:lang w:val="en-US" w:eastAsia="en-US" w:bidi="ar-SA"/>
          </w:rPr>
          <w:t>2010 ONSC 3104</w:t>
        </w:r>
      </w:hyperlink>
      <w:r>
        <w:rPr>
          <w:rFonts w:ascii="arial" w:eastAsia="arial" w:hAnsi="arial" w:cs="arial"/>
          <w:color w:val="000000"/>
          <w:sz w:val="20"/>
          <w:lang w:val="en-US" w:eastAsia="en-US" w:bidi="ar-SA"/>
        </w:rPr>
        <w:t xml:space="preserve"> at para. 42.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[347] Madam Justice Wedge surveyed the law of sham trusts in </w:t>
      </w:r>
      <w:r>
        <w:rPr>
          <w:rFonts w:ascii="arial" w:eastAsia="arial" w:hAnsi="arial" w:cs="arial"/>
          <w:i/>
          <w:color w:val="000000"/>
          <w:sz w:val="20"/>
          <w:lang w:val="en-US" w:eastAsia="en-US" w:bidi="ar-SA"/>
        </w:rPr>
        <w:t>Mordo</w:t>
      </w: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[295] The issue of sham trusts is treated in different ways by different authors. W.J. Mowbray </w:t>
      </w:r>
      <w:r>
        <w:rPr>
          <w:rFonts w:ascii="arial" w:eastAsia="arial" w:hAnsi="arial" w:cs="arial"/>
          <w:i/>
          <w:color w:val="000000"/>
          <w:sz w:val="20"/>
          <w:lang w:val="en-US" w:eastAsia="en-US" w:bidi="ar-SA"/>
        </w:rPr>
        <w:t>et al., Lewin on Trusts</w:t>
      </w:r>
      <w:r>
        <w:rPr>
          <w:rFonts w:ascii="arial" w:eastAsia="arial" w:hAnsi="arial" w:cs="arial"/>
          <w:color w:val="000000"/>
          <w:sz w:val="20"/>
          <w:lang w:val="en-US" w:eastAsia="en-US" w:bidi="ar-SA"/>
        </w:rPr>
        <w:t>, 17th ed. (London: Sweet &amp; Maxwell, 2000) at paras. 4 - 19 to 4 - 28 [</w:t>
      </w:r>
      <w:r>
        <w:rPr>
          <w:rFonts w:ascii="arial" w:eastAsia="arial" w:hAnsi="arial" w:cs="arial"/>
          <w:i/>
          <w:color w:val="000000"/>
          <w:sz w:val="20"/>
          <w:lang w:val="en-US" w:eastAsia="en-US" w:bidi="ar-SA"/>
        </w:rPr>
        <w:t>Lewin</w:t>
      </w:r>
      <w:r>
        <w:rPr>
          <w:rFonts w:ascii="arial" w:eastAsia="arial" w:hAnsi="arial" w:cs="arial"/>
          <w:color w:val="000000"/>
          <w:sz w:val="20"/>
          <w:lang w:val="en-US" w:eastAsia="en-US" w:bidi="ar-SA"/>
        </w:rPr>
        <w:t>] considers that whether a trust is invalid as a sham depends primarily on the intention of the settlor at the time the trust is created (citations omitted):</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The sham concept...would appear to involve a finding of fact akin to, but nevertheless falling short of, actual fraud. In the trust context, a finding will be necessary that, whilst an apparent settlor did not in fact intend to part with the beneficial interest in the trust property, nevertheless he executed documentation with the apparent effect of so parting (</w:t>
      </w:r>
      <w:r>
        <w:rPr>
          <w:rFonts w:ascii="arial" w:eastAsia="arial" w:hAnsi="arial" w:cs="arial"/>
          <w:i/>
          <w:color w:val="000000"/>
          <w:sz w:val="20"/>
          <w:lang w:val="en-US" w:eastAsia="en-US" w:bidi="ar-SA"/>
        </w:rPr>
        <w:t>Lewin</w:t>
      </w:r>
      <w:r>
        <w:rPr>
          <w:rFonts w:ascii="arial" w:eastAsia="arial" w:hAnsi="arial" w:cs="arial"/>
          <w:color w:val="000000"/>
          <w:sz w:val="20"/>
          <w:lang w:val="en-US" w:eastAsia="en-US" w:bidi="ar-SA"/>
        </w:rPr>
        <w:t xml:space="preserve"> at paras. 4 - 21).</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If at the [time of execution] the settlor genuinely intends the documentation to take effect according to its terms, and those terms are such as to create a trust, then nothing the settlor or trustees do thereafter can render a valid trust a sham (</w:t>
      </w:r>
      <w:r>
        <w:rPr>
          <w:rFonts w:ascii="arial" w:eastAsia="arial" w:hAnsi="arial" w:cs="arial"/>
          <w:i/>
          <w:color w:val="000000"/>
          <w:sz w:val="20"/>
          <w:lang w:val="en-US" w:eastAsia="en-US" w:bidi="ar-SA"/>
        </w:rPr>
        <w:t>Lewin</w:t>
      </w:r>
      <w:r>
        <w:rPr>
          <w:rFonts w:ascii="arial" w:eastAsia="arial" w:hAnsi="arial" w:cs="arial"/>
          <w:color w:val="000000"/>
          <w:sz w:val="20"/>
          <w:lang w:val="en-US" w:eastAsia="en-US" w:bidi="ar-SA"/>
        </w:rPr>
        <w:t xml:space="preserve"> at paras. 4 - 22).</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[Courts have] distinguished between the class of case where parties entered into a written agreement which was "a sham intended to mask their true agreement", and the distinct class of case where, without any question of sham, there "has been held to be some objective criterion in law by which the courts can test whether the agreement the parties have made does or does not fall into the legal category in which the parties have sought to place their agreement (</w:t>
      </w:r>
      <w:r>
        <w:rPr>
          <w:rFonts w:ascii="arial" w:eastAsia="arial" w:hAnsi="arial" w:cs="arial"/>
          <w:i/>
          <w:color w:val="000000"/>
          <w:sz w:val="20"/>
          <w:lang w:val="en-US" w:eastAsia="en-US" w:bidi="ar-SA"/>
        </w:rPr>
        <w:t>Lewin</w:t>
      </w:r>
      <w:r>
        <w:rPr>
          <w:rFonts w:ascii="arial" w:eastAsia="arial" w:hAnsi="arial" w:cs="arial"/>
          <w:color w:val="000000"/>
          <w:sz w:val="20"/>
          <w:lang w:val="en-US" w:eastAsia="en-US" w:bidi="ar-SA"/>
        </w:rPr>
        <w:t xml:space="preserve"> at paras. 4 - 24).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[348] Intention is distinguishable from motive. Gordy and Dal could have intended to create trusts for the purpose of defeating Amarjit's legitimate claims by giving Dal a mere legal interest in his shares and Gordy the beneficial interest in them. The Trusts would then be valid but illegal trusts.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[349] Sham trusts, on the other hand, do not represent the true intention of the parties. Considering the nature of a sham transaction in a taxation context, a majority of the Supreme Court of Canada said the following in </w:t>
      </w:r>
      <w:r>
        <w:rPr>
          <w:rFonts w:ascii="arial" w:eastAsia="arial" w:hAnsi="arial" w:cs="arial"/>
          <w:i/>
          <w:color w:val="000000"/>
          <w:sz w:val="20"/>
          <w:lang w:val="en-US" w:eastAsia="en-US" w:bidi="ar-SA"/>
        </w:rPr>
        <w:t>Stubart Investments Ltd. v. The Queen</w:t>
      </w:r>
      <w:r>
        <w:rPr>
          <w:rFonts w:ascii="arial" w:eastAsia="arial" w:hAnsi="arial" w:cs="arial"/>
          <w:color w:val="000000"/>
          <w:sz w:val="20"/>
          <w:lang w:val="en-US" w:eastAsia="en-US" w:bidi="ar-SA"/>
        </w:rPr>
        <w:t xml:space="preserve">, </w:t>
      </w:r>
      <w:hyperlink r:id="rId844" w:history="1">
        <w:r>
          <w:rPr>
            <w:rFonts w:ascii="arial" w:eastAsia="arial" w:hAnsi="arial" w:cs="arial"/>
            <w:i/>
            <w:color w:val="0077CC"/>
            <w:sz w:val="20"/>
            <w:u w:val="single"/>
            <w:shd w:val="clear" w:color="auto" w:fill="FFFFFF"/>
            <w:lang w:val="en-US" w:eastAsia="en-US" w:bidi="ar-SA"/>
          </w:rPr>
          <w:t>[1984] 1 S.C.R. 536</w:t>
        </w:r>
      </w:hyperlink>
      <w:r>
        <w:rPr>
          <w:rFonts w:ascii="arial" w:eastAsia="arial" w:hAnsi="arial" w:cs="arial"/>
          <w:color w:val="000000"/>
          <w:sz w:val="20"/>
          <w:lang w:val="en-US" w:eastAsia="en-US" w:bidi="ar-SA"/>
        </w:rPr>
        <w:t xml:space="preserve"> at 545-546:</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sham transaction: This expression comes to us from decisions in the United Kingdom, and it has been generally taken to mean (but not without ambiguity) a transaction conducted with an element of deceit so as to create an illusion calculated to lead the tax collector away from the taxpayer or the true nature of the transaction; or, simple deception whereby the taxpayer creates a facade of reality quite different from the disguised reality.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341</w:t>
      </w:r>
      <w:r>
        <w:rPr>
          <w:rFonts w:ascii="arial" w:eastAsia="arial" w:hAnsi="arial" w:cs="arial"/>
          <w:color w:val="000000"/>
          <w:sz w:val="20"/>
          <w:lang w:val="en-US" w:eastAsia="en-US" w:bidi="ar-SA"/>
        </w:rPr>
        <w:t xml:space="preserve">  In this case, I have no difficulty concluding that the acknowledgements of trust signed by Gina, Richard and Rita do not represent the true intentions of the parties who signed them, and that while the parties' various intentions may have been different, they were </w:t>
      </w:r>
      <w:r>
        <w:rPr>
          <w:rFonts w:ascii="arial" w:eastAsia="arial" w:hAnsi="arial" w:cs="arial"/>
          <w:i/>
          <w:color w:val="000000"/>
          <w:sz w:val="20"/>
          <w:lang w:val="en-US" w:eastAsia="en-US" w:bidi="ar-SA"/>
        </w:rPr>
        <w:t>ad idem</w:t>
      </w:r>
      <w:r>
        <w:rPr>
          <w:rFonts w:ascii="arial" w:eastAsia="arial" w:hAnsi="arial" w:cs="arial"/>
          <w:color w:val="000000"/>
          <w:sz w:val="20"/>
          <w:lang w:val="en-US" w:eastAsia="en-US" w:bidi="ar-SA"/>
        </w:rPr>
        <w:t xml:space="preserve"> in this regard: none of them intended the creation of the legal rights and obligations represented by the trusts that the documents purported to acknowledge.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342</w:t>
      </w:r>
      <w:r>
        <w:rPr>
          <w:rFonts w:ascii="arial" w:eastAsia="arial" w:hAnsi="arial" w:cs="arial"/>
          <w:color w:val="000000"/>
          <w:sz w:val="20"/>
          <w:lang w:val="en-US" w:eastAsia="en-US" w:bidi="ar-SA"/>
        </w:rPr>
        <w:t>  The acknowledgement of trust signed by Mr. Furnemont is of no effect because Mr. Furnemont had no beneficial interest to hold. The document signed by Kelly is in a different category for the reasons discussed above, and I will deal with it later in relation to the claims involving D &amp; A (section 8.0 below; see paras 569-571).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5.8 </w:t>
      </w:r>
      <w:r>
        <w:rPr>
          <w:rFonts w:ascii="arial" w:eastAsia="arial" w:hAnsi="arial" w:cs="arial"/>
          <w:b/>
          <w:color w:val="000000"/>
          <w:sz w:val="20"/>
          <w:u w:val="single"/>
          <w:lang w:val="en-US" w:eastAsia="en-US" w:bidi="ar-SA"/>
        </w:rPr>
        <w:t>Conclusion on Mhinder's trust claims against Richard and Rita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343</w:t>
      </w:r>
      <w:r>
        <w:rPr>
          <w:rFonts w:ascii="arial" w:eastAsia="arial" w:hAnsi="arial" w:cs="arial"/>
          <w:color w:val="000000"/>
          <w:sz w:val="20"/>
          <w:lang w:val="en-US" w:eastAsia="en-US" w:bidi="ar-SA"/>
        </w:rPr>
        <w:t>  It follows from what I have just said that Mhinder's claim based on the acknowledgements of trust signed by Richard and Rita must fail. His claim based on the alleged express "new family trust" that arose "around" '94-'95 falls with it. The two were interconnected, with the acknowledgements of trust being, according to Mhinder, the culmination and ultimate expression of what the family had contemplated earlier, even though they did not fully reflect what they had discussed.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344</w:t>
      </w:r>
      <w:r>
        <w:rPr>
          <w:rFonts w:ascii="arial" w:eastAsia="arial" w:hAnsi="arial" w:cs="arial"/>
          <w:color w:val="000000"/>
          <w:sz w:val="20"/>
          <w:lang w:val="en-US" w:eastAsia="en-US" w:bidi="ar-SA"/>
        </w:rPr>
        <w:t>  Without the acknowledgements, which I have found to be a sham, Mhinder's evidence concerning the agreement that he says the family "contemplated" some years before is insufficient to create an intentional trust. He cannot identify a time of agreement. He gave different accounts on different occasions when he was asked about it. There was no certainty of intention. In this regard, it is not Mhinder's intention that counts. It is the intention of Richard, Rita and Gina that counts. There is no evidence of any such intention on their part unless one were to accept their acknowledgements as constituting such, which I do not. I am satisfied that Mhinder's evidence in this regard is a fabrication intended by him to reflect what he now believes should have happened, rather than what did happen.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345</w:t>
      </w:r>
      <w:r>
        <w:rPr>
          <w:rFonts w:ascii="arial" w:eastAsia="arial" w:hAnsi="arial" w:cs="arial"/>
          <w:color w:val="000000"/>
          <w:sz w:val="20"/>
          <w:lang w:val="en-US" w:eastAsia="en-US" w:bidi="ar-SA"/>
        </w:rPr>
        <w:t>  My conclusion is fortified by the Cement Purchase and Rights of First Refusal Agreements signed by Nanaimo Concrete, Wee Tree, Arrowsmith and GCM with Lehigh/Tilbury in 1998, well after Mhinder testified this new family trust arose. Nanaimo Concrete, Wee Tree and Arrowsmith were all represented as being owned both legally and beneficially by their respective registered shareholders, Richard, Rita and Mhinder.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346</w:t>
      </w:r>
      <w:r>
        <w:rPr>
          <w:rFonts w:ascii="arial" w:eastAsia="arial" w:hAnsi="arial" w:cs="arial"/>
          <w:color w:val="000000"/>
          <w:sz w:val="20"/>
          <w:lang w:val="en-US" w:eastAsia="en-US" w:bidi="ar-SA"/>
        </w:rPr>
        <w:t>  My conclusion is further fortified by the Settlement Agreement signed by the parties in the Bhagwan action in 2006 by which, as I set out above (see para 56), Mhinder, Bhora and the other Osborne Defendants agreed that they had no beneficial interest in any of the properties or businesses legally owned or carried on by any of the Secondary Defendants. Those Secondary Defendants, it will be recalled, included Richard, Rita, Gina and their respective companies. I am able to come to my conclusion, however, without having to rely upon the Settlement Agreement, and therefore it is unnecessary for me to resolve the factual or legal issues raised in relation to it-except to this extent: I reject Mhinder's evidence that he only signed the agreement on the basis of representations from Richard and Rita that he need not worry, they would look after him. I accept the evidence of Richard and Rita that they gave no such representations.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347</w:t>
      </w:r>
      <w:r>
        <w:rPr>
          <w:rFonts w:ascii="arial" w:eastAsia="arial" w:hAnsi="arial" w:cs="arial"/>
          <w:color w:val="000000"/>
          <w:sz w:val="20"/>
          <w:lang w:val="en-US" w:eastAsia="en-US" w:bidi="ar-SA"/>
        </w:rPr>
        <w:t>  I note further that if I were to accept Mhinder's position in relation to the creation of an express trust, it would follow that he and his co-defendants in the Bhagwan action had perpetrated a fraud upon Bhagwan, with the two sets of defendants orchestrating a careful conspiracy of deceit. While such a state of affairs is not beyond comprehension, I conclude on the evidence that what deceit there was in relation to this issue took place in this action, not in that 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348</w:t>
      </w:r>
      <w:r>
        <w:rPr>
          <w:rFonts w:ascii="arial" w:eastAsia="arial" w:hAnsi="arial" w:cs="arial"/>
          <w:color w:val="000000"/>
          <w:sz w:val="20"/>
          <w:lang w:val="en-US" w:eastAsia="en-US" w:bidi="ar-SA"/>
        </w:rPr>
        <w:t>  Given my finding that the parties did not intend to create a trust, is this a situation in which a trust should be imposed or declared because Richard and Rita have been unjustly enriched, knowingly received trust property transferred to them in breach of trust, or hold property that, in good conscience, they ought not be permitted to retain? For the reasons discussed above in my review of the family companies, the answer is no. In the particular circumstances of this case and this family, neither justice nor good conscience renders it inequitable for them to retain the benefit of the businesses they built.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 THE DISPUTED TRUST COMPANIES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6.1 </w:t>
      </w:r>
      <w:r>
        <w:rPr>
          <w:rFonts w:ascii="arial" w:eastAsia="arial" w:hAnsi="arial" w:cs="arial"/>
          <w:b/>
          <w:color w:val="000000"/>
          <w:sz w:val="20"/>
          <w:u w:val="single"/>
          <w:lang w:val="en-US" w:eastAsia="en-US" w:bidi="ar-SA"/>
        </w:rPr>
        <w:t>Overview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349</w:t>
      </w:r>
      <w:r>
        <w:rPr>
          <w:rFonts w:ascii="arial" w:eastAsia="arial" w:hAnsi="arial" w:cs="arial"/>
          <w:color w:val="000000"/>
          <w:sz w:val="20"/>
          <w:lang w:val="en-US" w:eastAsia="en-US" w:bidi="ar-SA"/>
        </w:rPr>
        <w:t>  As set out in the Schedule of Corporate Parties, the DTCs comprise four corporations of which Mhinder is the sole registered shareholder: C.A.R. Aviation Ltd, Island Structures Ltd, Mid-Isle Holdings Ltd ("MIH", formerly Arrowsmith Concrete Ltd) and Chemainus Ventures Ltd.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350</w:t>
      </w:r>
      <w:r>
        <w:rPr>
          <w:rFonts w:ascii="arial" w:eastAsia="arial" w:hAnsi="arial" w:cs="arial"/>
          <w:color w:val="000000"/>
          <w:sz w:val="20"/>
          <w:lang w:val="en-US" w:eastAsia="en-US" w:bidi="ar-SA"/>
        </w:rPr>
        <w:t>  Bhora claims that all of these companies are assets of the brothers' trust pursuant to clauses 2 and 6:</w:t>
      </w:r>
      <w:r>
        <w:rPr>
          <w:rFonts w:ascii="arial" w:eastAsia="arial" w:hAnsi="arial" w:cs="arial"/>
          <w:sz w:val="20"/>
          <w:lang w:val="en-US" w:eastAsia="en-US" w:bidi="ar-SA"/>
        </w:rPr>
        <w:cr/>
      </w:r>
    </w:p>
    <w:p>
      <w:pPr>
        <w:numPr>
          <w:numId w:val="3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ALL ventures engaged in shall be owned equally by all five brothers until such time as this agreement is altered or cancelled.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33"/>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any venture, acquisition of business or property is engaged in by any one of the brothers for his personal benefit, he must clearly define this and obtain release of this trust for the purpose of his venture.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351</w:t>
      </w:r>
      <w:r>
        <w:rPr>
          <w:rFonts w:ascii="arial" w:eastAsia="arial" w:hAnsi="arial" w:cs="arial"/>
          <w:color w:val="000000"/>
          <w:sz w:val="20"/>
          <w:lang w:val="en-US" w:eastAsia="en-US" w:bidi="ar-SA"/>
        </w:rPr>
        <w:t>  According to Bhora, any release contemplated by clause 6 had to be in writing, and Mhinder obtained no such releases for any of these companies. It follows, he asserts, that all of the DTCs are owned equally by the remaining beneficiaries, Bhora and Mhinder.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352</w:t>
      </w:r>
      <w:r>
        <w:rPr>
          <w:rFonts w:ascii="arial" w:eastAsia="arial" w:hAnsi="arial" w:cs="arial"/>
          <w:color w:val="000000"/>
          <w:sz w:val="20"/>
          <w:lang w:val="en-US" w:eastAsia="en-US" w:bidi="ar-SA"/>
        </w:rPr>
        <w:t>  Mhinder does not dispute Bhora's interpretation of the agreement, that businesses in the name of one brother are held by that brother in trust for both remaining brothers under the brothers' trust unless a release has been obtained to engage in that business for the registered owner's personal benefit. Mhinder maintains, however, that he did obtain the release of the trust in relation to the DTCs, and that there has never been a requirement that such a release be in writing.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353</w:t>
      </w:r>
      <w:r>
        <w:rPr>
          <w:rFonts w:ascii="arial" w:eastAsia="arial" w:hAnsi="arial" w:cs="arial"/>
          <w:color w:val="000000"/>
          <w:sz w:val="20"/>
          <w:lang w:val="en-US" w:eastAsia="en-US" w:bidi="ar-SA"/>
        </w:rPr>
        <w:t>  I accept Mhinder's position that such a release need not be in writing, and I reject Bhora's evidence to the contrary. Mhinder's position is consistent with Bhora's own evidence about the approach of Bhagwan to the incorporation of Arrowsmith Concrete. Bhora's position is not. Moreover, Mhinder's position is in accord with the practicalities and the preponderance of the probabilities that appear reasonable in the circumstances. In this regard, it seems to me logical that if the brothers agreed to a requirement that something be in writing, then that requirement would itself be put into writing.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354</w:t>
      </w:r>
      <w:r>
        <w:rPr>
          <w:rFonts w:ascii="arial" w:eastAsia="arial" w:hAnsi="arial" w:cs="arial"/>
          <w:color w:val="000000"/>
          <w:sz w:val="20"/>
          <w:lang w:val="en-US" w:eastAsia="en-US" w:bidi="ar-SA"/>
        </w:rPr>
        <w:t>  It will be recalled that in his lawsuit, Bhagwan alleged that the DTCs C.A.R. Aviation, MIH and Chemainus Ventures were assets of the brothers' trust. Bhora and Mhinder denied this. One of the lawyers at Blake, Cassels &amp; Graydon LLP who acted for Mhinder and Bhora in that action was Michael Howcroft. On January 15, 2002, Mr. Howcroft prepared a memorandum to Randy Kaardal advising that he had undertaken corporate and land title searches of companies and properties listed in Bhagwan's statement of claim. In the memorandum, Mr. Howcroft summarized the results, "including the likelihood of whether these properties or companies would be inside or outside the trust arrangement between the Mayer Brothers". He continued: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following companies list Mhinder Singh Mayer as its officer and director but Bhora Mayer advises that they do not form part of the Mayer brother's [sic] trust:</w:t>
      </w:r>
    </w:p>
    <w:p>
      <w:pPr>
        <w:numPr>
          <w:numId w:val="3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C.A.R. Aviation Ltd.</w:t>
      </w:r>
    </w:p>
    <w:p>
      <w:pPr>
        <w:numPr>
          <w:numId w:val="3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Chemainus Ventures Ltd</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Mid-Isle Holdings Ltd.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355</w:t>
      </w:r>
      <w:r>
        <w:rPr>
          <w:rFonts w:ascii="arial" w:eastAsia="arial" w:hAnsi="arial" w:cs="arial"/>
          <w:color w:val="000000"/>
          <w:sz w:val="20"/>
          <w:lang w:val="en-US" w:eastAsia="en-US" w:bidi="ar-SA"/>
        </w:rPr>
        <w:t>  Mr. Howcroft confirmed that Bhora was the main source of his instructions. Although he did not recall this particular discussion, he testified that he would not have written what he did unless he had received those instructions from Bhora. Bhora denied giving those instructions, maintaining that Mr. Howcroft's views must have been based on only the corporate searches. But that is not what Mr. Howcroft wrote. I prefer Mr. Howcroft's evidence and accept that his memorandum is an accurate record of what he was told by Bhora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356</w:t>
      </w:r>
      <w:r>
        <w:rPr>
          <w:rFonts w:ascii="arial" w:eastAsia="arial" w:hAnsi="arial" w:cs="arial"/>
          <w:color w:val="000000"/>
          <w:sz w:val="20"/>
          <w:lang w:val="en-US" w:eastAsia="en-US" w:bidi="ar-SA"/>
        </w:rPr>
        <w:t>  On the other hand, Bhora points out that in a "Cohabitation Agreement" between Mhinder and Kelly dated August 19, 1996, while Mhinder's assets listed C.A.R. Aviation and Island Structures Inc. as his corporations, "Aerosmith Concrete Ltd" [</w:t>
      </w:r>
      <w:r>
        <w:rPr>
          <w:rFonts w:ascii="arial" w:eastAsia="arial" w:hAnsi="arial" w:cs="arial"/>
          <w:i/>
          <w:color w:val="000000"/>
          <w:sz w:val="20"/>
          <w:lang w:val="en-US" w:eastAsia="en-US" w:bidi="ar-SA"/>
        </w:rPr>
        <w:t>sic</w:t>
      </w:r>
      <w:r>
        <w:rPr>
          <w:rFonts w:ascii="arial" w:eastAsia="arial" w:hAnsi="arial" w:cs="arial"/>
          <w:color w:val="000000"/>
          <w:sz w:val="20"/>
          <w:lang w:val="en-US" w:eastAsia="en-US" w:bidi="ar-SA"/>
        </w:rPr>
        <w:t>] was listed as a company held in the brothers'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357</w:t>
      </w:r>
      <w:r>
        <w:rPr>
          <w:rFonts w:ascii="arial" w:eastAsia="arial" w:hAnsi="arial" w:cs="arial"/>
          <w:color w:val="000000"/>
          <w:sz w:val="20"/>
          <w:lang w:val="en-US" w:eastAsia="en-US" w:bidi="ar-SA"/>
        </w:rPr>
        <w:t>  Mr. Furnemont testified that it was his understanding that both MIH and Chemainus Ventures were owned by the brothers' trust. On this question, I am not prepared to take his understanding as definitive in the face of the evidence of the brothers and surrounding circumstances. As we shall see with D &amp; A, Mr. Furnemont's understanding was not always complete. Indeed, he recognized this himself in March 2007 when he requested Bhora and Mhinder to identify and agree upon which companies were to be considered as part of the Osborne Group.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358</w:t>
      </w:r>
      <w:r>
        <w:rPr>
          <w:rFonts w:ascii="arial" w:eastAsia="arial" w:hAnsi="arial" w:cs="arial"/>
          <w:color w:val="000000"/>
          <w:sz w:val="20"/>
          <w:lang w:val="en-US" w:eastAsia="en-US" w:bidi="ar-SA"/>
        </w:rPr>
        <w:t>  I now turn to review the different corporations.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6.2 </w:t>
      </w:r>
      <w:r>
        <w:rPr>
          <w:rFonts w:ascii="arial" w:eastAsia="arial" w:hAnsi="arial" w:cs="arial"/>
          <w:b/>
          <w:color w:val="000000"/>
          <w:sz w:val="20"/>
          <w:u w:val="single"/>
          <w:lang w:val="en-US" w:eastAsia="en-US" w:bidi="ar-SA"/>
        </w:rPr>
        <w:t>C.A.R. Aviation and Island Structures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359</w:t>
      </w:r>
      <w:r>
        <w:rPr>
          <w:rFonts w:ascii="arial" w:eastAsia="arial" w:hAnsi="arial" w:cs="arial"/>
          <w:color w:val="000000"/>
          <w:sz w:val="20"/>
          <w:lang w:val="en-US" w:eastAsia="en-US" w:bidi="ar-SA"/>
        </w:rPr>
        <w:t>  The only asset of C.A.R. Aviation is a Cessna aircraft which both brothers agree has always been treated as Mhinder's personal property. Mhinder explained that the previous owner had incorporated the company to hold the aircraft, and that Mr. Furnemont advised him that it would make sense to buy the company (and thereby its asset) rather than just buying the aircraft. He did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360</w:t>
      </w:r>
      <w:r>
        <w:rPr>
          <w:rFonts w:ascii="arial" w:eastAsia="arial" w:hAnsi="arial" w:cs="arial"/>
          <w:color w:val="000000"/>
          <w:sz w:val="20"/>
          <w:lang w:val="en-US" w:eastAsia="en-US" w:bidi="ar-SA"/>
        </w:rPr>
        <w:t>  As far as the evidence indicates, it appears that Island Structures was incorporated by Mhinder for the purpose of providing a storage hangar for this Cessna, and nothing else. According to Mhinder, Bhagwan approved his personal ownership of this company. That would make sense, given the limited purpose of the company and its relation to Mhinder's personal ownership of the Cessna.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361</w:t>
      </w:r>
      <w:r>
        <w:rPr>
          <w:rFonts w:ascii="arial" w:eastAsia="arial" w:hAnsi="arial" w:cs="arial"/>
          <w:color w:val="000000"/>
          <w:sz w:val="20"/>
          <w:lang w:val="en-US" w:eastAsia="en-US" w:bidi="ar-SA"/>
        </w:rPr>
        <w:t>  Bhora does not dispute that Mhinder's Cessna is his personal property, but nevertheless insists that by reason of the agreement, Mhinder holds the shares of C.A.R. in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362</w:t>
      </w:r>
      <w:r>
        <w:rPr>
          <w:rFonts w:ascii="arial" w:eastAsia="arial" w:hAnsi="arial" w:cs="arial"/>
          <w:color w:val="000000"/>
          <w:sz w:val="20"/>
          <w:lang w:val="en-US" w:eastAsia="en-US" w:bidi="ar-SA"/>
        </w:rPr>
        <w:t>  Taking into account the evidence as a whole, including the position Bhora took in the Bhagwan litigation, his instructions to Mr. Howcroft, and the preponderance of probabilities (including Bhora's acknowledgement that the Cessna aircraft was Mhinder's private property), I find that both these companies are excluded from the brothers' trust as Mhinder's personal corporations. The approach that the brothers both took is consistent with having reached an understanding to this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6.3 </w:t>
      </w:r>
      <w:r>
        <w:rPr>
          <w:rFonts w:ascii="arial" w:eastAsia="arial" w:hAnsi="arial" w:cs="arial"/>
          <w:b/>
          <w:color w:val="000000"/>
          <w:sz w:val="20"/>
          <w:u w:val="single"/>
          <w:lang w:val="en-US" w:eastAsia="en-US" w:bidi="ar-SA"/>
        </w:rPr>
        <w:t>Mid-Isle Holdings (Arrowsmith Concrete)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363</w:t>
      </w:r>
      <w:r>
        <w:rPr>
          <w:rFonts w:ascii="arial" w:eastAsia="arial" w:hAnsi="arial" w:cs="arial"/>
          <w:color w:val="000000"/>
          <w:sz w:val="20"/>
          <w:lang w:val="en-US" w:eastAsia="en-US" w:bidi="ar-SA"/>
        </w:rPr>
        <w:t>  I reviewed the genesis of this corporation above (section 5.6.1). Bhora argues that even if Arrowsmith should be found to have been Mhinder's personal company, that status ended with the Lehigh transaction, and the successor company, MIH, should be considered to be an asset of the brothers' trust, having not been specifically released.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364</w:t>
      </w:r>
      <w:r>
        <w:rPr>
          <w:rFonts w:ascii="arial" w:eastAsia="arial" w:hAnsi="arial" w:cs="arial"/>
          <w:color w:val="000000"/>
          <w:sz w:val="20"/>
          <w:lang w:val="en-US" w:eastAsia="en-US" w:bidi="ar-SA"/>
        </w:rPr>
        <w:t>  Mhinder confirmed Bhora's evidence that creating Arrowsmith Concrete as Mhinder's business was Bhagwan's idea. According to Mhinder, it was initially a "grey area" as to the extent to which the company and the business venture would be his, but after Bhagwan left the trust, Bhora confirmed that the business was his to run as his 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365</w:t>
      </w:r>
      <w:r>
        <w:rPr>
          <w:rFonts w:ascii="arial" w:eastAsia="arial" w:hAnsi="arial" w:cs="arial"/>
          <w:color w:val="000000"/>
          <w:sz w:val="20"/>
          <w:lang w:val="en-US" w:eastAsia="en-US" w:bidi="ar-SA"/>
        </w:rPr>
        <w:t>  The business and the land were both sold to Lehigh, and Arrowsmith was re-named MIH. That left Mhinder holding the shares of the subsidiary incorporated to receive his share of the proceeds. That subsidiary was amalgamated into MIH.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366</w:t>
      </w:r>
      <w:r>
        <w:rPr>
          <w:rFonts w:ascii="arial" w:eastAsia="arial" w:hAnsi="arial" w:cs="arial"/>
          <w:color w:val="000000"/>
          <w:sz w:val="20"/>
          <w:lang w:val="en-US" w:eastAsia="en-US" w:bidi="ar-SA"/>
        </w:rPr>
        <w:t>  Notwithstanding what was stated in a schedule to Mhinder's cohabitation agreement, I find that it was understood and agreed that Arrowsmith was Mhinder's personal company and business if not from the time of its creation, then certainly well before the Lehigh transaction This is consistent with Bhora's own evidence concerning the origin of Nanaimo Concrete, Bhora's evidence in the Bhagwan litigation, Mhinder's evidence, the existence of a franchise agreement between Arrowsmith and OCL and the treatment of Arrowsmith, together with Wee Tree and Nanaimo Concrete, in the Lehigh 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367</w:t>
      </w:r>
      <w:r>
        <w:rPr>
          <w:rFonts w:ascii="arial" w:eastAsia="arial" w:hAnsi="arial" w:cs="arial"/>
          <w:color w:val="000000"/>
          <w:sz w:val="20"/>
          <w:lang w:val="en-US" w:eastAsia="en-US" w:bidi="ar-SA"/>
        </w:rPr>
        <w:t>  There is nothing in the evidence to support the contention that after the Lehigh sale, MIH would become an asset of the brothers' trust in the absence of obtaining a new release under clause 6. I am satisfied that the nature of the succession from Arrowsmith to MIH did not require a new release. There was a continuing engagement. Otherwise, the consideration for the sale of Arrowsmith, which would properly be for the credit of Mhinder, would become the property of the brothers' trust. If Bhora wished to take the position that a new release would be required, he ought to have taken it then.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368</w:t>
      </w:r>
      <w:r>
        <w:rPr>
          <w:rFonts w:ascii="arial" w:eastAsia="arial" w:hAnsi="arial" w:cs="arial"/>
          <w:color w:val="000000"/>
          <w:sz w:val="20"/>
          <w:lang w:val="en-US" w:eastAsia="en-US" w:bidi="ar-SA"/>
        </w:rPr>
        <w:t>  Mhinder's position is also consistent with the way that the accounting was recorded. Amounts recorded in MIH's books as owing to Mhinder were transferred to OCL's books by journal entry. There, it was credited to Mhinder's shareholder's account, not divided between the shareholders' accounts of Mhinder and Bhora.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369</w:t>
      </w:r>
      <w:r>
        <w:rPr>
          <w:rFonts w:ascii="arial" w:eastAsia="arial" w:hAnsi="arial" w:cs="arial"/>
          <w:color w:val="000000"/>
          <w:sz w:val="20"/>
          <w:lang w:val="en-US" w:eastAsia="en-US" w:bidi="ar-SA"/>
        </w:rPr>
        <w:t>  MIH, it follows, is Mhinder's personal corporation and is excluded from the brothers'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6.4 </w:t>
      </w:r>
      <w:r>
        <w:rPr>
          <w:rFonts w:ascii="arial" w:eastAsia="arial" w:hAnsi="arial" w:cs="arial"/>
          <w:b/>
          <w:color w:val="000000"/>
          <w:sz w:val="20"/>
          <w:u w:val="single"/>
          <w:lang w:val="en-US" w:eastAsia="en-US" w:bidi="ar-SA"/>
        </w:rPr>
        <w:t>Chemainus Ventures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370</w:t>
      </w:r>
      <w:r>
        <w:rPr>
          <w:rFonts w:ascii="arial" w:eastAsia="arial" w:hAnsi="arial" w:cs="arial"/>
          <w:color w:val="000000"/>
          <w:sz w:val="20"/>
          <w:lang w:val="en-US" w:eastAsia="en-US" w:bidi="ar-SA"/>
        </w:rPr>
        <w:t>  The evidence about how Mhinder came to hold the shares in this company is somewhat complicated, and involves a man named Steve Thorpe-Doubble. Mr. Thorpe-Doubble did not testify.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371</w:t>
      </w:r>
      <w:r>
        <w:rPr>
          <w:rFonts w:ascii="arial" w:eastAsia="arial" w:hAnsi="arial" w:cs="arial"/>
          <w:color w:val="000000"/>
          <w:sz w:val="20"/>
          <w:lang w:val="en-US" w:eastAsia="en-US" w:bidi="ar-SA"/>
        </w:rPr>
        <w:t>  Mr. Thorpe-Doubble was a mechanic for the family in Crofton, and lived in Chemainus. He wanted to branch out on his own. It appears that Bhora came up with a proposal of a partnership with Mr. Thorpe-Doubble in an excavating company, called T-Doubble Enterprises, which would perform work for Mayer companies. That partnership was ultimately taken up by Gina, rather than Bhora. In addition to equipment, the business involved the ownership of property that could only be owned by a Chemainus resident (why was never explained by anyone), which was Mr. Thorpe-Doubble. But he would hold the property in trust for the Mayers.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372</w:t>
      </w:r>
      <w:r>
        <w:rPr>
          <w:rFonts w:ascii="arial" w:eastAsia="arial" w:hAnsi="arial" w:cs="arial"/>
          <w:color w:val="000000"/>
          <w:sz w:val="20"/>
          <w:lang w:val="en-US" w:eastAsia="en-US" w:bidi="ar-SA"/>
        </w:rPr>
        <w:t>  Litigation ensued between Gina Mayer and Mr. Thorpe-Doubble, and was ultimately resolved in a manner that saw Gina receive cash and Mhinder receive the shares in the company, now Chemainus Ventures, that owned the property and its building. Chemainus Ventures still owns the property and the building. Mhinder still owns the shares.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373</w:t>
      </w:r>
      <w:r>
        <w:rPr>
          <w:rFonts w:ascii="arial" w:eastAsia="arial" w:hAnsi="arial" w:cs="arial"/>
          <w:color w:val="000000"/>
          <w:sz w:val="20"/>
          <w:lang w:val="en-US" w:eastAsia="en-US" w:bidi="ar-SA"/>
        </w:rPr>
        <w:t>  In all of the circumstances surrounding this rather confusing history, I find, on a balance of probabilities, that Mhinder owns the company personally, and that Chemainus Ventures is not part of the brothers' trust. I take into account Bhora's instructions to Mr. Howcroft, the way in which the company developed, and the resolution of the dispute which saw, in essence, part of the consideration go Bhora's way (in the form of the cash paid to Gina for which she did not have to account to the brothers' trust), and part go Mhinder's way (in the form of the land and building). This is consistent with an understanding that both the cash proceeds and the property proceeds would be excluded from the trust. It is also consistent with the way in which the business and property were treated in the accounting, as was the case with MIH.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6.5 </w:t>
      </w:r>
      <w:r>
        <w:rPr>
          <w:rFonts w:ascii="arial" w:eastAsia="arial" w:hAnsi="arial" w:cs="arial"/>
          <w:b/>
          <w:color w:val="000000"/>
          <w:sz w:val="20"/>
          <w:u w:val="single"/>
          <w:lang w:val="en-US" w:eastAsia="en-US" w:bidi="ar-SA"/>
        </w:rPr>
        <w:t>Conclusion re the DTCs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374</w:t>
      </w:r>
      <w:r>
        <w:rPr>
          <w:rFonts w:ascii="arial" w:eastAsia="arial" w:hAnsi="arial" w:cs="arial"/>
          <w:color w:val="000000"/>
          <w:sz w:val="20"/>
          <w:lang w:val="en-US" w:eastAsia="en-US" w:bidi="ar-SA"/>
        </w:rPr>
        <w:t>  For the reasons just discussed, I find that the four DTCs, C.A.R. Aviation Ltd, Island Structures Ltd, Mid-Isle Holdings Ltd and Chemainus Ventures Ltd, are both legally and beneficially owned by Mhinder, and are not assets of the brothers'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 THE EQUALITY CLAIM TO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7.1 </w:t>
      </w:r>
      <w:r>
        <w:rPr>
          <w:rFonts w:ascii="arial" w:eastAsia="arial" w:hAnsi="arial" w:cs="arial"/>
          <w:b/>
          <w:color w:val="000000"/>
          <w:sz w:val="20"/>
          <w:u w:val="single"/>
          <w:lang w:val="en-US" w:eastAsia="en-US" w:bidi="ar-SA"/>
        </w:rPr>
        <w:t>Overview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375</w:t>
      </w:r>
      <w:r>
        <w:rPr>
          <w:rFonts w:ascii="arial" w:eastAsia="arial" w:hAnsi="arial" w:cs="arial"/>
          <w:color w:val="000000"/>
          <w:sz w:val="20"/>
          <w:lang w:val="en-US" w:eastAsia="en-US" w:bidi="ar-SA"/>
        </w:rPr>
        <w:t>  This claim goes to the very root of the brothers' trust. Mhinder claims, as did Bhagwan before him, that by its terms, the brothers' trust provides for equal benefit to all beneficiaries. He maintains, however, that in the years from 1991, when he and Bhora became the sole beneficiaries, through 2006, after which they had a falling out, Bhora withdrew significantly more money than Mhinder, and must now account for the excess over equal distribution. Moreover, he alleges, Bhora collected rents from trust properties that he kept for his own benefit.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376</w:t>
      </w:r>
      <w:r>
        <w:rPr>
          <w:rFonts w:ascii="arial" w:eastAsia="arial" w:hAnsi="arial" w:cs="arial"/>
          <w:color w:val="000000"/>
          <w:sz w:val="20"/>
          <w:lang w:val="en-US" w:eastAsia="en-US" w:bidi="ar-SA"/>
        </w:rPr>
        <w:t>  In the period from 2007 on, Mhinder alleges that Bhora conducted the affairs of the trust businesses, the ITCs, in a manner that was oppressive and unfairly prejudicial to Mhinder, including dealings with the family companies, payments made to Bhora while corresponding payments to Mhinder were withheld in the course of litigation, and a number of other matters. These claims will be dealt with separately.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7.2 </w:t>
      </w:r>
      <w:r>
        <w:rPr>
          <w:rFonts w:ascii="arial" w:eastAsia="arial" w:hAnsi="arial" w:cs="arial"/>
          <w:b/>
          <w:color w:val="000000"/>
          <w:sz w:val="20"/>
          <w:u w:val="single"/>
          <w:lang w:val="en-US" w:eastAsia="en-US" w:bidi="ar-SA"/>
        </w:rPr>
        <w:t>The equalization of draws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377</w:t>
      </w:r>
      <w:r>
        <w:rPr>
          <w:rFonts w:ascii="arial" w:eastAsia="arial" w:hAnsi="arial" w:cs="arial"/>
          <w:color w:val="000000"/>
          <w:sz w:val="20"/>
          <w:lang w:val="en-US" w:eastAsia="en-US" w:bidi="ar-SA"/>
        </w:rPr>
        <w:t>  I have already commented about the brothers' approach to money. In essence, they withdrew such money as they required whenever they required it. The evidence suggests that at least until 1991, Bhagwan took significantly higher drawings than the others. He had a large family. The evidence also indicates that in a number of years after 1991, Bhora withdrew more than Mhinder, although in some years the balance went the other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378</w:t>
      </w:r>
      <w:r>
        <w:rPr>
          <w:rFonts w:ascii="arial" w:eastAsia="arial" w:hAnsi="arial" w:cs="arial"/>
          <w:color w:val="000000"/>
          <w:sz w:val="20"/>
          <w:lang w:val="en-US" w:eastAsia="en-US" w:bidi="ar-SA"/>
        </w:rPr>
        <w:t xml:space="preserve">  The 1966 Agreement began by reciting that it shall enure to the "mutual and equal benefit" of the five brothers. All ventures were to be "owned equally by all five brothers"; all properties were to be considered held in trust as being "equally owned by all five brothers". Each brother agreed to do his part towards "equal benefit". As Mhinder points out, referring to </w:t>
      </w:r>
      <w:r>
        <w:rPr>
          <w:rFonts w:ascii="arial" w:eastAsia="arial" w:hAnsi="arial" w:cs="arial"/>
          <w:i/>
          <w:color w:val="000000"/>
          <w:sz w:val="20"/>
          <w:lang w:val="en-US" w:eastAsia="en-US" w:bidi="ar-SA"/>
        </w:rPr>
        <w:t>Royal Trust Corp of Canada v Arthur Andersen Inc (re Westar Mining Retirement Plan)</w:t>
      </w:r>
      <w:r>
        <w:rPr>
          <w:rFonts w:ascii="arial" w:eastAsia="arial" w:hAnsi="arial" w:cs="arial"/>
          <w:color w:val="000000"/>
          <w:sz w:val="20"/>
          <w:lang w:val="en-US" w:eastAsia="en-US" w:bidi="ar-SA"/>
        </w:rPr>
        <w:t xml:space="preserve"> </w:t>
      </w:r>
      <w:hyperlink r:id="rId845" w:history="1">
        <w:r>
          <w:rPr>
            <w:rFonts w:ascii="arial" w:eastAsia="arial" w:hAnsi="arial" w:cs="arial"/>
            <w:i/>
            <w:color w:val="0077CC"/>
            <w:sz w:val="20"/>
            <w:u w:val="single"/>
            <w:shd w:val="clear" w:color="auto" w:fill="FFFFFF"/>
            <w:lang w:val="en-US" w:eastAsia="en-US" w:bidi="ar-SA"/>
          </w:rPr>
          <w:t>(1994), 96 BCLR (2d) 135</w:t>
        </w:r>
      </w:hyperlink>
      <w:r>
        <w:rPr>
          <w:rFonts w:ascii="arial" w:eastAsia="arial" w:hAnsi="arial" w:cs="arial"/>
          <w:color w:val="000000"/>
          <w:sz w:val="20"/>
          <w:lang w:val="en-US" w:eastAsia="en-US" w:bidi="ar-SA"/>
        </w:rPr>
        <w:t xml:space="preserve"> at para 38, quoting from Hanbury &amp; Martin, </w:t>
      </w:r>
      <w:r>
        <w:rPr>
          <w:rFonts w:ascii="arial" w:eastAsia="arial" w:hAnsi="arial" w:cs="arial"/>
          <w:i/>
          <w:color w:val="000000"/>
          <w:sz w:val="20"/>
          <w:lang w:val="en-US" w:eastAsia="en-US" w:bidi="ar-SA"/>
        </w:rPr>
        <w:t>Modern Equity</w:t>
      </w:r>
      <w:r>
        <w:rPr>
          <w:rFonts w:ascii="arial" w:eastAsia="arial" w:hAnsi="arial" w:cs="arial"/>
          <w:color w:val="000000"/>
          <w:sz w:val="20"/>
          <w:lang w:val="en-US" w:eastAsia="en-US" w:bidi="ar-SA"/>
        </w:rPr>
        <w:t>, 14th ed. (1993):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Equity is equality. Where two or more persons are entitled to an interest in the same property, then the principle of equity is equal division, if there is no good reason for any other basis for division.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379</w:t>
      </w:r>
      <w:r>
        <w:rPr>
          <w:rFonts w:ascii="arial" w:eastAsia="arial" w:hAnsi="arial" w:cs="arial"/>
          <w:color w:val="000000"/>
          <w:sz w:val="20"/>
          <w:lang w:val="en-US" w:eastAsia="en-US" w:bidi="ar-SA"/>
        </w:rPr>
        <w:t>  Mhinder testified that it was his understanding "right from the get-go" that the brothers were all "equal partners". He acknowledges, however, that when it came to draws, the brothers did not apply the concept of equality to the amounts of money they withdrew. In particular, while Bhagwan remained a member, it was typical that he would take more in drawings than the others; indeed, the 1966 Agreement recognized in clause 4 that some brothers' needs would be greater than others: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AGREED that the financial needs of the brothers will vary and therefore it is agreed that equalization of drawings shall not be considered until such time as mutually agreed upon.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380</w:t>
      </w:r>
      <w:r>
        <w:rPr>
          <w:rFonts w:ascii="arial" w:eastAsia="arial" w:hAnsi="arial" w:cs="arial"/>
          <w:color w:val="000000"/>
          <w:sz w:val="20"/>
          <w:lang w:val="en-US" w:eastAsia="en-US" w:bidi="ar-SA"/>
        </w:rPr>
        <w:t>  This clause was, however, deleted by the 1984 Agreement. Mhinder argues that the effect of this deletion was to make equality the invariable rule, while Bhora contends that its effect was to end any recourse to an equalization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381</w:t>
      </w:r>
      <w:r>
        <w:rPr>
          <w:rFonts w:ascii="arial" w:eastAsia="arial" w:hAnsi="arial" w:cs="arial"/>
          <w:color w:val="000000"/>
          <w:sz w:val="20"/>
          <w:lang w:val="en-US" w:eastAsia="en-US" w:bidi="ar-SA"/>
        </w:rPr>
        <w:t>  According to Mhinder, he discussed the matter of draws with Bhora and Mr. Furnemont in 1991 after Bhagwan left the trust. Mhinder testified that he was quite worried about Bhagwan leaving. Before, the trust had been run essentially on the basis that it was 'one for all and all for one, but Bhagwan was boss'. In this discussion, Mhinder testified, Mr. Furnemont explained: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...that Bhagwan had taken more money than all-double than-more than double the money than all of the other brothers put together in the years that he was there. And Marc stating that--Marc and all of us say, hey, that ain't going to happen anymore. That will not happen anymore. And Marc was an accountant. So I trusted him that-to enforce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382</w:t>
      </w:r>
      <w:r>
        <w:rPr>
          <w:rFonts w:ascii="arial" w:eastAsia="arial" w:hAnsi="arial" w:cs="arial"/>
          <w:color w:val="000000"/>
          <w:sz w:val="20"/>
          <w:lang w:val="en-US" w:eastAsia="en-US" w:bidi="ar-SA"/>
        </w:rPr>
        <w:t>  Mhinder went on to explain the depth of Mr. Furnemont's involvement as accountant, financial planner and "our financial guy", indicating that he assumed from that point on that, financially, he and Bhora would be treated equally.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383</w:t>
      </w:r>
      <w:r>
        <w:rPr>
          <w:rFonts w:ascii="arial" w:eastAsia="arial" w:hAnsi="arial" w:cs="arial"/>
          <w:color w:val="000000"/>
          <w:sz w:val="20"/>
          <w:lang w:val="en-US" w:eastAsia="en-US" w:bidi="ar-SA"/>
        </w:rPr>
        <w:t>  Mr. Furnemont agreed that he was part of a discussion with Bhora and Mhinder following Bhagwan's departure in 1991, and that he told the brothers that Bhagwan had taken out much more money than they had over the years. The context was that there would now be more cash available to Bhora and Mhinder as Bhagwan was no longer taking the lion's share. He denied, however, that there had been any agreement that Bhora and Mhinder would receive equal amounts in the future: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that had been part of the conversation, I would recall it because it would have been a substantial change in the way the business was being run and things would have been handled very differently thereafter. So, no, I did not receive any kind of instructions about making sure that everyone received the same amount of money. There were quite a few years where Mhindy took more money out than Bhora, just as there were years where Bhora took more money out than Mhindy. And neither of them objected to that through the course of the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384</w:t>
      </w:r>
      <w:r>
        <w:rPr>
          <w:rFonts w:ascii="arial" w:eastAsia="arial" w:hAnsi="arial" w:cs="arial"/>
          <w:color w:val="000000"/>
          <w:sz w:val="20"/>
          <w:lang w:val="en-US" w:eastAsia="en-US" w:bidi="ar-SA"/>
        </w:rPr>
        <w:t>  I accept Mr. Furnemont's evidence, and prefer it to that of Mhinder. It accords with what the parties did. But it does not of itself answer the question of whether Mhinder is now entitled to equalization.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385</w:t>
      </w:r>
      <w:r>
        <w:rPr>
          <w:rFonts w:ascii="arial" w:eastAsia="arial" w:hAnsi="arial" w:cs="arial"/>
          <w:color w:val="000000"/>
          <w:sz w:val="20"/>
          <w:lang w:val="en-US" w:eastAsia="en-US" w:bidi="ar-SA"/>
        </w:rPr>
        <w:t>  Mr. Furnemont began working for the Osborne Group the same year that the agreement was amended. Consistent with the excerpt quoted above, he testified that throughout the time of his employment, the brothers had a "commune approach", where it did not matter how much each withdrew or collected or received. At the end of the year, the shareholders' accounts were "equalized", and: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...everybody was T4'd the same, everybody reported the same taxable income... It was explained to me it doesn't matter who takes what during the year, everything was to be equalized every year because the needs of the shareholders will vary from year to year. And that was the philosophy when I started working back in '84.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386</w:t>
      </w:r>
      <w:r>
        <w:rPr>
          <w:rFonts w:ascii="arial" w:eastAsia="arial" w:hAnsi="arial" w:cs="arial"/>
          <w:color w:val="000000"/>
          <w:sz w:val="20"/>
          <w:lang w:val="en-US" w:eastAsia="en-US" w:bidi="ar-SA"/>
        </w:rPr>
        <w:t>  This "equalization" process did not equalize the amount received by each brother. That was never the intention, according to Mr. Furnemont. The idea was that at the end of each year, the balances of the shareholders' accounts would be adjusted to become equal. When there were five brothers, he would add up the total balance of the five shareholder loans, divide by five, and adjust all to the same level. This would reduce the overall tax situation (the brothers' taxes being paid by OCL), while maintaining the ability of each brother to take what he needed when he needed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387</w:t>
      </w:r>
      <w:r>
        <w:rPr>
          <w:rFonts w:ascii="arial" w:eastAsia="arial" w:hAnsi="arial" w:cs="arial"/>
          <w:color w:val="000000"/>
          <w:sz w:val="20"/>
          <w:lang w:val="en-US" w:eastAsia="en-US" w:bidi="ar-SA"/>
        </w:rPr>
        <w:t>  Mhinder points to Mr. Furnemont's annual "equalization" entries in the OCL general ledger as potentially obscuring any inequality in draws over time by making it more time-consuming to calculate any cumulative effect. The reality is, however, that the practice was a long-standing one, and nothing was concealed.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388</w:t>
      </w:r>
      <w:r>
        <w:rPr>
          <w:rFonts w:ascii="arial" w:eastAsia="arial" w:hAnsi="arial" w:cs="arial"/>
          <w:color w:val="000000"/>
          <w:sz w:val="20"/>
          <w:lang w:val="en-US" w:eastAsia="en-US" w:bidi="ar-SA"/>
        </w:rPr>
        <w:t>  Mhinder's claim was supported by expert evidence provided by Rosanne Walters, CPA, CA, CBV. Ms. Walters' initial report was produced on May 15, 2008, and addressed activity in the shareholders' accounts over the years 2005 and 2006. Regrettably, Ms. Walters indulged in language best omitted from expert reports, including conclusions on various scenarios that she opined would be "unfair to Mhinder".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389</w:t>
      </w:r>
      <w:r>
        <w:rPr>
          <w:rFonts w:ascii="arial" w:eastAsia="arial" w:hAnsi="arial" w:cs="arial"/>
          <w:color w:val="000000"/>
          <w:sz w:val="20"/>
          <w:lang w:val="en-US" w:eastAsia="en-US" w:bidi="ar-SA"/>
        </w:rPr>
        <w:t>  I found Ms. Walters' conclusions somewhat difficult to follow, particularly after the completion of cross-examination. This is particularly so with respect to what effect my finding in the previous section that MIH is not a trust company, but is Mhinder's company, would have on her conclusions. These conclusions were phrased unhelpfully, in the form of what equalization entry would be required to equalize the shareholders accounts, an entry which, she stated, "if done would be unfair to Mhinder".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390</w:t>
      </w:r>
      <w:r>
        <w:rPr>
          <w:rFonts w:ascii="arial" w:eastAsia="arial" w:hAnsi="arial" w:cs="arial"/>
          <w:color w:val="000000"/>
          <w:sz w:val="20"/>
          <w:lang w:val="en-US" w:eastAsia="en-US" w:bidi="ar-SA"/>
        </w:rPr>
        <w:t>  In reviewing the equalization entries, she noted that deficits in Mhinder's shareholder's account with OCL were on occasion reduced by the transfer of a shareholder's loan from MIH, which was credited only to Mhinder's OCL account, not to Bhora's. This was true except for one occasion in 2005 when the credit of an MIH shareholder's loan was divided equally between Bhora and Mhinder. Ms. Walter acknowledged in cross-examination that the effect on "unfairness" depended upon who owned MIH. I have found that Mhinder owns MIH. Given Mr. Furnemont's evidence, I am unable to find that the apparent accounting error in 2005 caused any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391</w:t>
      </w:r>
      <w:r>
        <w:rPr>
          <w:rFonts w:ascii="arial" w:eastAsia="arial" w:hAnsi="arial" w:cs="arial"/>
          <w:color w:val="000000"/>
          <w:sz w:val="20"/>
          <w:lang w:val="en-US" w:eastAsia="en-US" w:bidi="ar-SA"/>
        </w:rPr>
        <w:t>  Returning to the question of equality, Mhinder submits that the trust agreement as amended must be interpreted as requiring that Mhinder and Bhora be treated equally in all respects in relation to the brothers' trust. He then argues that any change from that proposition after their 1991 discussion could only be effective with Mhinder's informed consent, which was never given.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392</w:t>
      </w:r>
      <w:r>
        <w:rPr>
          <w:rFonts w:ascii="arial" w:eastAsia="arial" w:hAnsi="arial" w:cs="arial"/>
          <w:color w:val="000000"/>
          <w:sz w:val="20"/>
          <w:lang w:val="en-US" w:eastAsia="en-US" w:bidi="ar-SA"/>
        </w:rPr>
        <w:t>  On the question of interpretation, there can be no doubt that the agreement refers repeatedly to equality. The 1984 deletion of clause 4 removed any reference to recognizing that the brothers' financial needs would vary, and any reference to postponing equalization that was thereby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393</w:t>
      </w:r>
      <w:r>
        <w:rPr>
          <w:rFonts w:ascii="arial" w:eastAsia="arial" w:hAnsi="arial" w:cs="arial"/>
          <w:color w:val="000000"/>
          <w:sz w:val="20"/>
          <w:lang w:val="en-US" w:eastAsia="en-US" w:bidi="ar-SA"/>
        </w:rPr>
        <w:t>  Just why that occurred is not clear. Mhinder recalled only being told that the amendment was to deal with what would happen upon a brother's death, a different clause in the 1984 Agreement. Yet, in the Bhagwan litigation, he testified on discovery in 2004 that when the 1984 amendment was presented to him, he understood the change to mean that distributions would no longer have to be equalized at the end of the day, a change that he viewed as unfairly to the benefit of Bhagwan. When asked in this trial if those answers were truthful, he replied: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what my head was thinking at that time, I would say yes. You know what, I just don't know what I was thinking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394</w:t>
      </w:r>
      <w:r>
        <w:rPr>
          <w:rFonts w:ascii="arial" w:eastAsia="arial" w:hAnsi="arial" w:cs="arial"/>
          <w:color w:val="000000"/>
          <w:sz w:val="20"/>
          <w:lang w:val="en-US" w:eastAsia="en-US" w:bidi="ar-SA"/>
        </w:rPr>
        <w:t>  Before me, Mhinder maintained that as best he could recall, he had not realized until 1991 that Bhagwan was taking more money than other brothers, but it is clear that his recollection was different in 2004, and I do not accept that he was unaware either before or after 1984. But of course his understanding of the effect of the amendment at that time is not determinative.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395</w:t>
      </w:r>
      <w:r>
        <w:rPr>
          <w:rFonts w:ascii="arial" w:eastAsia="arial" w:hAnsi="arial" w:cs="arial"/>
          <w:color w:val="000000"/>
          <w:sz w:val="20"/>
          <w:lang w:val="en-US" w:eastAsia="en-US" w:bidi="ar-SA"/>
        </w:rPr>
        <w:t>  Bhora's evidence was consistent with that given by Mhinder in the Bhagwan litigation in 2004. Bhora said that the brothers were all together to discuss the proposed amendment, and Bhagwan took the lead. He said that no one had ever raised the issue of equalizing draws, so they should remove the clause. That way there would be no equalization demand on the death of a brother. The understanding was that they would continue with the practice that if a brother needed something, he would simply ask for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396</w:t>
      </w:r>
      <w:r>
        <w:rPr>
          <w:rFonts w:ascii="arial" w:eastAsia="arial" w:hAnsi="arial" w:cs="arial"/>
          <w:color w:val="000000"/>
          <w:sz w:val="20"/>
          <w:lang w:val="en-US" w:eastAsia="en-US" w:bidi="ar-SA"/>
        </w:rPr>
        <w:t>  Intention, of course, must be discerned from the agreement, not from the recollection of Mhinder and Bhora. What the parties clearly agreed was that clause 4 should be deleted. Reading the agreement as a whole without clause 4, the only reasonable conclusion is that what is left is equality: equality of ownership and equality of benefit.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397</w:t>
      </w:r>
      <w:r>
        <w:rPr>
          <w:rFonts w:ascii="arial" w:eastAsia="arial" w:hAnsi="arial" w:cs="arial"/>
          <w:color w:val="000000"/>
          <w:sz w:val="20"/>
          <w:lang w:val="en-US" w:eastAsia="en-US" w:bidi="ar-SA"/>
        </w:rPr>
        <w:t>  Does this necessarily require equal draws? As originally drafted, it would seem that the brothers did not think so, given the content of clause 4. But does "equality of benefit" require cash withdrawals to be identical notwithstanding different needs and circumstances? I do not think it does in the absence of clause 4, but even if I am incorrect in this, I do not think it matters.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398</w:t>
      </w:r>
      <w:r>
        <w:rPr>
          <w:rFonts w:ascii="arial" w:eastAsia="arial" w:hAnsi="arial" w:cs="arial"/>
          <w:color w:val="000000"/>
          <w:sz w:val="20"/>
          <w:lang w:val="en-US" w:eastAsia="en-US" w:bidi="ar-SA"/>
        </w:rPr>
        <w:t>  Bhora points out that Mhinder at all times had access to the books and records of all of the companies, received copies of corporate tax returns and financial statements, and frequently signed the financial statements and tax returns on behalf of the directors. Nothing was hidden, and, in Bhora's submission, Mhinder ought not to be able to hide behind a wilful disinclination to pay attention as a basis for claiming ignorance of a course of conduct in which he had participated for many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399</w:t>
      </w:r>
      <w:r>
        <w:rPr>
          <w:rFonts w:ascii="arial" w:eastAsia="arial" w:hAnsi="arial" w:cs="arial"/>
          <w:color w:val="000000"/>
          <w:sz w:val="20"/>
          <w:lang w:val="en-US" w:eastAsia="en-US" w:bidi="ar-SA"/>
        </w:rPr>
        <w:t>  Moreover, Bhora asserts, Mhinder's evidence does not establish long-term inequality. Taken at its highest, it suggests that over the years 2001-2006, Bhora benefited from rent receipts he kept and draws in excess of an equal division by some $641,053 (per Ms. Walters), which assumes, as I have found, that the DTCs should be treated as Mhinder's. But there is no evidence of what transpired during the years 1991-2000. Given that there were some years between 2001 and 2006 when Mhinder withdrew more than Bhora, it cannot be safely inferred that an inequality favouring Bhora would be found over the entire span of 1991-2006.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400</w:t>
      </w:r>
      <w:r>
        <w:rPr>
          <w:rFonts w:ascii="arial" w:eastAsia="arial" w:hAnsi="arial" w:cs="arial"/>
          <w:color w:val="000000"/>
          <w:sz w:val="20"/>
          <w:lang w:val="en-US" w:eastAsia="en-US" w:bidi="ar-SA"/>
        </w:rPr>
        <w:t>  In my view, there are two difficulties with Mhinder's position that Bhora must account for an imbalance of draws in his favour over the years they were the sole trustees and beneficiaries, even assuming that his interpretation of the agreement is correct. The first is the evidentiary problem described in the preceding paragraph. It is impossible to compare the relative drawings of Bhora and Mhinder over the entirety of the relevant period. Consequently, the amount of any imbalance cannot be ascertained on the evidence before me, and the onus of proving this claim is on Mhinder.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401</w:t>
      </w:r>
      <w:r>
        <w:rPr>
          <w:rFonts w:ascii="arial" w:eastAsia="arial" w:hAnsi="arial" w:cs="arial"/>
          <w:color w:val="000000"/>
          <w:sz w:val="20"/>
          <w:lang w:val="en-US" w:eastAsia="en-US" w:bidi="ar-SA"/>
        </w:rPr>
        <w:t>  The second is the undisputed course of dealings among the brothers that accepted unequal draws which varied in accordance with their relative needs, not only up to 1984 when clause 4 was deleted, but for many years thereafter. Mhinder does not forcefully deny that he was aware of this, but maintains that he and Bhora agreed, with Mr. Furnemont, to bring the practice to a halt after Bhagwan's departure in 1991. But I have rejected his evidence about that agreement, and I am therefore left with the fact that he understood the situation, and was content to proceed on the basis on which the brothers had operated since inception: so long as they acted in good faith, and so long as funds were available, each was free to withdraw what he needed when he needed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402</w:t>
      </w:r>
      <w:r>
        <w:rPr>
          <w:rFonts w:ascii="arial" w:eastAsia="arial" w:hAnsi="arial" w:cs="arial"/>
          <w:color w:val="000000"/>
          <w:sz w:val="20"/>
          <w:lang w:val="en-US" w:eastAsia="en-US" w:bidi="ar-SA"/>
        </w:rPr>
        <w:t xml:space="preserve">  The decision in </w:t>
      </w:r>
      <w:r>
        <w:rPr>
          <w:rFonts w:ascii="arial" w:eastAsia="arial" w:hAnsi="arial" w:cs="arial"/>
          <w:i/>
          <w:color w:val="000000"/>
          <w:sz w:val="20"/>
          <w:lang w:val="en-US" w:eastAsia="en-US" w:bidi="ar-SA"/>
        </w:rPr>
        <w:t>Langley, Bevans and Julson v Brownjohn</w:t>
      </w:r>
      <w:r>
        <w:rPr>
          <w:rFonts w:ascii="arial" w:eastAsia="arial" w:hAnsi="arial" w:cs="arial"/>
          <w:color w:val="000000"/>
          <w:sz w:val="20"/>
          <w:lang w:val="en-US" w:eastAsia="en-US" w:bidi="ar-SA"/>
        </w:rPr>
        <w:t xml:space="preserve">, </w:t>
      </w:r>
      <w:hyperlink r:id="rId846" w:history="1">
        <w:r>
          <w:rPr>
            <w:rFonts w:ascii="arial" w:eastAsia="arial" w:hAnsi="arial" w:cs="arial"/>
            <w:i/>
            <w:color w:val="0077CC"/>
            <w:sz w:val="20"/>
            <w:u w:val="single"/>
            <w:shd w:val="clear" w:color="auto" w:fill="FFFFFF"/>
            <w:lang w:val="en-US" w:eastAsia="en-US" w:bidi="ar-SA"/>
          </w:rPr>
          <w:t>2007 BCSC 156</w:t>
        </w:r>
      </w:hyperlink>
      <w:r>
        <w:rPr>
          <w:rFonts w:ascii="arial" w:eastAsia="arial" w:hAnsi="arial" w:cs="arial"/>
          <w:color w:val="000000"/>
          <w:sz w:val="20"/>
          <w:lang w:val="en-US" w:eastAsia="en-US" w:bidi="ar-SA"/>
        </w:rPr>
        <w:t>, is helpful. There, Madam Justice Ballance confirmed at para 70 the point made by Mhinder that any deviation from the trust provision, here of equality, could only be made with Mhinder's informed consent. But as Ballance J. noted at para 69: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settled that where a capacitated, adult beneficiary consents to or concurs in a breach of trust prior to its being carried out, or acquiesces to the breach after its occurrence, that beneficiary is barred from suing the trustee in the event that a loss results from the breach: </w:t>
      </w:r>
      <w:r>
        <w:rPr>
          <w:rFonts w:ascii="arial" w:eastAsia="arial" w:hAnsi="arial" w:cs="arial"/>
          <w:i/>
          <w:color w:val="000000"/>
          <w:sz w:val="20"/>
          <w:lang w:val="en-US" w:eastAsia="en-US" w:bidi="ar-SA"/>
        </w:rPr>
        <w:t>Re McNeill</w:t>
      </w:r>
      <w:r>
        <w:rPr>
          <w:rFonts w:ascii="arial" w:eastAsia="arial" w:hAnsi="arial" w:cs="arial"/>
          <w:color w:val="000000"/>
          <w:sz w:val="20"/>
          <w:lang w:val="en-US" w:eastAsia="en-US" w:bidi="ar-SA"/>
        </w:rPr>
        <w:t xml:space="preserve"> </w:t>
      </w:r>
      <w:hyperlink r:id="rId847" w:history="1">
        <w:r>
          <w:rPr>
            <w:rFonts w:ascii="arial" w:eastAsia="arial" w:hAnsi="arial" w:cs="arial"/>
            <w:i/>
            <w:color w:val="0077CC"/>
            <w:sz w:val="20"/>
            <w:u w:val="single"/>
            <w:shd w:val="clear" w:color="auto" w:fill="FFFFFF"/>
            <w:lang w:val="en-US" w:eastAsia="en-US" w:bidi="ar-SA"/>
          </w:rPr>
          <w:t>(1911), 19 W.L.R. 691</w:t>
        </w:r>
      </w:hyperlink>
      <w:r>
        <w:rPr>
          <w:rFonts w:ascii="arial" w:eastAsia="arial" w:hAnsi="arial" w:cs="arial"/>
          <w:color w:val="000000"/>
          <w:sz w:val="20"/>
          <w:lang w:val="en-US" w:eastAsia="en-US" w:bidi="ar-SA"/>
        </w:rPr>
        <w:t xml:space="preserve"> (B.C.S.C.); </w:t>
      </w:r>
      <w:r>
        <w:rPr>
          <w:rFonts w:ascii="arial" w:eastAsia="arial" w:hAnsi="arial" w:cs="arial"/>
          <w:i/>
          <w:color w:val="000000"/>
          <w:sz w:val="20"/>
          <w:lang w:val="en-US" w:eastAsia="en-US" w:bidi="ar-SA"/>
        </w:rPr>
        <w:t>Waters' Law of Trusts in Canada, supra</w:t>
      </w:r>
      <w:r>
        <w:rPr>
          <w:rFonts w:ascii="arial" w:eastAsia="arial" w:hAnsi="arial" w:cs="arial"/>
          <w:color w:val="000000"/>
          <w:sz w:val="20"/>
          <w:lang w:val="en-US" w:eastAsia="en-US" w:bidi="ar-SA"/>
        </w:rPr>
        <w:t>, page 1237.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403</w:t>
      </w:r>
      <w:r>
        <w:rPr>
          <w:rFonts w:ascii="arial" w:eastAsia="arial" w:hAnsi="arial" w:cs="arial"/>
          <w:color w:val="000000"/>
          <w:sz w:val="20"/>
          <w:lang w:val="en-US" w:eastAsia="en-US" w:bidi="ar-SA"/>
        </w:rPr>
        <w:t>  Here, what Mhinder alleges, in essence, is that Bhora, as co-trustee, breached his duty to maintain equality between the beneficiaries by helping himself to draws that, overall, exceeded what Mhinder took. But the evidence falls short of demonstrating overall inequality, and certainly shows no want of good faith by Bhora, either in the amounts he withdrew, or in interfering in any way with Mhinder's withdrawals. There is no evidence that Mhinder was ever limited or restricted in his withdrawals. And to the extent Bhora may have withdrawn more than Mhinder, I find that Mhinder concurred in the practice both as trustee and as beneficiary at least until 2007. He cannot, therefore, claim against Bhora for any loss from that alleged breach.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404</w:t>
      </w:r>
      <w:r>
        <w:rPr>
          <w:rFonts w:ascii="arial" w:eastAsia="arial" w:hAnsi="arial" w:cs="arial"/>
          <w:color w:val="000000"/>
          <w:sz w:val="20"/>
          <w:lang w:val="en-US" w:eastAsia="en-US" w:bidi="ar-SA"/>
        </w:rPr>
        <w:t xml:space="preserve">  Viewed properly, that practice was not lacking in equality in any event. The brothers were equally entitled to withdraw what they needed when they needed it. Given the surrounding circumstances, I conclude that that was what they meant by "equal benefit". Mr. Furnemont described the arrangement as commune-like, and Mhinder quoted Welbier's description of the trust agreement as "Communist". Indeed, Karl Marx's words would appear to be apt: "From each according to his ability, to each according to his needs" (Karl Marx, </w:t>
      </w:r>
      <w:r>
        <w:rPr>
          <w:rFonts w:ascii="arial" w:eastAsia="arial" w:hAnsi="arial" w:cs="arial"/>
          <w:i/>
          <w:color w:val="000000"/>
          <w:sz w:val="20"/>
          <w:lang w:val="en-US" w:eastAsia="en-US" w:bidi="ar-SA"/>
        </w:rPr>
        <w:t>Kritik des Goethaer Programms</w:t>
      </w:r>
      <w:r>
        <w:rPr>
          <w:rFonts w:ascii="arial" w:eastAsia="arial" w:hAnsi="arial" w:cs="arial"/>
          <w:color w:val="000000"/>
          <w:sz w:val="20"/>
          <w:lang w:val="en-US" w:eastAsia="en-US" w:bidi="ar-SA"/>
        </w:rPr>
        <w:t>, 1875).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405</w:t>
      </w:r>
      <w:r>
        <w:rPr>
          <w:rFonts w:ascii="arial" w:eastAsia="arial" w:hAnsi="arial" w:cs="arial"/>
          <w:color w:val="000000"/>
          <w:sz w:val="20"/>
          <w:lang w:val="en-US" w:eastAsia="en-US" w:bidi="ar-SA"/>
        </w:rPr>
        <w:t>  Consequently, on any interpretation of the agreement, Mhinder's claim against Bhora for an accounting for inequality in the draws over the years 1991-2006 fails.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7.3 </w:t>
      </w:r>
      <w:r>
        <w:rPr>
          <w:rFonts w:ascii="arial" w:eastAsia="arial" w:hAnsi="arial" w:cs="arial"/>
          <w:b/>
          <w:color w:val="000000"/>
          <w:sz w:val="20"/>
          <w:u w:val="single"/>
          <w:lang w:val="en-US" w:eastAsia="en-US" w:bidi="ar-SA"/>
        </w:rPr>
        <w:t>The Gina rents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406</w:t>
      </w:r>
      <w:r>
        <w:rPr>
          <w:rFonts w:ascii="arial" w:eastAsia="arial" w:hAnsi="arial" w:cs="arial"/>
          <w:color w:val="000000"/>
          <w:sz w:val="20"/>
          <w:lang w:val="en-US" w:eastAsia="en-US" w:bidi="ar-SA"/>
        </w:rPr>
        <w:t>  This claim, like several raised in this litigation, arises from a puzzling set of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407</w:t>
      </w:r>
      <w:r>
        <w:rPr>
          <w:rFonts w:ascii="arial" w:eastAsia="arial" w:hAnsi="arial" w:cs="arial"/>
          <w:color w:val="000000"/>
          <w:sz w:val="20"/>
          <w:lang w:val="en-US" w:eastAsia="en-US" w:bidi="ar-SA"/>
        </w:rPr>
        <w:t>  The brothers owned a number of properties. Some were owned by Bhora and Mhinder jointly, while others were registered in their individual names. Whether those registered only to Mhinder were his personal properties or assets of the brothers' trust I address below in section 9.0.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408</w:t>
      </w:r>
      <w:r>
        <w:rPr>
          <w:rFonts w:ascii="arial" w:eastAsia="arial" w:hAnsi="arial" w:cs="arial"/>
          <w:color w:val="000000"/>
          <w:sz w:val="20"/>
          <w:lang w:val="en-US" w:eastAsia="en-US" w:bidi="ar-SA"/>
        </w:rPr>
        <w:t>  Most of these properties were leased out. For many years, Gina attended to collecting the rents. She then took care of paying the expenses on the properties, and remitted the balance to OCL. OCL paid her a fee of $750/month for this service.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409</w:t>
      </w:r>
      <w:r>
        <w:rPr>
          <w:rFonts w:ascii="arial" w:eastAsia="arial" w:hAnsi="arial" w:cs="arial"/>
          <w:color w:val="000000"/>
          <w:sz w:val="20"/>
          <w:lang w:val="en-US" w:eastAsia="en-US" w:bidi="ar-SA"/>
        </w:rPr>
        <w:t>  Along with her remittance, Gina provided to Mr. Furnemont a monthly accounting of the rents received and expenses paid, including her management fee, and Mr. Furnemont prepared schedules of rents and expenses which he provided to the outside accountants, Park &amp; Braithwaite (where Mr. Fitterer was employed), for the preparation of tax returns. Normally, the income and expenses were divided equally between Bhora and Mhinder for tax purposes.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410</w:t>
      </w:r>
      <w:r>
        <w:rPr>
          <w:rFonts w:ascii="arial" w:eastAsia="arial" w:hAnsi="arial" w:cs="arial"/>
          <w:color w:val="000000"/>
          <w:sz w:val="20"/>
          <w:lang w:val="en-US" w:eastAsia="en-US" w:bidi="ar-SA"/>
        </w:rPr>
        <w:t>  Gina changed this practice beginning in 2001. That year, she stopped paying the net rents over to OCL and instead paid the rental monies from trust properties (in the name of Bhora and Mhinder) into a joint bank account she had with Bhora. She continued, however, to provide an accounting to Mr. Furnemont, who continued preparing schedules of rents and expenses for inclusion in the tax returns. Bhora was now receiving income upon which Mhinder was paying tax. This continued through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411</w:t>
      </w:r>
      <w:r>
        <w:rPr>
          <w:rFonts w:ascii="arial" w:eastAsia="arial" w:hAnsi="arial" w:cs="arial"/>
          <w:color w:val="000000"/>
          <w:sz w:val="20"/>
          <w:lang w:val="en-US" w:eastAsia="en-US" w:bidi="ar-SA"/>
        </w:rPr>
        <w:t>  What happened is not disputed. Why it happened is another matter. Bhora and Gina endeavoured to explain how this came to pass, and once again I found it difficult to make sense of their explanation. The real question is whether Mhinder knew and approved of the practice. It is his evidence that he did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412</w:t>
      </w:r>
      <w:r>
        <w:rPr>
          <w:rFonts w:ascii="arial" w:eastAsia="arial" w:hAnsi="arial" w:cs="arial"/>
          <w:color w:val="000000"/>
          <w:sz w:val="20"/>
          <w:lang w:val="en-US" w:eastAsia="en-US" w:bidi="ar-SA"/>
        </w:rPr>
        <w:t>  Bhora said that the practice started because he was not being paid a salary in 2001, unlike Mhinder who was paid as an employee of Island Aggregates. He could not simply take a draw, Bhora said, as OCL was short of cash. Marc Furnemont therefore proposed that he hold on to all of the rents in lieu of taking a salary.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413</w:t>
      </w:r>
      <w:r>
        <w:rPr>
          <w:rFonts w:ascii="arial" w:eastAsia="arial" w:hAnsi="arial" w:cs="arial"/>
          <w:color w:val="000000"/>
          <w:sz w:val="20"/>
          <w:lang w:val="en-US" w:eastAsia="en-US" w:bidi="ar-SA"/>
        </w:rPr>
        <w:t>  According to Bhora, Mhinder knew of this, and supported it. Bhora described a conversation among Gina, Mhinder, Mr. Furnemont and him at Fast Eddie's restaurant in Nanaimo. Gina, he said, was unhappy with the arrangement. She said to Mhinder that it was wrong that Bhora was not getting wages, but getting rent instead. Mhinder shut her down, saying, "Gina, what are you worried about? Marc knows what he's doing...and Bhora is getting his wages through the rent".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414</w:t>
      </w:r>
      <w:r>
        <w:rPr>
          <w:rFonts w:ascii="arial" w:eastAsia="arial" w:hAnsi="arial" w:cs="arial"/>
          <w:color w:val="000000"/>
          <w:sz w:val="20"/>
          <w:lang w:val="en-US" w:eastAsia="en-US" w:bidi="ar-SA"/>
        </w:rPr>
        <w:t>  Gina gave a similar account, explaining that the change was urged on her by Bhora and Mr. Furnemont. When she told the others she was uncomfortable with it during the lunch at Fast Eddie's, and would rather that Bhora received a salary, she quoted Mhinder as responding, "What difference does it make to you? Marc looks after it. Do you want to pay more taxes?"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415</w:t>
      </w:r>
      <w:r>
        <w:rPr>
          <w:rFonts w:ascii="arial" w:eastAsia="arial" w:hAnsi="arial" w:cs="arial"/>
          <w:color w:val="000000"/>
          <w:sz w:val="20"/>
          <w:lang w:val="en-US" w:eastAsia="en-US" w:bidi="ar-SA"/>
        </w:rPr>
        <w:t>  Both gave somewhat inconsistent evidence elsewhere. But my real difficulty with their explanation is that it does not accord with common sense. The evidence did not indicate that OCL was short of cash and unable to pay a salary to Bhora. If it was, why not pay all of the rent over to OCL and take a portion back? Bhora's habit, as we have seen, was to withdraw funds from wherever they were available, so a salary was largely symbolic. And how would this arrangement save anyone tax? None of this was explained.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416</w:t>
      </w:r>
      <w:r>
        <w:rPr>
          <w:rFonts w:ascii="arial" w:eastAsia="arial" w:hAnsi="arial" w:cs="arial"/>
          <w:color w:val="000000"/>
          <w:sz w:val="20"/>
          <w:lang w:val="en-US" w:eastAsia="en-US" w:bidi="ar-SA"/>
        </w:rPr>
        <w:t>  Mr. Furnemont was also mystified. He testified that Bhora had come to him and explained that in order to take fewer draws from OCL, he was simply going to keep the rent money. This did not make accounting sense to Mr. Furnemont, who tried to explain to him that it made no difference whether he kept the rent and withdrew a lower amount from OCL, or deposited the rent and withdrew a larger amount from OCL. Bhora said, "No, Marc, I've talked about it with Gina and Mhindy, everybody figured it's simpler to do it this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417</w:t>
      </w:r>
      <w:r>
        <w:rPr>
          <w:rFonts w:ascii="arial" w:eastAsia="arial" w:hAnsi="arial" w:cs="arial"/>
          <w:color w:val="000000"/>
          <w:sz w:val="20"/>
          <w:lang w:val="en-US" w:eastAsia="en-US" w:bidi="ar-SA"/>
        </w:rPr>
        <w:t>  Mr. Furnemont acquiesced. From his perspective, while it made no sense in his accounting world, it also made no difference. This is because the effect of the equalization process meant that whether a brother received money in the form of rents otherwise payable to OCL or in the form of draws from OCL did not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418</w:t>
      </w:r>
      <w:r>
        <w:rPr>
          <w:rFonts w:ascii="arial" w:eastAsia="arial" w:hAnsi="arial" w:cs="arial"/>
          <w:color w:val="000000"/>
          <w:sz w:val="20"/>
          <w:lang w:val="en-US" w:eastAsia="en-US" w:bidi="ar-SA"/>
        </w:rPr>
        <w:t>  With respect to the question of how this practice came about, I am unable to accept the evidence of Bhora and Gina that it was Mr. Furnemont's suggestion. Mr. Furnemont's evidence makes more sense, and I prefer it. Mr. Furnemont was unable to say from his own knowledge that Mhinder was aware of this change in practice, and in all of the circumstances, I conclude that Mhinder was not. His alleged statements to Bhora and Gina at Fast Eddie's are not in accord with the surrounding circumstances or the evidence of Mr. Furnemont.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419</w:t>
      </w:r>
      <w:r>
        <w:rPr>
          <w:rFonts w:ascii="arial" w:eastAsia="arial" w:hAnsi="arial" w:cs="arial"/>
          <w:color w:val="000000"/>
          <w:sz w:val="20"/>
          <w:lang w:val="en-US" w:eastAsia="en-US" w:bidi="ar-SA"/>
        </w:rPr>
        <w:t>  But does it matter? According to Mr. Furnemont, it made no difference to the bottom line because of the way in which the shareholders' loans were equalized. I accept his evidence, but it was given in the context of his assumption that Mhinder was aware of the practice. I have found, however, he was not. The situation is accordingly different from Mhinder's claim arising out of the alleged imbalance in the draws. Here, there is clear evidence that Bhora was keeping amounts that in the accounting were attributed to Mhinder over the years in question, being 2001 through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420</w:t>
      </w:r>
      <w:r>
        <w:rPr>
          <w:rFonts w:ascii="arial" w:eastAsia="arial" w:hAnsi="arial" w:cs="arial"/>
          <w:color w:val="000000"/>
          <w:sz w:val="20"/>
          <w:lang w:val="en-US" w:eastAsia="en-US" w:bidi="ar-SA"/>
        </w:rPr>
        <w:t>  Unlike regular draws taken as needed pursuant to long-standing practice and clearly recorded in the books, keeping rents to oneself that were otherwise recorded as being received equally by the brothers would conceal what was happening from a brother who was unaware of what was going on. It would therefore violate the principle of equal benefit I have described in the previous section because of the lack of transparency. Withdrawing funds in accordance with one's needs satisfies the spirit of the agreement only if it is done openly. In this instance, I find, it was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421</w:t>
      </w:r>
      <w:r>
        <w:rPr>
          <w:rFonts w:ascii="arial" w:eastAsia="arial" w:hAnsi="arial" w:cs="arial"/>
          <w:color w:val="000000"/>
          <w:sz w:val="20"/>
          <w:lang w:val="en-US" w:eastAsia="en-US" w:bidi="ar-SA"/>
        </w:rPr>
        <w:t>  It follows that, notwithstanding Mr. Furnemont's evidence, we cannot know whether Mhinder would have objected had he known, or what Bhora would have done had the practice been halted. I therefore conclude that Mhinder is entitled to an accounting from Bhora for all of the rents collected by Gina over the years 2001-2006 that were paid into Bhora's and Gina's joint account. This shall be referred to the Registrar if the parties are unable to 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 THE CLAIMS RELATING TO D &amp; A CRUSHING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8.1 </w:t>
      </w:r>
      <w:r>
        <w:rPr>
          <w:rFonts w:ascii="arial" w:eastAsia="arial" w:hAnsi="arial" w:cs="arial"/>
          <w:b/>
          <w:color w:val="000000"/>
          <w:sz w:val="20"/>
          <w:u w:val="single"/>
          <w:lang w:val="en-US" w:eastAsia="en-US" w:bidi="ar-SA"/>
        </w:rPr>
        <w:t>Overview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422</w:t>
      </w:r>
      <w:r>
        <w:rPr>
          <w:rFonts w:ascii="arial" w:eastAsia="arial" w:hAnsi="arial" w:cs="arial"/>
          <w:color w:val="000000"/>
          <w:sz w:val="20"/>
          <w:lang w:val="en-US" w:eastAsia="en-US" w:bidi="ar-SA"/>
        </w:rPr>
        <w:t>  No one disputes that, since its inception, the registered owners of the shares in D &amp; A, first Dan Allarie, then Kelly Mayer, did not hold the beneficial interest in those shares, but held them in trust. The question is, for whom? It was never in the name of one of the brothers, and was not part of the brothers' trust. Nothing was ever put in writing, at least not until Kelly signed her acknowledgement of trust on January 24, 2002, in which she purported to confirm that she held the common shares of D &amp; A in trust for Bhora and Mhinder. But was she in a position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423</w:t>
      </w:r>
      <w:r>
        <w:rPr>
          <w:rFonts w:ascii="arial" w:eastAsia="arial" w:hAnsi="arial" w:cs="arial"/>
          <w:color w:val="000000"/>
          <w:sz w:val="20"/>
          <w:lang w:val="en-US" w:eastAsia="en-US" w:bidi="ar-SA"/>
        </w:rPr>
        <w:t>  Mhinder contends that it was always understood that the beneficial owners were him and Bhora, and that Kelly confirmed this when she signed her acknowledgement of trust on January 24, 2002. Unlike the circumstances surrounding the acknowledgements of trust signed by Richard, Rita and Gina, no one told Kelly that the document was not intended to be legally binding, and Kelly did not take it that way. That is why she crossed out the paragraph that dealt with her properties. She did not dispute that she held D &amp; A in trust, but was not about to agree that she held her properties in trust for anyone.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424</w:t>
      </w:r>
      <w:r>
        <w:rPr>
          <w:rFonts w:ascii="arial" w:eastAsia="arial" w:hAnsi="arial" w:cs="arial"/>
          <w:color w:val="000000"/>
          <w:sz w:val="20"/>
          <w:lang w:val="en-US" w:eastAsia="en-US" w:bidi="ar-SA"/>
        </w:rPr>
        <w:t>  Richard and Bhora both maintain that the company's beneficial owner is, and was always intended to be, Richard. Indeed, it was created to supply Richard's company, Nanaimo Concrete. That, they say, was the point of its existence. Although there is no trust deed to this effect, Richard submits that the court should find that Kelly holds the shares of D &amp; A in trust for Richard pursuant to either an intentional trust or a substantive constructive trust. On this basis, Richard asserts, it would be unconscionable for Kelly to retain the shares, and they should be transferred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425</w:t>
      </w:r>
      <w:r>
        <w:rPr>
          <w:rFonts w:ascii="arial" w:eastAsia="arial" w:hAnsi="arial" w:cs="arial"/>
          <w:color w:val="000000"/>
          <w:sz w:val="20"/>
          <w:lang w:val="en-US" w:eastAsia="en-US" w:bidi="ar-SA"/>
        </w:rPr>
        <w:t>  This matters not just in relation to the ownership of the company and its assets, but also in relation to D &amp; A's claims against Island Aggregates, NCC, Bastion Management, Richard Mayer and Bhora Mayer for damages for conversion, and against NCC, Island Aggregates and Bastion Management for compensation for work performed. These claims have been pursued by D &amp; A at the direction of Kelly. If I find that Richard is the beneficial owner of D &amp; A and is entitled to have the shares transferred to him, these claims will presumably be abandoned.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426</w:t>
      </w:r>
      <w:r>
        <w:rPr>
          <w:rFonts w:ascii="arial" w:eastAsia="arial" w:hAnsi="arial" w:cs="arial"/>
          <w:color w:val="000000"/>
          <w:sz w:val="20"/>
          <w:lang w:val="en-US" w:eastAsia="en-US" w:bidi="ar-SA"/>
        </w:rPr>
        <w:t>  The difficulty, as we shall see, is that during the years of its operation, no one paid much attention to the status of D &amp; A, at least until Bhora and Mhinder fell out. As we have seen in other contexts, as long as things were going well, no one seemed to care very much. All would benefit. But just as with the Lehigh sale, the prospect of all benefiting from cooperation among businesses owned by family members did not necessarily give rise to equitable interests.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427</w:t>
      </w:r>
      <w:r>
        <w:rPr>
          <w:rFonts w:ascii="arial" w:eastAsia="arial" w:hAnsi="arial" w:cs="arial"/>
          <w:color w:val="000000"/>
          <w:sz w:val="20"/>
          <w:lang w:val="en-US" w:eastAsia="en-US" w:bidi="ar-SA"/>
        </w:rPr>
        <w:t>  Matters came to a head in the first half of 2007, and it will be necessary to consider those events in the wider context of that tumultuous period. But to resolve these issues, we have to begin at the beginning.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8.2 </w:t>
      </w:r>
      <w:r>
        <w:rPr>
          <w:rFonts w:ascii="arial" w:eastAsia="arial" w:hAnsi="arial" w:cs="arial"/>
          <w:b/>
          <w:color w:val="000000"/>
          <w:sz w:val="20"/>
          <w:u w:val="single"/>
          <w:lang w:val="en-US" w:eastAsia="en-US" w:bidi="ar-SA"/>
        </w:rPr>
        <w:t>Pre-history: Spruston Aggregates Ltd</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428</w:t>
      </w:r>
      <w:r>
        <w:rPr>
          <w:rFonts w:ascii="arial" w:eastAsia="arial" w:hAnsi="arial" w:cs="arial"/>
          <w:color w:val="000000"/>
          <w:sz w:val="20"/>
          <w:lang w:val="en-US" w:eastAsia="en-US" w:bidi="ar-SA"/>
        </w:rPr>
        <w:t>  Crushing operations at the Spruston Pit had been historically conducted through Spruston Aggregates Ltd, a company within the brothers' trust. This company was the subject of Bhagwan's first lawsuit, which I mentioned in paragraph 50 above. There, Bhagwan claimed that while Spruston Aggregates' shares were registered in the name of Marc Furnemont, Mr. Furnemont held it in trust for the Mayer brothers.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429</w:t>
      </w:r>
      <w:r>
        <w:rPr>
          <w:rFonts w:ascii="arial" w:eastAsia="arial" w:hAnsi="arial" w:cs="arial"/>
          <w:color w:val="000000"/>
          <w:sz w:val="20"/>
          <w:lang w:val="en-US" w:eastAsia="en-US" w:bidi="ar-SA"/>
        </w:rPr>
        <w:t>  That trust was created on February 5, 1985, when the five brothers signed a formal trust deed by which Marc Furnemont became the registered shareholder of all of the shares of Spruston Aggregates and agreed to hold them in trust for the brothers.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430</w:t>
      </w:r>
      <w:r>
        <w:rPr>
          <w:rFonts w:ascii="arial" w:eastAsia="arial" w:hAnsi="arial" w:cs="arial"/>
          <w:color w:val="000000"/>
          <w:sz w:val="20"/>
          <w:lang w:val="en-US" w:eastAsia="en-US" w:bidi="ar-SA"/>
        </w:rPr>
        <w:t>  According to Mr. Furnemont, whose evidence on this aspect I accept, this came about at Bhagwan's request. Not long after Mr. Furnemont joined the Osborne Group, Bhagwan came to him and explained that there were union issues in that company. The brothers, he said, wanted someone not named Mayer to be the face of the company when dealing with those issues. They wanted Mr. Furnemont to take on that role and represent the company in labour negotiations. The trust deed was accordingly prepared, this time professionally. Just how this assisted the brothers was not explored, but it is consistent with the development of the change in focus discussed above in section 5.4.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431</w:t>
      </w:r>
      <w:r>
        <w:rPr>
          <w:rFonts w:ascii="arial" w:eastAsia="arial" w:hAnsi="arial" w:cs="arial"/>
          <w:color w:val="000000"/>
          <w:sz w:val="20"/>
          <w:lang w:val="en-US" w:eastAsia="en-US" w:bidi="ar-SA"/>
        </w:rPr>
        <w:t>  Then, Mr. Furnemont testified, the brothers came to him four or five years later to say that they would like him to hold the shares for his own benefit, in appreciation for the work he had done for them. The idea was that he could run the business on his own and make some extra money on the side. According to an affidavit sworn by Bhora on January 14, 1993, in the context of Bhagwan's first lawsuit:</w:t>
      </w:r>
      <w:r>
        <w:rPr>
          <w:rFonts w:ascii="arial" w:eastAsia="arial" w:hAnsi="arial" w:cs="arial"/>
          <w:sz w:val="20"/>
          <w:lang w:val="en-US" w:eastAsia="en-US" w:bidi="ar-SA"/>
        </w:rPr>
        <w:cr/>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Marc Furnemont has been doing accounting work for the Osborne Group of companies since approximately 1984. In early 1989, my brothers Bhagwan and Mhinder Mayer and I wished to dissociate ourselves from the Company [Spruston Aggregates] for a number of reasons. We also agreed that we should reward Mr. Furnemont's conscientious work with an opportunity to establish himself in business and we agreed to allow Mr. Furnemont to have the shares of the company free from the trust arrangement. To that end we agreed to tear up the trust agreement dated February 5, 1985.</w:t>
      </w:r>
    </w:p>
    <w:p>
      <w:pPr>
        <w:numPr>
          <w:numId w:val="38"/>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At that time the company had no equity but the intention was that Mr. Furnemont would operate the company and retain any profits from doing so.</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Furnemont has not held the shares of the company in trust for the Mayer Brothers since early 1989.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432</w:t>
      </w:r>
      <w:r>
        <w:rPr>
          <w:rFonts w:ascii="arial" w:eastAsia="arial" w:hAnsi="arial" w:cs="arial"/>
          <w:color w:val="000000"/>
          <w:sz w:val="20"/>
          <w:lang w:val="en-US" w:eastAsia="en-US" w:bidi="ar-SA"/>
        </w:rPr>
        <w:t>  Once again, this approach was consistent with the change in focus discussed in section 5.4 above. The timing fits with the establishment of Nanaimo Concrete at the end of 1988.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433</w:t>
      </w:r>
      <w:r>
        <w:rPr>
          <w:rFonts w:ascii="arial" w:eastAsia="arial" w:hAnsi="arial" w:cs="arial"/>
          <w:color w:val="000000"/>
          <w:sz w:val="20"/>
          <w:lang w:val="en-US" w:eastAsia="en-US" w:bidi="ar-SA"/>
        </w:rPr>
        <w:t>  But, as Mr. Furnemont ruefully confessed, directing a gravel crushing operation was not his forte. He ran the gravel pit for about three years, he testified. The company continued for a short time after that before he realized he simply was not cut out for that business, and Spruston Aggregates ceased gravel crushing and screening activities at the Spruston Pit. There was little to the operation then. OCL owned the pit; all Spruston Aggregates had by that time was some old equipment and the right to use it. Nanaimo Concrete carried out some crushing and washing after Spruston Aggregates stopped.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434</w:t>
      </w:r>
      <w:r>
        <w:rPr>
          <w:rFonts w:ascii="arial" w:eastAsia="arial" w:hAnsi="arial" w:cs="arial"/>
          <w:color w:val="000000"/>
          <w:sz w:val="20"/>
          <w:lang w:val="en-US" w:eastAsia="en-US" w:bidi="ar-SA"/>
        </w:rPr>
        <w:t>  Replacing that operation led to the incorporation of D &amp; A on August 9, 1993. From that time until July 20, 2000, the sole director, officer and registered shareholder was Mr. Allarie. It is not disputed that he held those shares in trust, but nothing was recorded that identified the beneficiary, or, for that matter, the settlor. The property most certainly did not come from Mr. Allarie.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8.3 </w:t>
      </w:r>
      <w:r>
        <w:rPr>
          <w:rFonts w:ascii="arial" w:eastAsia="arial" w:hAnsi="arial" w:cs="arial"/>
          <w:b/>
          <w:color w:val="000000"/>
          <w:sz w:val="20"/>
          <w:u w:val="single"/>
          <w:lang w:val="en-US" w:eastAsia="en-US" w:bidi="ar-SA"/>
        </w:rPr>
        <w:t>The Allarie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8.3.1 </w:t>
      </w:r>
      <w:r>
        <w:rPr>
          <w:rFonts w:ascii="arial" w:eastAsia="arial" w:hAnsi="arial" w:cs="arial"/>
          <w:b/>
          <w:i/>
          <w:color w:val="000000"/>
          <w:sz w:val="20"/>
          <w:lang w:val="en-US" w:eastAsia="en-US" w:bidi="ar-SA"/>
        </w:rPr>
        <w:t>Furnemont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435</w:t>
      </w:r>
      <w:r>
        <w:rPr>
          <w:rFonts w:ascii="arial" w:eastAsia="arial" w:hAnsi="arial" w:cs="arial"/>
          <w:color w:val="000000"/>
          <w:sz w:val="20"/>
          <w:lang w:val="en-US" w:eastAsia="en-US" w:bidi="ar-SA"/>
        </w:rPr>
        <w:t>  According to Mr. Furnemont, he was introduced to Dan Allarie and was told that Mr. Allarie was going to be setting up a company that would be carrying on the crushing and screening at the Spruston Pit. Mr. Furnemont could not recall who introduced him to Mr. Allarie. He proceeded to incorporate the company and set up the books. He did not recall any specific discussion about who owned the company other than Mr. Allarie.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8.3.2 </w:t>
      </w:r>
      <w:r>
        <w:rPr>
          <w:rFonts w:ascii="arial" w:eastAsia="arial" w:hAnsi="arial" w:cs="arial"/>
          <w:b/>
          <w:i/>
          <w:color w:val="000000"/>
          <w:sz w:val="20"/>
          <w:lang w:val="en-US" w:eastAsia="en-US" w:bidi="ar-SA"/>
        </w:rPr>
        <w:t>Bhora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436</w:t>
      </w:r>
      <w:r>
        <w:rPr>
          <w:rFonts w:ascii="arial" w:eastAsia="arial" w:hAnsi="arial" w:cs="arial"/>
          <w:color w:val="000000"/>
          <w:sz w:val="20"/>
          <w:lang w:val="en-US" w:eastAsia="en-US" w:bidi="ar-SA"/>
        </w:rPr>
        <w:t>  Bhora testified that it was Richard who expressed an interest in taking over the operations that Spruston Aggregates had abandoned. But, said Bhora, he and Mr. Furnemont told him that he should not get directly involved because the operation had been union certified. If Richard took over the operation, it might allow the union to certify at Nanaimo Concrete. They therefore told Richard that he should not show any legal interest in the operation and should not tell people, including employees, that it was his business. For that reason, the shares were put in the name of someone from outside the family (as had been done with Mr. Furnemont in relation to Spruston Aggregates), being Dan Allarie.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437</w:t>
      </w:r>
      <w:r>
        <w:rPr>
          <w:rFonts w:ascii="arial" w:eastAsia="arial" w:hAnsi="arial" w:cs="arial"/>
          <w:color w:val="000000"/>
          <w:sz w:val="20"/>
          <w:lang w:val="en-US" w:eastAsia="en-US" w:bidi="ar-SA"/>
        </w:rPr>
        <w:t>  Mr. Allarie, explained Bhora, was a person with crushing experience who was looking for work. He came in from Alberta and was hired by Nanaimo Concrete while D &amp; A was set up. But the beneficial interest was intended to be Richard's, Bhora explained, and the company's purpose was to carry out crushing and washing for Nanaimo Concrete.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8.3.3 </w:t>
      </w:r>
      <w:r>
        <w:rPr>
          <w:rFonts w:ascii="arial" w:eastAsia="arial" w:hAnsi="arial" w:cs="arial"/>
          <w:b/>
          <w:i/>
          <w:color w:val="000000"/>
          <w:sz w:val="20"/>
          <w:lang w:val="en-US" w:eastAsia="en-US" w:bidi="ar-SA"/>
        </w:rPr>
        <w:t>Richard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438</w:t>
      </w:r>
      <w:r>
        <w:rPr>
          <w:rFonts w:ascii="arial" w:eastAsia="arial" w:hAnsi="arial" w:cs="arial"/>
          <w:color w:val="000000"/>
          <w:sz w:val="20"/>
          <w:lang w:val="en-US" w:eastAsia="en-US" w:bidi="ar-SA"/>
        </w:rPr>
        <w:t>  From the time that Richard established Nanaimo Concrete and acquired the Nanaimo ready-mix business in 1988, he got his gravel from the Spruston Pit, through Spruston Aggregates. He was unclear about who owned Spruston Aggregates.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439</w:t>
      </w:r>
      <w:r>
        <w:rPr>
          <w:rFonts w:ascii="arial" w:eastAsia="arial" w:hAnsi="arial" w:cs="arial"/>
          <w:color w:val="000000"/>
          <w:sz w:val="20"/>
          <w:lang w:val="en-US" w:eastAsia="en-US" w:bidi="ar-SA"/>
        </w:rPr>
        <w:t>  In the early 1990s, Richard testified, he learned that Spruston Aggregates was going to cease operations. He still needed materials, and so Nanaimo Concrete picked up running the operation, which was not extensive. Richard would send employees out to run the wash plant. He also acquired crushing equipment, so that Nanaimo Concrete could take over crushing operations.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440</w:t>
      </w:r>
      <w:r>
        <w:rPr>
          <w:rFonts w:ascii="arial" w:eastAsia="arial" w:hAnsi="arial" w:cs="arial"/>
          <w:color w:val="000000"/>
          <w:sz w:val="20"/>
          <w:lang w:val="en-US" w:eastAsia="en-US" w:bidi="ar-SA"/>
        </w:rPr>
        <w:t>  According to Richard, it was Mhinder who suggested to him that it would be a good idea to keep the crushing operations separate from the concrete operation to avoid unionization issues, and the way to do this was to start another company. Dan Allarie was willing to do this. Mhinder explained to Richard that Dan Allarie would hold the shares and be the president, but he would hold the shares only until Richard wanted them to be in his name.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441</w:t>
      </w:r>
      <w:r>
        <w:rPr>
          <w:rFonts w:ascii="arial" w:eastAsia="arial" w:hAnsi="arial" w:cs="arial"/>
          <w:color w:val="000000"/>
          <w:sz w:val="20"/>
          <w:lang w:val="en-US" w:eastAsia="en-US" w:bidi="ar-SA"/>
        </w:rPr>
        <w:t>  Richard and Mhinder also discussed pricing. Once D &amp; A was underway, they would set a price per ton based on the cost to D &amp; A plus enough for maintenance of the equipment.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442</w:t>
      </w:r>
      <w:r>
        <w:rPr>
          <w:rFonts w:ascii="arial" w:eastAsia="arial" w:hAnsi="arial" w:cs="arial"/>
          <w:color w:val="000000"/>
          <w:sz w:val="20"/>
          <w:lang w:val="en-US" w:eastAsia="en-US" w:bidi="ar-SA"/>
        </w:rPr>
        <w:t>  In 2000, Mhinder told Richard that Dan Allarie was leaving. Mhinder said that he had talked to Kelly, and she was willing to hold the shares for Richard. Richard testified that he was content with this (why this would be necessary was not explained).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8.3.4 </w:t>
      </w:r>
      <w:r>
        <w:rPr>
          <w:rFonts w:ascii="arial" w:eastAsia="arial" w:hAnsi="arial" w:cs="arial"/>
          <w:b/>
          <w:i/>
          <w:color w:val="000000"/>
          <w:sz w:val="20"/>
          <w:lang w:val="en-US" w:eastAsia="en-US" w:bidi="ar-SA"/>
        </w:rPr>
        <w:t>Allarie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443</w:t>
      </w:r>
      <w:r>
        <w:rPr>
          <w:rFonts w:ascii="arial" w:eastAsia="arial" w:hAnsi="arial" w:cs="arial"/>
          <w:color w:val="000000"/>
          <w:sz w:val="20"/>
          <w:lang w:val="en-US" w:eastAsia="en-US" w:bidi="ar-SA"/>
        </w:rPr>
        <w:t>  Mr. Allarie said that his first contact with the Mayer family was around Thanksgiving of 1991. He was looking for a job, and wrote to a number of potential employers, including the Mayco plant at Coombs (Arrowsmith). Mhinder was interested in his experience with crushing and screening, and offered him an interview. That went well, and Mr. Allarie moved from Alberta to Vancouver Island in early January 1992, when he became employed by Nanaimo Concrete. He understood that Mhinder was running Nanaimo Concrete. Richard, he believed, was running the batch plant and concrete trucks and gravel trucks.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444</w:t>
      </w:r>
      <w:r>
        <w:rPr>
          <w:rFonts w:ascii="arial" w:eastAsia="arial" w:hAnsi="arial" w:cs="arial"/>
          <w:color w:val="000000"/>
          <w:sz w:val="20"/>
          <w:lang w:val="en-US" w:eastAsia="en-US" w:bidi="ar-SA"/>
        </w:rPr>
        <w:t>  Mr. Allarie testified that his work at Nanaimo Concrete involved setting up a crushing plant. Mhinder explained to them that they wanted to set up a crushing spread so that they could do their own crushing for their concrete plant. When they got close to completing this, D &amp; A Crushing was created. In this, he dealt with Mhinder and Marc Furnemont. They wanted to get him on a salary to start up and run the crushing operation, and wanted his name on the company. He does not recall dealing with Bhora. He saw this as giving him job security, and the ability to approve how things were built.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445</w:t>
      </w:r>
      <w:r>
        <w:rPr>
          <w:rFonts w:ascii="arial" w:eastAsia="arial" w:hAnsi="arial" w:cs="arial"/>
          <w:color w:val="000000"/>
          <w:sz w:val="20"/>
          <w:lang w:val="en-US" w:eastAsia="en-US" w:bidi="ar-SA"/>
        </w:rPr>
        <w:t>  Mr. Allarie could not recall that D &amp; A was to be separate from Nanaimo Concrete to avoid union problems, although he had a vague recollection about an organizing drive going 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446</w:t>
      </w:r>
      <w:r>
        <w:rPr>
          <w:rFonts w:ascii="arial" w:eastAsia="arial" w:hAnsi="arial" w:cs="arial"/>
          <w:color w:val="000000"/>
          <w:sz w:val="20"/>
          <w:lang w:val="en-US" w:eastAsia="en-US" w:bidi="ar-SA"/>
        </w:rPr>
        <w:t>  Once operations were underway, Mr. Allarie was the foreman and running things, but Mhinder was the one who decided where they were going to crush (most of the crushing was at the Spruston Pit, but they crushed also at Duke Point, and at Whiskey Creek for Arrowsmith Concrete). Mhinder was also involved in the ongoing process of making conveyors and improving the crusher.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447</w:t>
      </w:r>
      <w:r>
        <w:rPr>
          <w:rFonts w:ascii="arial" w:eastAsia="arial" w:hAnsi="arial" w:cs="arial"/>
          <w:color w:val="000000"/>
          <w:sz w:val="20"/>
          <w:lang w:val="en-US" w:eastAsia="en-US" w:bidi="ar-SA"/>
        </w:rPr>
        <w:t>  Mr. Allarie was asked who he understood was the owner of the equipment being used for the crushing operation. He gave two somewhat inconsistent answers. The first was that "as far as I realized it was Mhindy and the Mayer Brothers". The second was that he thought the equipment "was part of the company". With respect to the ownership of D &amp; A, the following exchange took place: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What was your understanding about who owned D &amp; 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I understood it was pretty well Mhindy and the Mayer brothers.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And what, if anything, was your understanding about who owned the Spruston Pit?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That, I believe, was under Island Aggregates, I'm not sure. I think it was Mhindy. Mhindy Mayer's.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448</w:t>
      </w:r>
      <w:r>
        <w:rPr>
          <w:rFonts w:ascii="arial" w:eastAsia="arial" w:hAnsi="arial" w:cs="arial"/>
          <w:color w:val="000000"/>
          <w:sz w:val="20"/>
          <w:lang w:val="en-US" w:eastAsia="en-US" w:bidi="ar-SA"/>
        </w:rPr>
        <w:t>  I give no weight to Mr. Allarie's evidence about corporate ownership or the ownership of equipment, not because of any problem with his credibility, but because this was clearly not a matter to which he turned his mind in any way that would assist in resolving the issue, and his recollection is in any event unreliable. The Spruston Pit was owned by OCL until it was purchased by NCC in 2001. Island Aggregates did not exist until Nanaimo Concrete was sold to Lehigh in 2001. Both these events took place after Mr. Allarie left D &amp; A in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449</w:t>
      </w:r>
      <w:r>
        <w:rPr>
          <w:rFonts w:ascii="arial" w:eastAsia="arial" w:hAnsi="arial" w:cs="arial"/>
          <w:color w:val="000000"/>
          <w:sz w:val="20"/>
          <w:lang w:val="en-US" w:eastAsia="en-US" w:bidi="ar-SA"/>
        </w:rPr>
        <w:t>  Moreover, Mr. Allarie acknowledged that no one told him expressly who owned D &amp; A, and it is only natural that most of his contact would be with Mhinder, the operations man. Accordingly, it is not surprising that to Mr. Allarie, Mhinder was the Mayer who was principally involved in the operation. During Mr. Allarie's tenure, nearly all of D &amp; A's product went to Nanaimo Concrete. About once a year, they would go to Whiskey Creek and crush for Arrowsmith.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450</w:t>
      </w:r>
      <w:r>
        <w:rPr>
          <w:rFonts w:ascii="arial" w:eastAsia="arial" w:hAnsi="arial" w:cs="arial"/>
          <w:color w:val="000000"/>
          <w:sz w:val="20"/>
          <w:lang w:val="en-US" w:eastAsia="en-US" w:bidi="ar-SA"/>
        </w:rPr>
        <w:t>  In 2000, Mr. Allarie had to return to Alberta for family reasons. At that time, he signed over his shares. He cannot recall how the discussion went. His recollection is limited, but as far as he understood, it was Mhinder and Mr. Furnemont who dealt with the transfer of his shares to Kelly.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8.4 </w:t>
      </w:r>
      <w:r>
        <w:rPr>
          <w:rFonts w:ascii="arial" w:eastAsia="arial" w:hAnsi="arial" w:cs="arial"/>
          <w:b/>
          <w:color w:val="000000"/>
          <w:sz w:val="20"/>
          <w:u w:val="single"/>
          <w:lang w:val="en-US" w:eastAsia="en-US" w:bidi="ar-SA"/>
        </w:rPr>
        <w:t>The Kelly years through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8.4.1 </w:t>
      </w:r>
      <w:r>
        <w:rPr>
          <w:rFonts w:ascii="arial" w:eastAsia="arial" w:hAnsi="arial" w:cs="arial"/>
          <w:b/>
          <w:i/>
          <w:color w:val="000000"/>
          <w:sz w:val="20"/>
          <w:lang w:val="en-US" w:eastAsia="en-US" w:bidi="ar-SA"/>
        </w:rPr>
        <w:t>Kelly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451</w:t>
      </w:r>
      <w:r>
        <w:rPr>
          <w:rFonts w:ascii="arial" w:eastAsia="arial" w:hAnsi="arial" w:cs="arial"/>
          <w:color w:val="000000"/>
          <w:sz w:val="20"/>
          <w:lang w:val="en-US" w:eastAsia="en-US" w:bidi="ar-SA"/>
        </w:rPr>
        <w:t>  Kelly became director and sole shareholder of D &amp; A on July 20, 2000. She testified that Mhinder told her that they needed someone to take the company over because Dan Allarie was leaving for Alberta. Kelly protested that she knew nothing about the company, but Mhinder told her to go see Marc Furnemont, and she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452</w:t>
      </w:r>
      <w:r>
        <w:rPr>
          <w:rFonts w:ascii="arial" w:eastAsia="arial" w:hAnsi="arial" w:cs="arial"/>
          <w:color w:val="000000"/>
          <w:sz w:val="20"/>
          <w:lang w:val="en-US" w:eastAsia="en-US" w:bidi="ar-SA"/>
        </w:rPr>
        <w:t>  According to Kelly, Mr. Furnemont told her that they needed to put the company into the name of a family person in order to take advantage of the small business tax credit. Kelly agreed to do this. At the time, she thought that it was Mhinder's company, but, she said, she later learned that Bhora owned it too. She was not in fact told it was Mhinder's company, but assumed that it was. I pause to note that just as with Mr. Allarie, Kelly's understanding in the absence of documentation is of little assistance. Her understanding clearly varied, the source was usually her husband (who was hardly disinterested) and at one time she took the position that the company was entirely 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453</w:t>
      </w:r>
      <w:r>
        <w:rPr>
          <w:rFonts w:ascii="arial" w:eastAsia="arial" w:hAnsi="arial" w:cs="arial"/>
          <w:color w:val="000000"/>
          <w:sz w:val="20"/>
          <w:lang w:val="en-US" w:eastAsia="en-US" w:bidi="ar-SA"/>
        </w:rPr>
        <w:t>  In 2002, as we have seen, Kelly signed a declaration of trust that Mr. Furnemont had drafted on the instructions of Bhora and Mhinder, declaring that she held D &amp; A in trust for the two brothers. It was Mhinder who asked her to sign it, and she had no difficulty with that aspect of the document as it accorded with her understanding.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454</w:t>
      </w:r>
      <w:r>
        <w:rPr>
          <w:rFonts w:ascii="arial" w:eastAsia="arial" w:hAnsi="arial" w:cs="arial"/>
          <w:color w:val="000000"/>
          <w:sz w:val="20"/>
          <w:lang w:val="en-US" w:eastAsia="en-US" w:bidi="ar-SA"/>
        </w:rPr>
        <w:t>  Kelly described her role with D &amp; A as looking after accounts receivable and payable, signing cheques, attending auctions with her husband, and looking after brokerage and borrowing matters. She was paid a wage. Marc Furnemont directed the office staff about how to make up bills and what to bill for crushing, and reviewed banking. He would also set the prices for crushing, including screening and washing, and would measure the gravel piles at the pit.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455</w:t>
      </w:r>
      <w:r>
        <w:rPr>
          <w:rFonts w:ascii="arial" w:eastAsia="arial" w:hAnsi="arial" w:cs="arial"/>
          <w:color w:val="000000"/>
          <w:sz w:val="20"/>
          <w:lang w:val="en-US" w:eastAsia="en-US" w:bidi="ar-SA"/>
        </w:rPr>
        <w:t>  Kelly believed that she signed the transfer portion on the back of the share certificates at the time she first met with Mr. Furnemont, understanding from him that this was to make it easier to transfer the shares in the event of her death.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8.4.2 </w:t>
      </w:r>
      <w:r>
        <w:rPr>
          <w:rFonts w:ascii="arial" w:eastAsia="arial" w:hAnsi="arial" w:cs="arial"/>
          <w:b/>
          <w:i/>
          <w:color w:val="000000"/>
          <w:sz w:val="20"/>
          <w:lang w:val="en-US" w:eastAsia="en-US" w:bidi="ar-SA"/>
        </w:rPr>
        <w:t>Furnemont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456</w:t>
      </w:r>
      <w:r>
        <w:rPr>
          <w:rFonts w:ascii="arial" w:eastAsia="arial" w:hAnsi="arial" w:cs="arial"/>
          <w:color w:val="000000"/>
          <w:sz w:val="20"/>
          <w:lang w:val="en-US" w:eastAsia="en-US" w:bidi="ar-SA"/>
        </w:rPr>
        <w:t>  Mr. Furnemont seems to have been the person who administered D &amp; A. He testified that in 2000, Bhora came to him and explained that Mr. Allarie was moving to Alberta, and that Kelly would take over the crushing business. There was no discussion about her holding the shares in trust for anyone.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457</w:t>
      </w:r>
      <w:r>
        <w:rPr>
          <w:rFonts w:ascii="arial" w:eastAsia="arial" w:hAnsi="arial" w:cs="arial"/>
          <w:color w:val="000000"/>
          <w:sz w:val="20"/>
          <w:lang w:val="en-US" w:eastAsia="en-US" w:bidi="ar-SA"/>
        </w:rPr>
        <w:t>  Mr. Furnemont sat down with Kelly and reviewed the financial statements, explaining where the company was. He said that he was not sure she knew about accounting matters, and wanted to discuss "a few things that I felt any owner should be involved in". There was no discussion about a need to put it in her name in order to take advantage of the small business tax rate, or about the small business tax rate at all. There was also, he said, no discussion about signing off on the share certificates so that they could be transferred more easily on her death.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458</w:t>
      </w:r>
      <w:r>
        <w:rPr>
          <w:rFonts w:ascii="arial" w:eastAsia="arial" w:hAnsi="arial" w:cs="arial"/>
          <w:color w:val="000000"/>
          <w:sz w:val="20"/>
          <w:lang w:val="en-US" w:eastAsia="en-US" w:bidi="ar-SA"/>
        </w:rPr>
        <w:t>  For the years 2003 and 2004, Mr. Furnemont prepared invoices from D &amp; A to Island Aggregates billing for price adjustments based on actual production. The price adjustment billed for 2003 was just under $100,000, while that for 2004 was nearly $170,000. These were based on discussions with Richard about how the business was growing, and how D &amp; A was producing a lot for Island Aggregates. If it continued to produce at such levels, it would need additional resources to buy equipment that would enable it to keep servicing Island Aggregates' needs. The idea was to pay a bit more now so that D &amp; A was in a better position to borrow funds in the future to increase its capacity. The adjustment was based on an additional $1.00 per ton. A similar adjustment was made for 2005 at the rate of $0.75 per ton. Mr. Furnemont described this as part of the long-term planning to make sure production would be sustainable. Richard agreed, and the changes were made. It is noteworthy that this discussion involved only Richard and Mr. Furnemont, and did not include Kelly, Mhinder or Bhora.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459</w:t>
      </w:r>
      <w:r>
        <w:rPr>
          <w:rFonts w:ascii="arial" w:eastAsia="arial" w:hAnsi="arial" w:cs="arial"/>
          <w:color w:val="000000"/>
          <w:sz w:val="20"/>
          <w:lang w:val="en-US" w:eastAsia="en-US" w:bidi="ar-SA"/>
        </w:rPr>
        <w:t>  The total of these price adjustments in the years 2003-2005 came to just under $470,000, which Richard agreed Island Aggregates would pay.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8.5 </w:t>
      </w:r>
      <w:r>
        <w:rPr>
          <w:rFonts w:ascii="arial" w:eastAsia="arial" w:hAnsi="arial" w:cs="arial"/>
          <w:b/>
          <w:color w:val="000000"/>
          <w:sz w:val="20"/>
          <w:u w:val="single"/>
          <w:lang w:val="en-US" w:eastAsia="en-US" w:bidi="ar-SA"/>
        </w:rPr>
        <w:t>The events of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8.5.1 </w:t>
      </w:r>
      <w:r>
        <w:rPr>
          <w:rFonts w:ascii="arial" w:eastAsia="arial" w:hAnsi="arial" w:cs="arial"/>
          <w:b/>
          <w:i/>
          <w:color w:val="000000"/>
          <w:sz w:val="20"/>
          <w:lang w:val="en-US" w:eastAsia="en-US" w:bidi="ar-SA"/>
        </w:rPr>
        <w:t>Overview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460</w:t>
      </w:r>
      <w:r>
        <w:rPr>
          <w:rFonts w:ascii="arial" w:eastAsia="arial" w:hAnsi="arial" w:cs="arial"/>
          <w:color w:val="000000"/>
          <w:sz w:val="20"/>
          <w:lang w:val="en-US" w:eastAsia="en-US" w:bidi="ar-SA"/>
        </w:rPr>
        <w:t>  To this point, D &amp; A's business carried on relatively smoothly. That changed in 2007, along with so much else involving the Mayer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461</w:t>
      </w:r>
      <w:r>
        <w:rPr>
          <w:rFonts w:ascii="arial" w:eastAsia="arial" w:hAnsi="arial" w:cs="arial"/>
          <w:color w:val="000000"/>
          <w:sz w:val="20"/>
          <w:lang w:val="en-US" w:eastAsia="en-US" w:bidi="ar-SA"/>
        </w:rPr>
        <w:t>  In 2006, as we have seen, the Bhagwan litigation was settled. Mhinder had been employed by Nanaimo Concrete since its inception, and remained an employee of Island Aggregates after the Lehigh sale. For reasons no one could explain, Mhinder vanished from the payroll of Island Aggregates on May 20, 2004, and reappeared on January 3, 2006. It made no difference to his activities, or, seemingly, to anything else. His salaried income was a relatively small part of his total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462</w:t>
      </w:r>
      <w:r>
        <w:rPr>
          <w:rFonts w:ascii="arial" w:eastAsia="arial" w:hAnsi="arial" w:cs="arial"/>
          <w:color w:val="000000"/>
          <w:sz w:val="20"/>
          <w:lang w:val="en-US" w:eastAsia="en-US" w:bidi="ar-SA"/>
        </w:rPr>
        <w:t>  Although employed by Island Aggregates, Mhinder was active in a number of areas. He assisted Richard in the Duke Point project undertaken by NCC after Lehigh decided not to pursue the development of a cement terminal at Lot 14. Richard decided to pursue the development of a barge ramp facility, and Mhinder was in charge of the design and construction of the ramp. Mhinder also had some involvement in overseeing crushing operations at the Spruston Pit and at Duke Point. These, of course, involved D &amp; A as well as Island Aggregates. D &amp; A's operation at the Spruston Pit supplied sand and various types of gravel to Island Aggregates, which in turn supplied Lehigh and others. D &amp; A's operation at Duke Point supplied fill mined from Lot 11 for use by NCC in its Duke Point project on Lot 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463</w:t>
      </w:r>
      <w:r>
        <w:rPr>
          <w:rFonts w:ascii="arial" w:eastAsia="arial" w:hAnsi="arial" w:cs="arial"/>
          <w:color w:val="000000"/>
          <w:sz w:val="20"/>
          <w:lang w:val="en-US" w:eastAsia="en-US" w:bidi="ar-SA"/>
        </w:rPr>
        <w:t>  Mhinder was lending assistance as well in Rita's condominium development project at the Nanaimo waterfront.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464</w:t>
      </w:r>
      <w:r>
        <w:rPr>
          <w:rFonts w:ascii="arial" w:eastAsia="arial" w:hAnsi="arial" w:cs="arial"/>
          <w:color w:val="000000"/>
          <w:sz w:val="20"/>
          <w:lang w:val="en-US" w:eastAsia="en-US" w:bidi="ar-SA"/>
        </w:rPr>
        <w:t xml:space="preserve">  Then, as we move into 2007, a number of events occurred. Their precise timing, and the extent to which they are interrelated, are difficult to determine from the evidence of the participants, which was all over the map. In saying so, I do not mean to be critical. It is not at all surprising when five or six people give divergent evidence about a series of events they all experienced from different perspectives a decade ago. In fact, it is to be expected (as Akira Kurosawa illustrated in his celebrated film </w:t>
      </w:r>
      <w:r>
        <w:rPr>
          <w:rFonts w:ascii="arial" w:eastAsia="arial" w:hAnsi="arial" w:cs="arial"/>
          <w:i/>
          <w:color w:val="000000"/>
          <w:sz w:val="20"/>
          <w:lang w:val="en-US" w:eastAsia="en-US" w:bidi="ar-SA"/>
        </w:rPr>
        <w:t>Rashomon</w:t>
      </w:r>
      <w:r>
        <w:rPr>
          <w:rFonts w:ascii="arial" w:eastAsia="arial" w:hAnsi="arial" w:cs="arial"/>
          <w:color w:val="000000"/>
          <w:sz w:val="20"/>
          <w:lang w:val="en-US" w:eastAsia="en-US" w:bidi="ar-SA"/>
        </w:rPr>
        <w:t>), and I must sort it out as best I can.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8.5.2 </w:t>
      </w:r>
      <w:r>
        <w:rPr>
          <w:rFonts w:ascii="arial" w:eastAsia="arial" w:hAnsi="arial" w:cs="arial"/>
          <w:b/>
          <w:i/>
          <w:color w:val="000000"/>
          <w:sz w:val="20"/>
          <w:lang w:val="en-US" w:eastAsia="en-US" w:bidi="ar-SA"/>
        </w:rPr>
        <w:t>January and February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465</w:t>
      </w:r>
      <w:r>
        <w:rPr>
          <w:rFonts w:ascii="arial" w:eastAsia="arial" w:hAnsi="arial" w:cs="arial"/>
          <w:color w:val="000000"/>
          <w:sz w:val="20"/>
          <w:lang w:val="en-US" w:eastAsia="en-US" w:bidi="ar-SA"/>
        </w:rPr>
        <w:t>  By January 2007, Richard found that he was having cash flow problems with Island Aggregates. One of the ways he sought to address this was to borrow funds. He testified that he went first to Mhinder, who could not provide any funds himself. Mhinder suggested that he asked Marc Furnemont whether OCL had any money to lend. Marc Furnemont indicated that OCL could lend $300,000, to which Bhora agreed. This led to the well-documented loan from OCL to Island Aggregates of $300,000 advanced March 16, 2007, to which Mhinder subsequently objected, and which was later subordinated to the BDC loan.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466</w:t>
      </w:r>
      <w:r>
        <w:rPr>
          <w:rFonts w:ascii="arial" w:eastAsia="arial" w:hAnsi="arial" w:cs="arial"/>
          <w:color w:val="000000"/>
          <w:sz w:val="20"/>
          <w:lang w:val="en-US" w:eastAsia="en-US" w:bidi="ar-SA"/>
        </w:rPr>
        <w:t>  Another way Richard dealt with his cash flow difficulties was to review the costs he was incurring for the supply of materials from D &amp; A. Two problems emerged. One was what Richard concluded was the pricing charged by D &amp; A, to which he had agreed earlier in discussions with Mr. Furnemont. This was now eating into what little profit he could make on the sale of the processed materials to Mayco (Lehigh). The other was an apparent mysterious shortfall in D &amp; A's inventory. Both of these, it would appear, came to Richard's attention around the same time, in late January 2007. The matter of the pricing, I find, he proceeded to deal with fairly quickly, in early to mid-February, by raising the issue with Mhinder. The question of the shortfall in inventory required investigation, and took longer to come to the fore.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467</w:t>
      </w:r>
      <w:r>
        <w:rPr>
          <w:rFonts w:ascii="arial" w:eastAsia="arial" w:hAnsi="arial" w:cs="arial"/>
          <w:color w:val="000000"/>
          <w:sz w:val="20"/>
          <w:lang w:val="en-US" w:eastAsia="en-US" w:bidi="ar-SA"/>
        </w:rPr>
        <w:t>  Then, in approximately the middle of February, Mhinder sought a meeting with Richard and Rita. It is worth remembering that over the years, Richard and Rita had developed a closer relationship with Mhinder than they had with their own father. It is not clear to what extent that remained the case by this time; it certainly was no longer the case afterwards.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468</w:t>
      </w:r>
      <w:r>
        <w:rPr>
          <w:rFonts w:ascii="arial" w:eastAsia="arial" w:hAnsi="arial" w:cs="arial"/>
          <w:color w:val="000000"/>
          <w:sz w:val="20"/>
          <w:lang w:val="en-US" w:eastAsia="en-US" w:bidi="ar-SA"/>
        </w:rPr>
        <w:t>  Rita testified that she had coffee with Mhinder in early 2007 before a meeting concerning the condominium development. Mhinder told her that he did not want to work with Bhora anymore. Rita suggested that he work it out with Bhora, and if he could not, wind up the trust assets, split them 50:50 and move on. Mhinder said he would never wind up the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469</w:t>
      </w:r>
      <w:r>
        <w:rPr>
          <w:rFonts w:ascii="arial" w:eastAsia="arial" w:hAnsi="arial" w:cs="arial"/>
          <w:color w:val="000000"/>
          <w:sz w:val="20"/>
          <w:lang w:val="en-US" w:eastAsia="en-US" w:bidi="ar-SA"/>
        </w:rPr>
        <w:t>  Perhaps a couple of weeks later, Mhinder met with Rita and Richard (I find this happened in the middle of February based on evidence from Richard). He reiterated that he did not want to work with Bhora anymore, but said that he did want to work with them. He made them an offer-the one that I suggested above (see para 288) was curiously similar to Bhora's description of Mhinder's justification for the acknowledgement of trust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470</w:t>
      </w:r>
      <w:r>
        <w:rPr>
          <w:rFonts w:ascii="arial" w:eastAsia="arial" w:hAnsi="arial" w:cs="arial"/>
          <w:color w:val="000000"/>
          <w:sz w:val="20"/>
          <w:lang w:val="en-US" w:eastAsia="en-US" w:bidi="ar-SA"/>
        </w:rPr>
        <w:t>  According to Rita, Mhinder proposed that they should transfer their properties and businesses to him, and pay him $10,000 per month net to manage them until he was 85. At that time, he would return the businesses and properties to them. He then pulled out the acknowledgement of trust documents that Richard and Rita had signed, telling them that if they did what he wanted, he would return these to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471</w:t>
      </w:r>
      <w:r>
        <w:rPr>
          <w:rFonts w:ascii="arial" w:eastAsia="arial" w:hAnsi="arial" w:cs="arial"/>
          <w:color w:val="000000"/>
          <w:sz w:val="20"/>
          <w:lang w:val="en-US" w:eastAsia="en-US" w:bidi="ar-SA"/>
        </w:rPr>
        <w:t>  Rita testified that she was utterly taken aback by this proposal, and hurt by his implied threat with the acknowledgement of trust documents that he had said he had destroyed. She asked him why he wanted these businesses in his name, and he answered that he needed them in his name--particularly Duke Point--"for his pride".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472</w:t>
      </w:r>
      <w:r>
        <w:rPr>
          <w:rFonts w:ascii="arial" w:eastAsia="arial" w:hAnsi="arial" w:cs="arial"/>
          <w:color w:val="000000"/>
          <w:sz w:val="20"/>
          <w:lang w:val="en-US" w:eastAsia="en-US" w:bidi="ar-SA"/>
        </w:rPr>
        <w:t>  Richard's recollection of the proposal was a bit different. He testified that Mhinder made what he described as a "demand" for 60% of the Duke Point project, 50% of the gravel pit and control of the Front Street condominium project. Richard did not mention properties, which Rita specifically recalled. Mhinder, he said, sought wages of $10,000 per month till he was 85, at which time he would return the controlling interests in the three projects. Richard, too, was surprised and dismayed by Mhinder pulling out the acknowledgements of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473</w:t>
      </w:r>
      <w:r>
        <w:rPr>
          <w:rFonts w:ascii="arial" w:eastAsia="arial" w:hAnsi="arial" w:cs="arial"/>
          <w:color w:val="000000"/>
          <w:sz w:val="20"/>
          <w:lang w:val="en-US" w:eastAsia="en-US" w:bidi="ar-SA"/>
        </w:rPr>
        <w:t>  Richard said that Mhinder was upset as he discussed this, and pounded the table. Richard was stunned. He testified that the meeting came to an end, and then Mhinder called the following Sunday (February 25) to ask if Rita and he would accept his terms. Richard told him no. At that point, Mhinder essentially resigned. He told Richard that he would have to go by himself to a meeting to take place the following day in Vancouver concerning the Duke Point project (Mhinder had been scheduled to attend it), and made it clear that he was not prepared to help Richard anymore.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474</w:t>
      </w:r>
      <w:r>
        <w:rPr>
          <w:rFonts w:ascii="arial" w:eastAsia="arial" w:hAnsi="arial" w:cs="arial"/>
          <w:color w:val="000000"/>
          <w:sz w:val="20"/>
          <w:lang w:val="en-US" w:eastAsia="en-US" w:bidi="ar-SA"/>
        </w:rPr>
        <w:t>  That was the end of Mhinder's employment with Island Aggregates. Richard gave some confusing evidence about this. He said on the one hand that he and Mhinder did not argue about this, and that he took it as an indication that Mhinder was tired and stressed out, expecting him to come around after a little time off. At the same time, he talked about being at loggerheads with Mhinder about D &amp; A's pricing, and very upset about Mhinder's demand for control of the businesses.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475</w:t>
      </w:r>
      <w:r>
        <w:rPr>
          <w:rFonts w:ascii="arial" w:eastAsia="arial" w:hAnsi="arial" w:cs="arial"/>
          <w:color w:val="000000"/>
          <w:sz w:val="20"/>
          <w:lang w:val="en-US" w:eastAsia="en-US" w:bidi="ar-SA"/>
        </w:rPr>
        <w:t>  Mhinder had quite a different take. He said that at the start of February 2007, things were fine with Bhora, but he had some personal concerns. At the meeting with Rita, he discussed that the condominium project was finally getting going, and that they had to stick with it. He said that he did not want Bhora to whip them into another venture because they did not have time for that. He therefore proposed to Rita that she and Richard put properties of which they owned 100% into his name as to 60% to make sure that they would not become encumbered. He said he would sign whatever papers were necessary to ensure that he would return the properties in 25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476</w:t>
      </w:r>
      <w:r>
        <w:rPr>
          <w:rFonts w:ascii="arial" w:eastAsia="arial" w:hAnsi="arial" w:cs="arial"/>
          <w:color w:val="000000"/>
          <w:sz w:val="20"/>
          <w:lang w:val="en-US" w:eastAsia="en-US" w:bidi="ar-SA"/>
        </w:rPr>
        <w:t>  Mhinder explained that he also wanted to complete the Duke Point project and revisit the cement terminal project that Lehigh had abandoned, putting up silos. He wanted to carry on with these existing projects, and not get the family distracted into new ventures. He thought that Rita was on board with this. He was wrong.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477</w:t>
      </w:r>
      <w:r>
        <w:rPr>
          <w:rFonts w:ascii="arial" w:eastAsia="arial" w:hAnsi="arial" w:cs="arial"/>
          <w:color w:val="000000"/>
          <w:sz w:val="20"/>
          <w:lang w:val="en-US" w:eastAsia="en-US" w:bidi="ar-SA"/>
        </w:rPr>
        <w:t>  Mhinder said that he then raised the same matters in a meeting with Richard and Rita where certain properties would be put 60% into Mhinder's name so they would not become encumbered, and he would return them in 25 years. He did not, he testified, raise any issue about being paid $10,000 a month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478</w:t>
      </w:r>
      <w:r>
        <w:rPr>
          <w:rFonts w:ascii="arial" w:eastAsia="arial" w:hAnsi="arial" w:cs="arial"/>
          <w:color w:val="000000"/>
          <w:sz w:val="20"/>
          <w:lang w:val="en-US" w:eastAsia="en-US" w:bidi="ar-SA"/>
        </w:rPr>
        <w:t>  By way of context, Mhinder explained that he wanted to protect these projects from being encumbered by Bhora to support new ventures Bhora might dream up. Notwithstanding that he began this part of his evidence by saying that things with Bhora were fine, Mhinder maintained that if he said "black", Bhora would say "white". He wanted to be sure that he was in a position to call all the shots, and felt better by approaching "the kids" first. He was surprised that they were not on board.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479</w:t>
      </w:r>
      <w:r>
        <w:rPr>
          <w:rFonts w:ascii="arial" w:eastAsia="arial" w:hAnsi="arial" w:cs="arial"/>
          <w:color w:val="000000"/>
          <w:sz w:val="20"/>
          <w:lang w:val="en-US" w:eastAsia="en-US" w:bidi="ar-SA"/>
        </w:rPr>
        <w:t>  According to Mhinder, this was followed up by a telephone call from Rita telling him that they were to meet that night at Bhora's office. At that meeting, Bhora lit into Mhinder right away, telling him that he had left the trust and was "outta here". Mhinder was floored, and said "I'm not". Rita asked him what he was going to do. He responded that if that is how "you kids" feel, he would carry on with the "brothers' trust stuff", starting with the cement plant at Gulf Coast Materials.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480</w:t>
      </w:r>
      <w:r>
        <w:rPr>
          <w:rFonts w:ascii="arial" w:eastAsia="arial" w:hAnsi="arial" w:cs="arial"/>
          <w:color w:val="000000"/>
          <w:sz w:val="20"/>
          <w:lang w:val="en-US" w:eastAsia="en-US" w:bidi="ar-SA"/>
        </w:rPr>
        <w:t>  It was after this, according to Mhinder, in late February 2007, when he spoke to Richard about the Duke Point project and told him that he was done, and would not attend the meeting scheduled for Vancouver.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481</w:t>
      </w:r>
      <w:r>
        <w:rPr>
          <w:rFonts w:ascii="arial" w:eastAsia="arial" w:hAnsi="arial" w:cs="arial"/>
          <w:color w:val="000000"/>
          <w:sz w:val="20"/>
          <w:lang w:val="en-US" w:eastAsia="en-US" w:bidi="ar-SA"/>
        </w:rPr>
        <w:t>  According to Bhora, Mhinder had spoken to him in January 2007 about Richard having some financial issues, and suggesting that Bhora talked to Mr. Furnemont about a loan from the Osborne Group. Bhora proceeded to do so, understanding that Mhinder agreed to this. This was the $300,000 loan from OCL to Island Aggregates.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482</w:t>
      </w:r>
      <w:r>
        <w:rPr>
          <w:rFonts w:ascii="arial" w:eastAsia="arial" w:hAnsi="arial" w:cs="arial"/>
          <w:color w:val="000000"/>
          <w:sz w:val="20"/>
          <w:lang w:val="en-US" w:eastAsia="en-US" w:bidi="ar-SA"/>
        </w:rPr>
        <w:t>  Bhora then spoke of what he believed were two telephone calls, the first one from Richard saying that Mhinder was not going to work for him and would not go to Vancouver for a meeting. This had left Richard in a tough spot. The next call was from Mhinder, telling him that Mhinder wanted nothing to do with working for him. He described Mhinder as becoming more remote, not saying much of anything, other than to make it clear that he did not want to have anything to do with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8.5.3 </w:t>
      </w:r>
      <w:r>
        <w:rPr>
          <w:rFonts w:ascii="arial" w:eastAsia="arial" w:hAnsi="arial" w:cs="arial"/>
          <w:b/>
          <w:i/>
          <w:color w:val="000000"/>
          <w:sz w:val="20"/>
          <w:lang w:val="en-US" w:eastAsia="en-US" w:bidi="ar-SA"/>
        </w:rPr>
        <w:t>March and April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8.5.3.1</w:t>
      </w:r>
      <w:r>
        <w:rPr>
          <w:rFonts w:ascii="arial" w:eastAsia="arial" w:hAnsi="arial" w:cs="arial"/>
          <w:color w:val="000000"/>
          <w:sz w:val="20"/>
          <w:lang w:val="en-US" w:eastAsia="en-US" w:bidi="ar-SA"/>
        </w:rPr>
        <w:t xml:space="preserve"> </w:t>
      </w:r>
      <w:r>
        <w:rPr>
          <w:rFonts w:ascii="arial" w:eastAsia="arial" w:hAnsi="arial" w:cs="arial"/>
          <w:color w:val="000000"/>
          <w:sz w:val="20"/>
          <w:u w:val="single"/>
          <w:lang w:val="en-US" w:eastAsia="en-US" w:bidi="ar-SA"/>
        </w:rPr>
        <w:t>Problems with D &amp; 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483</w:t>
      </w:r>
      <w:r>
        <w:rPr>
          <w:rFonts w:ascii="arial" w:eastAsia="arial" w:hAnsi="arial" w:cs="arial"/>
          <w:color w:val="000000"/>
          <w:sz w:val="20"/>
          <w:lang w:val="en-US" w:eastAsia="en-US" w:bidi="ar-SA"/>
        </w:rPr>
        <w:t>  Mhinder described how on March 1, 2007, Richard called a meeting with the senior staff at D &amp; A and told them all that Mhinder was not going to direct them any longer, and Richard would now be giving them direction. In his purportedly contemporaneous note of his discussion with those D &amp; A employees, dated March 1, 2007, Mhinder recorded: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Dan H[elgeson]. Dan A[llarie] and Blair said does Rick think he own's [</w:t>
      </w:r>
      <w:r>
        <w:rPr>
          <w:rFonts w:ascii="arial" w:eastAsia="arial" w:hAnsi="arial" w:cs="arial"/>
          <w:i/>
          <w:color w:val="000000"/>
          <w:sz w:val="20"/>
          <w:lang w:val="en-US" w:eastAsia="en-US" w:bidi="ar-SA"/>
        </w:rPr>
        <w:t>sic</w:t>
      </w:r>
      <w:r>
        <w:rPr>
          <w:rFonts w:ascii="arial" w:eastAsia="arial" w:hAnsi="arial" w:cs="arial"/>
          <w:color w:val="000000"/>
          <w:sz w:val="20"/>
          <w:lang w:val="en-US" w:eastAsia="en-US" w:bidi="ar-SA"/>
        </w:rPr>
        <w:t>] D &amp; A Crushing because they thought Kelly Mayer owned D &amp; 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told Dan H, Dan A &amp; Blair Rick does not own D &amp; A Crushing.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484</w:t>
      </w:r>
      <w:r>
        <w:rPr>
          <w:rFonts w:ascii="arial" w:eastAsia="arial" w:hAnsi="arial" w:cs="arial"/>
          <w:color w:val="000000"/>
          <w:sz w:val="20"/>
          <w:lang w:val="en-US" w:eastAsia="en-US" w:bidi="ar-SA"/>
        </w:rPr>
        <w:t>  Richard also testified about that meeting. Given Mhinder's resignation and Island Aggregates' need for aggregate production, Richard needed to make sure things were going to go smoothly at D &amp; A. He called together the senior staff to talk about equipment and production volumes. The meeting took place on March 5, 2007, which date accords with Dan Allarie's note of the meeting in his time records. It does not accord with Mhinder's note. According to Richard, Mhinder interrupted that meeting and told him that he had no business talking to "my guys". Mhinder's note does not mention that confrontation. I prefer Richard's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485</w:t>
      </w:r>
      <w:r>
        <w:rPr>
          <w:rFonts w:ascii="arial" w:eastAsia="arial" w:hAnsi="arial" w:cs="arial"/>
          <w:color w:val="000000"/>
          <w:sz w:val="20"/>
          <w:lang w:val="en-US" w:eastAsia="en-US" w:bidi="ar-SA"/>
        </w:rPr>
        <w:t>  Richard said that as a result of this confrontation, and some discussion about Kelly owning D &amp; A (which I find came from Mhinder, not from the employees), he took it upon himself to get the corporate records, only to discover that Kelly had beat him to the punch. She had already removed the share certificates from the corporate records office. He testified that he talked about this with Mhinder who said, 'if you have any issues regarding D &amp; A you talk to Kelly, she's in charge--it's nothing to do with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486</w:t>
      </w:r>
      <w:r>
        <w:rPr>
          <w:rFonts w:ascii="arial" w:eastAsia="arial" w:hAnsi="arial" w:cs="arial"/>
          <w:color w:val="000000"/>
          <w:sz w:val="20"/>
          <w:lang w:val="en-US" w:eastAsia="en-US" w:bidi="ar-SA"/>
        </w:rPr>
        <w:t>  According to Kelly, she went to the lawyer's office to pick up the shares because she wanted to ensure they were held safely while Mhinder and Bhora were involved in a dispute. It was not intended to be a pre-emptive move in terms of ownership. I am unable to accept that evidence. Whatever Kelly might have thought, and I found her generally to be a credible witness, I am satisfied that she did this on Mhinder's initiative precisely to pre-empt a move by Richard to assert ownership.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487</w:t>
      </w:r>
      <w:r>
        <w:rPr>
          <w:rFonts w:ascii="arial" w:eastAsia="arial" w:hAnsi="arial" w:cs="arial"/>
          <w:color w:val="000000"/>
          <w:sz w:val="20"/>
          <w:lang w:val="en-US" w:eastAsia="en-US" w:bidi="ar-SA"/>
        </w:rPr>
        <w:t>  Mhinder's notes include two different entries for March 2. The first records: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Met with Rick &amp; Rita in afternoon. Talked re maybe some compromises. i.e. I buy from Rick some waterfront land at Duke Pt.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488</w:t>
      </w:r>
      <w:r>
        <w:rPr>
          <w:rFonts w:ascii="arial" w:eastAsia="arial" w:hAnsi="arial" w:cs="arial"/>
          <w:color w:val="000000"/>
          <w:sz w:val="20"/>
          <w:lang w:val="en-US" w:eastAsia="en-US" w:bidi="ar-SA"/>
        </w:rPr>
        <w:t>  The second note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After talking to Marc I told Rick &amp; Rita that I would purchase the property where the silos were to be built, I would carry on and finish Duke Point property and I would pursue silos etc. and at my age 76 I would return it back to them. I would also make my will to this effect. I said I don't want litigation but if push I will.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489</w:t>
      </w:r>
      <w:r>
        <w:rPr>
          <w:rFonts w:ascii="arial" w:eastAsia="arial" w:hAnsi="arial" w:cs="arial"/>
          <w:color w:val="000000"/>
          <w:sz w:val="20"/>
          <w:lang w:val="en-US" w:eastAsia="en-US" w:bidi="ar-SA"/>
        </w:rPr>
        <w:t>  The two notes are inconsistent. The second seems to include the discussion Rita and Richard talked about in February, somewhat modified, while the second seems to suggest a compromise of that first proposal. According to Richard and Rita, whose evidence on this point I prefer, there was no such meeting other than the February 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490</w:t>
      </w:r>
      <w:r>
        <w:rPr>
          <w:rFonts w:ascii="arial" w:eastAsia="arial" w:hAnsi="arial" w:cs="arial"/>
          <w:color w:val="000000"/>
          <w:sz w:val="20"/>
          <w:lang w:val="en-US" w:eastAsia="en-US" w:bidi="ar-SA"/>
        </w:rPr>
        <w:t>  Mhinder records a note on March 5 to the effect that he had a meeting with Bhora and Richard in which he took them to assert that as of March 1, "You Mhindy have left". Mhinder told them that he did not want litigation, but "if I am pushed I will". He next recorded that he made an appointment with Randy Kaardal in Vancouver.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491</w:t>
      </w:r>
      <w:r>
        <w:rPr>
          <w:rFonts w:ascii="arial" w:eastAsia="arial" w:hAnsi="arial" w:cs="arial"/>
          <w:color w:val="000000"/>
          <w:sz w:val="20"/>
          <w:lang w:val="en-US" w:eastAsia="en-US" w:bidi="ar-SA"/>
        </w:rPr>
        <w:t>  This seems to equate to Mhinder's earlier evidence that he had been called to a meeting in February after his meeting with Richard and Rita, where Bhora told him that he was out of the trust. Richard could recall a meeting with Bhora and Mhinder where Mhinder complained about being unhappy with working with Bhora, but he could not recall any discussion about Mhinder being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492</w:t>
      </w:r>
      <w:r>
        <w:rPr>
          <w:rFonts w:ascii="arial" w:eastAsia="arial" w:hAnsi="arial" w:cs="arial"/>
          <w:color w:val="000000"/>
          <w:sz w:val="20"/>
          <w:lang w:val="en-US" w:eastAsia="en-US" w:bidi="ar-SA"/>
        </w:rPr>
        <w:t>  Mhinder made a diary note for March 10, 2007, recording a telephone call from Richard about who owned D &amp; A, and complaining that Kelly had picked up the shares, which only an owner could do [the shares were, of course, in Kelly's name]. There was a discussion about whether D &amp; A was a trust company at which time Mhinder raised the question of whether Gina's company, R &amp; G, was a trust company. Mhinder said to talk to Kelly.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493</w:t>
      </w:r>
      <w:r>
        <w:rPr>
          <w:rFonts w:ascii="arial" w:eastAsia="arial" w:hAnsi="arial" w:cs="arial"/>
          <w:color w:val="000000"/>
          <w:sz w:val="20"/>
          <w:lang w:val="en-US" w:eastAsia="en-US" w:bidi="ar-SA"/>
        </w:rPr>
        <w:t>  Richard agreed that he had a phone call with Mhinder, possibly that day, and an earlier discussion on March 7, also noted in Mhinder's diary. He did not agree about the contents of the discussions. According to Richard, he was very upset that Mhinder had interrupted his meeting at D &amp; A, and was asserting operational control. He was also upset that when he went to pick up the share certificates, Kelly had already taken them. But that was not his immediate focus. He knew that D &amp; A was not going to go anywhere. After all, Richard owned the company D &amp; A sold to, and the pit that D &amp; A worked in. His concern was making sure of his supply over the short term.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494</w:t>
      </w:r>
      <w:r>
        <w:rPr>
          <w:rFonts w:ascii="arial" w:eastAsia="arial" w:hAnsi="arial" w:cs="arial"/>
          <w:color w:val="000000"/>
          <w:sz w:val="20"/>
          <w:lang w:val="en-US" w:eastAsia="en-US" w:bidi="ar-SA"/>
        </w:rPr>
        <w:t>  In his entry for March 21, 2007, Mhinder recorded a meeting he attended with Rita, Bhora and Richard. His note indicates that Rita said that her understanding was that D &amp; A was "Mindy's [</w:t>
      </w:r>
      <w:r>
        <w:rPr>
          <w:rFonts w:ascii="arial" w:eastAsia="arial" w:hAnsi="arial" w:cs="arial"/>
          <w:i/>
          <w:color w:val="000000"/>
          <w:sz w:val="20"/>
          <w:lang w:val="en-US" w:eastAsia="en-US" w:bidi="ar-SA"/>
        </w:rPr>
        <w:t>sic</w:t>
      </w:r>
      <w:r>
        <w:rPr>
          <w:rFonts w:ascii="arial" w:eastAsia="arial" w:hAnsi="arial" w:cs="arial"/>
          <w:color w:val="000000"/>
          <w:sz w:val="20"/>
          <w:lang w:val="en-US" w:eastAsia="en-US" w:bidi="ar-SA"/>
        </w:rPr>
        <w:t>] &amp; Bhora's". Mhinder asked her in response, who owns R &amp; G, which Rita later replied, her mom. Mhinder's note goes on to record: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Rita said I &amp; Bhora should solve your differences and not take it out on Rick &amp; Rita. I said I could understand that Bhora and Gina give to their kids. But what drives me to give real estate, labour &amp; life to Rick and Rita. At the time of BHAG [</w:t>
      </w:r>
      <w:r>
        <w:rPr>
          <w:rFonts w:ascii="arial" w:eastAsia="arial" w:hAnsi="arial" w:cs="arial"/>
          <w:i/>
          <w:color w:val="000000"/>
          <w:sz w:val="20"/>
          <w:lang w:val="en-US" w:eastAsia="en-US" w:bidi="ar-SA"/>
        </w:rPr>
        <w:t>sic</w:t>
      </w:r>
      <w:r>
        <w:rPr>
          <w:rFonts w:ascii="arial" w:eastAsia="arial" w:hAnsi="arial" w:cs="arial"/>
          <w:color w:val="000000"/>
          <w:sz w:val="20"/>
          <w:lang w:val="en-US" w:eastAsia="en-US" w:bidi="ar-SA"/>
        </w:rPr>
        <w:t>] settlement both Rita &amp; Ricky said don't worry Mhindy, they will take care of me. I said that we have gone through a month now and I want now to retire from Rita's &amp; Rick's (so-called) business. I wanted $10,000/month (net) until 2032.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495</w:t>
      </w:r>
      <w:r>
        <w:rPr>
          <w:rFonts w:ascii="arial" w:eastAsia="arial" w:hAnsi="arial" w:cs="arial"/>
          <w:color w:val="000000"/>
          <w:sz w:val="20"/>
          <w:lang w:val="en-US" w:eastAsia="en-US" w:bidi="ar-SA"/>
        </w:rPr>
        <w:t>  Neither Richard nor Rita recalled such a meeting in March. They did recall a meeting in April attended by those persons together with Kelly and Gina, at which some of the same issues were discussed. Rita was clear that it was never her understanding that D &amp; A was "Mindy's &amp; Bhora's", and indeed she was surprised to hear Bhora say words to that effect at the April 19 meeting. I accept her evidence, and I am satisfied that Mhinder's note is self-corroborating reconstruction. It does, however, demonstrate how he perceived things, and the nature of his dissatisfaction.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496</w:t>
      </w:r>
      <w:r>
        <w:rPr>
          <w:rFonts w:ascii="arial" w:eastAsia="arial" w:hAnsi="arial" w:cs="arial"/>
          <w:color w:val="000000"/>
          <w:sz w:val="20"/>
          <w:lang w:val="en-US" w:eastAsia="en-US" w:bidi="ar-SA"/>
        </w:rPr>
        <w:t>  On March 27, Kelly Mayer, accompanied by Dan Helgesen and Dan Allarie, met with Richard at his Mack Nanaimo office. Kelly said that the meeting happened on March 24, but the March 27 date is confirmed by Mr. Allarie's time record. Richard testified that Kelly came to tell him what prices she had worked out for crushing. According to Richard, he had no interest in hearing from her once she made it clear that she was purporting to be the owner of D &amp; A, and he told her that he had nothing to say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497</w:t>
      </w:r>
      <w:r>
        <w:rPr>
          <w:rFonts w:ascii="arial" w:eastAsia="arial" w:hAnsi="arial" w:cs="arial"/>
          <w:color w:val="000000"/>
          <w:sz w:val="20"/>
          <w:lang w:val="en-US" w:eastAsia="en-US" w:bidi="ar-SA"/>
        </w:rPr>
        <w:t>  Dan Helgesen testified as a witness for Mhinder. He had been closely associated with Mhinder for many years, and it was during his cross examination that it emerged for the first time in this litigation that he and Mhinder had owned two properties together, although they were registered in Mr. Helgesen's name only.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498</w:t>
      </w:r>
      <w:r>
        <w:rPr>
          <w:rFonts w:ascii="arial" w:eastAsia="arial" w:hAnsi="arial" w:cs="arial"/>
          <w:color w:val="000000"/>
          <w:sz w:val="20"/>
          <w:lang w:val="en-US" w:eastAsia="en-US" w:bidi="ar-SA"/>
        </w:rPr>
        <w:t>  Mr. Helgesen's recollection of this meeting was that pricing was discussed, and that Richard said that he could get it done for what Mr. Helgesen viewed as a ridiculously low price, something in the range of $1/ton. In Mr. Helgesen's opinion, a more realistic cost per ton would be $2.50. He then testified that after this meeting, Kelly decided to stop crushing at the Spruston Pit because she understood that Richard would crush it himself if D &amp; A could not do it for his price. This was a unique perspective on how it came to be that D &amp; A halted crushing at the Spruston Pit. I found Mr. Helgesen's evidence to be generally unhelpful, particularly his gratuitous comments on who he thought owned various companies.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499</w:t>
      </w:r>
      <w:r>
        <w:rPr>
          <w:rFonts w:ascii="arial" w:eastAsia="arial" w:hAnsi="arial" w:cs="arial"/>
          <w:color w:val="000000"/>
          <w:sz w:val="20"/>
          <w:lang w:val="en-US" w:eastAsia="en-US" w:bidi="ar-SA"/>
        </w:rPr>
        <w:t>  Kelly's evidence did not match Mr. Helgesen's. She testified that the meeting was not about prices (which subject came up at a later meeting on April 19), but rather was for the purpose of discussing the quality of the crushing specifications. She could not recall whether they discussed the ownership of D &amp; 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500</w:t>
      </w:r>
      <w:r>
        <w:rPr>
          <w:rFonts w:ascii="arial" w:eastAsia="arial" w:hAnsi="arial" w:cs="arial"/>
          <w:color w:val="000000"/>
          <w:sz w:val="20"/>
          <w:lang w:val="en-US" w:eastAsia="en-US" w:bidi="ar-SA"/>
        </w:rPr>
        <w:t>  The next event of significance was Mhinder's purported discovery of the $300,000 loan from OCL to Island Aggregates, which had been paid out on March 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8.5.3.2</w:t>
      </w:r>
      <w:r>
        <w:rPr>
          <w:rFonts w:ascii="arial" w:eastAsia="arial" w:hAnsi="arial" w:cs="arial"/>
          <w:color w:val="000000"/>
          <w:sz w:val="20"/>
          <w:lang w:val="en-US" w:eastAsia="en-US" w:bidi="ar-SA"/>
        </w:rPr>
        <w:t xml:space="preserve"> </w:t>
      </w:r>
      <w:r>
        <w:rPr>
          <w:rFonts w:ascii="arial" w:eastAsia="arial" w:hAnsi="arial" w:cs="arial"/>
          <w:color w:val="000000"/>
          <w:sz w:val="20"/>
          <w:u w:val="single"/>
          <w:lang w:val="en-US" w:eastAsia="en-US" w:bidi="ar-SA"/>
        </w:rPr>
        <w:t>The $300,000 Loan - Mhinder's change in attitude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501</w:t>
      </w:r>
      <w:r>
        <w:rPr>
          <w:rFonts w:ascii="arial" w:eastAsia="arial" w:hAnsi="arial" w:cs="arial"/>
          <w:color w:val="000000"/>
          <w:sz w:val="20"/>
          <w:lang w:val="en-US" w:eastAsia="en-US" w:bidi="ar-SA"/>
        </w:rPr>
        <w:t>  In his diary, Mhinder recorded for March 23: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went to CIBC Nanaimo got the transaction slip &amp; found out that March 16/07 OC wrote a cheque for $300,000. I phoned Mark and asked him what the $300,000 cheq was for her. He said he didn't know &amp; would follow me back. Mark phoned me one hour later and informed me that it was a loan to Island Agg.</w:t>
      </w:r>
    </w:p>
    <w:p>
      <w:pPr>
        <w:numPr>
          <w:numId w:val="40"/>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 asked him why I wasn't informed of this. Mark said it was normal business &amp; at a great rate of return.</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also said that I had a discussion with Mark March 9/07 and that I wanted to be informed of all transactions of trust assets.</w:t>
      </w:r>
    </w:p>
    <w:p>
      <w:pPr>
        <w:numPr>
          <w:numId w:val="4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 was very unhappy as Mark works for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502</w:t>
      </w:r>
      <w:r>
        <w:rPr>
          <w:rFonts w:ascii="arial" w:eastAsia="arial" w:hAnsi="arial" w:cs="arial"/>
          <w:color w:val="000000"/>
          <w:sz w:val="20"/>
          <w:lang w:val="en-US" w:eastAsia="en-US" w:bidi="ar-SA"/>
        </w:rPr>
        <w:t>  There is no doubt that in March 2007, Mhinder began taking an un-customarily close interest in the financial affairs of the brothers' trust. On March 9, 2007, he asked Marc Furnemont for a list of properties encumbered by mortgages, the details of Bhora's wages back to 1991, and a list of mortgages besides those relating to the Front Street project. He also told Mr. Furnemont that he wanted to be a signatory in relation to all purchases, sales, payments or relocation of trust assets. At that time, the signing authority was with Bhora and Mr. Furnemont, as it had been for many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503</w:t>
      </w:r>
      <w:r>
        <w:rPr>
          <w:rFonts w:ascii="arial" w:eastAsia="arial" w:hAnsi="arial" w:cs="arial"/>
          <w:color w:val="000000"/>
          <w:sz w:val="20"/>
          <w:lang w:val="en-US" w:eastAsia="en-US" w:bidi="ar-SA"/>
        </w:rPr>
        <w:t>  It was in response to this that Mr. Furnemont wrote to Bhora and Mhinder requesting them to confirm which companies were included in the Osborne Group. He included a list of all of the DTCs and ITCs plus D &amp; A, asking them each to initial whether they were or were not included in the Osborne Group. Interestingly, while Mhinder initialed all of the DTCs as not being included in the Osborne Group, he made no designation in relation to D &amp; 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504</w:t>
      </w:r>
      <w:r>
        <w:rPr>
          <w:rFonts w:ascii="arial" w:eastAsia="arial" w:hAnsi="arial" w:cs="arial"/>
          <w:color w:val="000000"/>
          <w:sz w:val="20"/>
          <w:lang w:val="en-US" w:eastAsia="en-US" w:bidi="ar-SA"/>
        </w:rPr>
        <w:t>  On March 12, 2007, Mr. Furnemont wrote to Mhinder, enclosing a list of trust properties and information pertaining to Bhora's wages. With respect to signing authority, 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You have also asked to sign all the cheques drawn on the Osborne Group accounts. I do not have the ability to change signing authorities at the bank. This is something that Bhora has to do in conjunction with you.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505</w:t>
      </w:r>
      <w:r>
        <w:rPr>
          <w:rFonts w:ascii="arial" w:eastAsia="arial" w:hAnsi="arial" w:cs="arial"/>
          <w:color w:val="000000"/>
          <w:sz w:val="20"/>
          <w:lang w:val="en-US" w:eastAsia="en-US" w:bidi="ar-SA"/>
        </w:rPr>
        <w:t>  There is also no doubt that in the latter part of March, Mhinder objected to the $300,000 loan from OCL to Island Aggregates. He maintained that he had not been asked about it, and insisted that the monies be replaced forthwith in OCL's account. That did not happen, and Mhinder includes this failure as part of his oppression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506</w:t>
      </w:r>
      <w:r>
        <w:rPr>
          <w:rFonts w:ascii="arial" w:eastAsia="arial" w:hAnsi="arial" w:cs="arial"/>
          <w:color w:val="000000"/>
          <w:sz w:val="20"/>
          <w:lang w:val="en-US" w:eastAsia="en-US" w:bidi="ar-SA"/>
        </w:rPr>
        <w:t>  It is, perhaps, possible that Mhinder was unaware until after March 16, 2007, of the full details of the loan from OCL to Island Aggregates. He was not a detail kind of man when it came to such matters. I find, however, that, as both Bhora and Richard testified, he had certainly approved in concept a loan to Island Aggregates in January 2007. Mhinder points to discrepancies in the evidence of Richard and Bhora about such matters as whether the amount of the loan was discussed with Mhinder, and who first proposed it. In the circumstances, these are to be expected, and their evidence, particularly that of Richard, nevertheless rings true. There is really no reason why Mhinder would not agree given the ease with which funds were transferred among members of the Mayer family, his relationship to Richard and to Island Aggregates and his general apathy towards administrative matters.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507</w:t>
      </w:r>
      <w:r>
        <w:rPr>
          <w:rFonts w:ascii="arial" w:eastAsia="arial" w:hAnsi="arial" w:cs="arial"/>
          <w:color w:val="000000"/>
          <w:sz w:val="20"/>
          <w:lang w:val="en-US" w:eastAsia="en-US" w:bidi="ar-SA"/>
        </w:rPr>
        <w:t>  What changed between January, when the loan was discussed and approved by both Mhinder and Bhora, and the middle of March, when the funds were advanced, was the entire relationship Mhinder had with his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508</w:t>
      </w:r>
      <w:r>
        <w:rPr>
          <w:rFonts w:ascii="arial" w:eastAsia="arial" w:hAnsi="arial" w:cs="arial"/>
          <w:color w:val="000000"/>
          <w:sz w:val="20"/>
          <w:lang w:val="en-US" w:eastAsia="en-US" w:bidi="ar-SA"/>
        </w:rPr>
        <w:t>  In the aftermath of the Bhagwan litigation, I find, Mhinder had become increasingly concerned about his status. The projects being managed by Richard and Rita were apparently thriving. While he was involved in those projects, Mhinder basically remained an employee (as he had been since Bhagwan's days) notwithstanding the large draws he was able to take from OCL. He was not in control of anything, and as reported by Rita, his pride was taking a beating. His proposal to take over control of Rita's and Richard's projects had been rebuffed. His influence at D &amp; A had been challenged. And he had withdrawn from his employment with Island Aggregates. He was feeling threatened, and consumed by questions of entitlement that Bhagwan had raised. He was no longer willing to cooperate. One casualty of this change, I find, was his attitude towards the $300,000 loan notwithstanding his earlier approval.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509</w:t>
      </w:r>
      <w:r>
        <w:rPr>
          <w:rFonts w:ascii="arial" w:eastAsia="arial" w:hAnsi="arial" w:cs="arial"/>
          <w:color w:val="000000"/>
          <w:sz w:val="20"/>
          <w:lang w:val="en-US" w:eastAsia="en-US" w:bidi="ar-SA"/>
        </w:rPr>
        <w:t>  His notes reflect his thinking at this time, but not, in most cases, the thinking of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8.5.3.3</w:t>
      </w:r>
      <w:r>
        <w:rPr>
          <w:rFonts w:ascii="arial" w:eastAsia="arial" w:hAnsi="arial" w:cs="arial"/>
          <w:color w:val="000000"/>
          <w:sz w:val="20"/>
          <w:lang w:val="en-US" w:eastAsia="en-US" w:bidi="ar-SA"/>
        </w:rPr>
        <w:t xml:space="preserve"> </w:t>
      </w:r>
      <w:r>
        <w:rPr>
          <w:rFonts w:ascii="arial" w:eastAsia="arial" w:hAnsi="arial" w:cs="arial"/>
          <w:color w:val="000000"/>
          <w:sz w:val="20"/>
          <w:u w:val="single"/>
          <w:lang w:val="en-US" w:eastAsia="en-US" w:bidi="ar-SA"/>
        </w:rPr>
        <w:t>The inventory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510</w:t>
      </w:r>
      <w:r>
        <w:rPr>
          <w:rFonts w:ascii="arial" w:eastAsia="arial" w:hAnsi="arial" w:cs="arial"/>
          <w:color w:val="000000"/>
          <w:sz w:val="20"/>
          <w:lang w:val="en-US" w:eastAsia="en-US" w:bidi="ar-SA"/>
        </w:rPr>
        <w:t>  The inventory shortfall, Richard testified, had been brought to his attention by Doug Lum, manager of Mayco, in late January 2007. Mr. Lum was in the habit of visiting the pit, and he told Richard that he was concerned about the amount of supply available in the event that he had a large job to fill. Richard went to the pit himself and noted that the piles were low. He talked to Dan Helgesen, who was managing the operations. He relayed his concerns to Mhinder. He went over the financials, and concluded both that the amounts charged by D &amp; A were high, and that they should have had much more supply on the ground than they did. He asked Marc Furnemont to check into it. Mhinder's attitude was that if there had been an error, it was not a big deal. It could be fixed.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511</w:t>
      </w:r>
      <w:r>
        <w:rPr>
          <w:rFonts w:ascii="arial" w:eastAsia="arial" w:hAnsi="arial" w:cs="arial"/>
          <w:color w:val="000000"/>
          <w:sz w:val="20"/>
          <w:lang w:val="en-US" w:eastAsia="en-US" w:bidi="ar-SA"/>
        </w:rPr>
        <w:t>  One of the tasks Mr. Furnemont performed for D &amp; A was measuring the stockpiles at the Spruston Pit twice a year. He reported that in mid-to-late February 2007, Richard called him to say that Island Aggregates had run out of a particular type of gravel, which made no sense as there should have been a lot in D &amp; A's inventory.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512</w:t>
      </w:r>
      <w:r>
        <w:rPr>
          <w:rFonts w:ascii="arial" w:eastAsia="arial" w:hAnsi="arial" w:cs="arial"/>
          <w:color w:val="000000"/>
          <w:sz w:val="20"/>
          <w:lang w:val="en-US" w:eastAsia="en-US" w:bidi="ar-SA"/>
        </w:rPr>
        <w:t>  Mr. Furnemont went straight to the pit and looked at the piles. There was indeed a lot less than he had expected. He went back to the physical inventory done two years before, at the end of 2004. He said that he did this in order to find where things had gone sideways. By tracking production records and sale records, he calculated that there was a significant shortfall between the inventory that should have been on hand given production records, and the actual physical inventory. It followed that D &amp; A's production records were significantly exaggerated. Applying the production price D &amp; A charged to Island Aggregates yielded an amount by which Island Aggregates had been overcharged. This totalled some $267,000. He concluded this review in late March. Mr. Furnemont said that he reviewed this individually with both Richard and Kelly, and explained that D &amp; A would have to pay it back to Island Aggregates. He reported that Kelly seemed to accept this with a shrug.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513</w:t>
      </w:r>
      <w:r>
        <w:rPr>
          <w:rFonts w:ascii="arial" w:eastAsia="arial" w:hAnsi="arial" w:cs="arial"/>
          <w:color w:val="000000"/>
          <w:sz w:val="20"/>
          <w:lang w:val="en-US" w:eastAsia="en-US" w:bidi="ar-SA"/>
        </w:rPr>
        <w:t>  Mr. Furnemont never explained how this shortfall could have developed over a period during which he was responsible for checking the inventories twice a year. One would have expected the problem to have become apparent much earlier. For some reason it did not, and Mr. Furnemont seemed uninterested in discovering why that was. Nevertheless, I accept the evidence of Mr. Furnemont and Richard that a shortfall indeed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514</w:t>
      </w:r>
      <w:r>
        <w:rPr>
          <w:rFonts w:ascii="arial" w:eastAsia="arial" w:hAnsi="arial" w:cs="arial"/>
          <w:color w:val="000000"/>
          <w:sz w:val="20"/>
          <w:lang w:val="en-US" w:eastAsia="en-US" w:bidi="ar-SA"/>
        </w:rPr>
        <w:t>  Mhinder led evidence from Fred Lucht, Mr. Helgesen and Mr. Allarie about how production was tracked and measured. It is clear to me from their evidence (which was not always consistent) and from the records that there was very little precision at D &amp; A when it came to measuring production. It seemed a rather haphazard system, and the record keeping was highly questionable.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515</w:t>
      </w:r>
      <w:r>
        <w:rPr>
          <w:rFonts w:ascii="arial" w:eastAsia="arial" w:hAnsi="arial" w:cs="arial"/>
          <w:color w:val="000000"/>
          <w:sz w:val="20"/>
          <w:lang w:val="en-US" w:eastAsia="en-US" w:bidi="ar-SA"/>
        </w:rPr>
        <w:t>  Richard saw the inventory shortfall as a significant problem, and I conclude that he was justified in doing so. It impacted his core business. But I also find that its significance was enhanced in his mind by the dispute he was now having with Mhinder and Kelly about the ownership of D &amp; A. If, as he saw it, Kelly was now asserting ownership of D &amp; A, having secured the shares, she was going to have to pay him full value for the overstated production, and he would have to take steps to fix the inventory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516</w:t>
      </w:r>
      <w:r>
        <w:rPr>
          <w:rFonts w:ascii="arial" w:eastAsia="arial" w:hAnsi="arial" w:cs="arial"/>
          <w:color w:val="000000"/>
          <w:sz w:val="20"/>
          <w:lang w:val="en-US" w:eastAsia="en-US" w:bidi="ar-SA"/>
        </w:rPr>
        <w:t>  The upshot of this was two events that drove a further wedge between Bhora and Richard on the one hand, and Mhinder and Kelly on the other. These were an aggressive position taken by Richard on monies he claimed were owed by D &amp; A, including the inventory shortfall of $267,000; and an equally aggressive move at the Spruston Pit, where he brought in an outside company, Johel Brothers, to start crushing.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8.5.3.4</w:t>
      </w:r>
      <w:r>
        <w:rPr>
          <w:rFonts w:ascii="arial" w:eastAsia="arial" w:hAnsi="arial" w:cs="arial"/>
          <w:color w:val="000000"/>
          <w:sz w:val="20"/>
          <w:lang w:val="en-US" w:eastAsia="en-US" w:bidi="ar-SA"/>
        </w:rPr>
        <w:t xml:space="preserve"> </w:t>
      </w:r>
      <w:r>
        <w:rPr>
          <w:rFonts w:ascii="arial" w:eastAsia="arial" w:hAnsi="arial" w:cs="arial"/>
          <w:color w:val="000000"/>
          <w:sz w:val="20"/>
          <w:u w:val="single"/>
          <w:lang w:val="en-US" w:eastAsia="en-US" w:bidi="ar-SA"/>
        </w:rPr>
        <w:t>The D &amp; A invoice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517</w:t>
      </w:r>
      <w:r>
        <w:rPr>
          <w:rFonts w:ascii="arial" w:eastAsia="arial" w:hAnsi="arial" w:cs="arial"/>
          <w:color w:val="000000"/>
          <w:sz w:val="20"/>
          <w:lang w:val="en-US" w:eastAsia="en-US" w:bidi="ar-SA"/>
        </w:rPr>
        <w:t>  As noted above, Mr. Furnemont reviewed with Kelly his findings about production shortfalls, indicating that Island Aggregates had been overbilled by D &amp; A. He produced five invoices making adjustments in this regard, totaling $267,000 plus GST. These adjustments had been processed, having been discussed by Richard and Mr. Furnemont. Kelly now learned of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518</w:t>
      </w:r>
      <w:r>
        <w:rPr>
          <w:rFonts w:ascii="arial" w:eastAsia="arial" w:hAnsi="arial" w:cs="arial"/>
          <w:color w:val="000000"/>
          <w:sz w:val="20"/>
          <w:lang w:val="en-US" w:eastAsia="en-US" w:bidi="ar-SA"/>
        </w:rPr>
        <w:t>  According to Kelly, Mr. Furnemont then produced a further invoice, or statement of adjustments, that included not only the adjustments for the alleged overbilling, but also adjustments for glass recycling fees claimed to be owing to Island Aggregates, and all rental charges for shop and office rental at Fry Street for the period from September 1993 right through to February 2007. With the inclusion of GST, the total now came to $511,256.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519</w:t>
      </w:r>
      <w:r>
        <w:rPr>
          <w:rFonts w:ascii="arial" w:eastAsia="arial" w:hAnsi="arial" w:cs="arial"/>
          <w:color w:val="000000"/>
          <w:sz w:val="20"/>
          <w:lang w:val="en-US" w:eastAsia="en-US" w:bidi="ar-SA"/>
        </w:rPr>
        <w:t>  Mr. Furnemont explained that he calculated the original production adjustments for overbilling, and reviewed them with Richard. Richard wondered what else was out there. Mr. Furnemont came across this question of glass recycling. D &amp; A accepted waste glass for recycling and charged the customers a dumping fee, even though the glass was dumped on property owned by NCC. D &amp; A would then process the glass into fill, and charge Island Aggregates for the processing. In the past (as Richard explained it) Island Aggregates received the recycling fees, including the dumping fee for glass. Richard thought it had been mistakenly credited to D &amp; A instead of Island Aggregates. In these circumstances, they decided it was appropriate to make a further adjustment to transfer the glass dumping fees from D &amp; A to Island Aggregates. If Island Aggregates was to pay for the processing, it should be credited with the dumping fee it had historically received.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520</w:t>
      </w:r>
      <w:r>
        <w:rPr>
          <w:rFonts w:ascii="arial" w:eastAsia="arial" w:hAnsi="arial" w:cs="arial"/>
          <w:color w:val="000000"/>
          <w:sz w:val="20"/>
          <w:lang w:val="en-US" w:eastAsia="en-US" w:bidi="ar-SA"/>
        </w:rPr>
        <w:t>  According to Mr. Furnemont, Richard then raised the question of the Fry Street rental charges. He was unhappy and feeling ripped off. D &amp; A used Richard's shop at Fry Street to store equipment and repair it. If it was not his company, then he was going to charge rental. That was accordingly calculated and included. Mr. Furnemont proceeded to make the adjustments in the books of the companies.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521</w:t>
      </w:r>
      <w:r>
        <w:rPr>
          <w:rFonts w:ascii="arial" w:eastAsia="arial" w:hAnsi="arial" w:cs="arial"/>
          <w:color w:val="000000"/>
          <w:sz w:val="20"/>
          <w:lang w:val="en-US" w:eastAsia="en-US" w:bidi="ar-SA"/>
        </w:rPr>
        <w:t>  He testified that he reviewed these with Kelly and that she raised no objection at the time. This did not last, and heated discussions followed later. She was particularly outraged that adjustments had been made to D &amp; A's accounts without her approval. In late April, Kelly sent memos to Mr. Furnemont requesting reversal of the credit memos relating to these charges, and advising that nothing was to be done involving D &amp; A without going through her. In the meantime, through her new accountant, D &amp; A applied for a GST rebate for all of the GST included in these adjustments.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8.5.3.5</w:t>
      </w:r>
      <w:r>
        <w:rPr>
          <w:rFonts w:ascii="arial" w:eastAsia="arial" w:hAnsi="arial" w:cs="arial"/>
          <w:color w:val="000000"/>
          <w:sz w:val="20"/>
          <w:lang w:val="en-US" w:eastAsia="en-US" w:bidi="ar-SA"/>
        </w:rPr>
        <w:t xml:space="preserve"> </w:t>
      </w:r>
      <w:r>
        <w:rPr>
          <w:rFonts w:ascii="arial" w:eastAsia="arial" w:hAnsi="arial" w:cs="arial"/>
          <w:color w:val="000000"/>
          <w:sz w:val="20"/>
          <w:u w:val="single"/>
          <w:lang w:val="en-US" w:eastAsia="en-US" w:bidi="ar-SA"/>
        </w:rPr>
        <w:t>Moves at the Spruston Pit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522</w:t>
      </w:r>
      <w:r>
        <w:rPr>
          <w:rFonts w:ascii="arial" w:eastAsia="arial" w:hAnsi="arial" w:cs="arial"/>
          <w:color w:val="000000"/>
          <w:sz w:val="20"/>
          <w:lang w:val="en-US" w:eastAsia="en-US" w:bidi="ar-SA"/>
        </w:rPr>
        <w:t>  In the meantime, in late March, Richard retained the Johel Brothers to move their equipment into the Spruston Pit and to commence crushing operations. He testified that this was necessary because D &amp; A simply was not producing what he needed, and was running into equipment problems. Mr. Helgesen gave very vague evidence about this, saying that the inventory may have been low for some of the product, but not all, and that the equipment was generally working, although things tend to break down from time to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523</w:t>
      </w:r>
      <w:r>
        <w:rPr>
          <w:rFonts w:ascii="arial" w:eastAsia="arial" w:hAnsi="arial" w:cs="arial"/>
          <w:color w:val="000000"/>
          <w:sz w:val="20"/>
          <w:lang w:val="en-US" w:eastAsia="en-US" w:bidi="ar-SA"/>
        </w:rPr>
        <w:t>  Mhinder attempted to portray this move as inspired by Bhora, but I am satisfied that it was Richard's move. Bhora did indeed assist him by helping direct the Johel Brothers when they set up at Richard's request, but I accept the evidence of Richard and Bhora that this was Richard's, not Bhora's, intervention. The pit, after all, was owned by Richard's company NCC, and its production went to his company Island Aggregates.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524</w:t>
      </w:r>
      <w:r>
        <w:rPr>
          <w:rFonts w:ascii="arial" w:eastAsia="arial" w:hAnsi="arial" w:cs="arial"/>
          <w:color w:val="000000"/>
          <w:sz w:val="20"/>
          <w:lang w:val="en-US" w:eastAsia="en-US" w:bidi="ar-SA"/>
        </w:rPr>
        <w:t>  Mhinder's note for March 26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Dan Hel. said @ 3:00 that Bhora was at Spruston directing Kelly Smith at the D8 to grade ground directly beside D &amp; A's crusher. Dan asked Bhora why they couldn't set up Johel's crusher further away from D &amp; A's crusher as there was lots of room. Bhora told Dan H that he wouldn't be needing down to crush any more.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Rick called me at 7:00 p.m. told me that D &amp; A would not be required to crush @ Spruston maybe later on with impactor for 11/4 rock. I asked Rick as D &amp; A has been crushing for 20 + years give them any notice. He said no.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525</w:t>
      </w:r>
      <w:r>
        <w:rPr>
          <w:rFonts w:ascii="arial" w:eastAsia="arial" w:hAnsi="arial" w:cs="arial"/>
          <w:color w:val="000000"/>
          <w:sz w:val="20"/>
          <w:lang w:val="en-US" w:eastAsia="en-US" w:bidi="ar-SA"/>
        </w:rPr>
        <w:t>  Richard denied any such conversation. He said that he was trying to be very quiet, and felt that he had no other option but to bring in an outside crusher. There was very little product on the ground at the Spruston Pit, and the equipment was not working properly. He was afraid that he would be left without any product. It was not his intention to kick anyone out, and D &amp; A did continue to crush for a period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526</w:t>
      </w:r>
      <w:r>
        <w:rPr>
          <w:rFonts w:ascii="arial" w:eastAsia="arial" w:hAnsi="arial" w:cs="arial"/>
          <w:color w:val="000000"/>
          <w:sz w:val="20"/>
          <w:lang w:val="en-US" w:eastAsia="en-US" w:bidi="ar-SA"/>
        </w:rPr>
        <w:t>  The Johel Brothers remained at Spruston Pit for two weeks. D &amp; A's records show some crushing production of its own in early April, but nothing at Spruston Pit after April 10. At that point, D &amp; A moved its generator out to Duke Point to do some crushing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8.5.3.6</w:t>
      </w:r>
      <w:r>
        <w:rPr>
          <w:rFonts w:ascii="arial" w:eastAsia="arial" w:hAnsi="arial" w:cs="arial"/>
          <w:color w:val="000000"/>
          <w:sz w:val="20"/>
          <w:lang w:val="en-US" w:eastAsia="en-US" w:bidi="ar-SA"/>
        </w:rPr>
        <w:t xml:space="preserve"> </w:t>
      </w:r>
      <w:r>
        <w:rPr>
          <w:rFonts w:ascii="arial" w:eastAsia="arial" w:hAnsi="arial" w:cs="arial"/>
          <w:color w:val="000000"/>
          <w:sz w:val="20"/>
          <w:u w:val="single"/>
          <w:lang w:val="en-US" w:eastAsia="en-US" w:bidi="ar-SA"/>
        </w:rPr>
        <w:t>Bhora files caveats and Mhinder enquires about rents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527</w:t>
      </w:r>
      <w:r>
        <w:rPr>
          <w:rFonts w:ascii="arial" w:eastAsia="arial" w:hAnsi="arial" w:cs="arial"/>
          <w:color w:val="000000"/>
          <w:sz w:val="20"/>
          <w:lang w:val="en-US" w:eastAsia="en-US" w:bidi="ar-SA"/>
        </w:rPr>
        <w:t>  As their relationship deteriorated in March 2007, Bhora took the position that Mhinder was improperly asserting sole ownership of five properties that were registered in Mhinder's name. This was not a position he had previously advanced. But, he testified, from his perspective it was a fundamental feature of the brothers' trust right from the outset that it did not matter in which brother's name a property was registered, it was an asset of the trust. "That," he said, "was one of the things that dad said... It didn't matter whose name it got put 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528</w:t>
      </w:r>
      <w:r>
        <w:rPr>
          <w:rFonts w:ascii="arial" w:eastAsia="arial" w:hAnsi="arial" w:cs="arial"/>
          <w:color w:val="000000"/>
          <w:sz w:val="20"/>
          <w:lang w:val="en-US" w:eastAsia="en-US" w:bidi="ar-SA"/>
        </w:rPr>
        <w:t>  To prevent Mhinder from dealing with these properties outside of the trust, Bhora filed caveats against them on March 22 and 23, 2007 (see paragraph 60 above) and subsequently commenced action. I deal with Bhora's claim that these properties are assets of the brothers' trust in section 9.0.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529</w:t>
      </w:r>
      <w:r>
        <w:rPr>
          <w:rFonts w:ascii="arial" w:eastAsia="arial" w:hAnsi="arial" w:cs="arial"/>
          <w:color w:val="000000"/>
          <w:sz w:val="20"/>
          <w:lang w:val="en-US" w:eastAsia="en-US" w:bidi="ar-SA"/>
        </w:rPr>
        <w:t>  On March 29, 2007, Mhinder wrote to Gina advising that any rents collected on properties registered solely in his name were to be remitted to him at the start of every month, and asking for information about the renters. He went 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understand from Marc Furnemont that since you have started collecting on my above rental properties he has not seen any of that money. With that I need a total report of all rent collected and an account of where you have desposed [</w:t>
      </w:r>
      <w:r>
        <w:rPr>
          <w:rFonts w:ascii="arial" w:eastAsia="arial" w:hAnsi="arial" w:cs="arial"/>
          <w:i/>
          <w:color w:val="000000"/>
          <w:sz w:val="20"/>
          <w:lang w:val="en-US" w:eastAsia="en-US" w:bidi="ar-SA"/>
        </w:rPr>
        <w:t>sic</w:t>
      </w:r>
      <w:r>
        <w:rPr>
          <w:rFonts w:ascii="arial" w:eastAsia="arial" w:hAnsi="arial" w:cs="arial"/>
          <w:color w:val="000000"/>
          <w:sz w:val="20"/>
          <w:lang w:val="en-US" w:eastAsia="en-US" w:bidi="ar-SA"/>
        </w:rPr>
        <w:t>] of the monies.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Mhinder hand-delivered the letter.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530</w:t>
      </w:r>
      <w:r>
        <w:rPr>
          <w:rFonts w:ascii="arial" w:eastAsia="arial" w:hAnsi="arial" w:cs="arial"/>
          <w:color w:val="000000"/>
          <w:sz w:val="20"/>
          <w:lang w:val="en-US" w:eastAsia="en-US" w:bidi="ar-SA"/>
        </w:rPr>
        <w:t>  Gina wrote back on April 4 asking Mhinder to clarify whether he was the sole owner of the properties he listed and asking which other properties he meant to include. The following day, Mhinder wrote back:</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Gina, after receiving your letter April 4/07 I asked Marc he said he has received no rents on some of the properties that you are said to manage.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Gina this is to inform you that you will not be collecting rent on properties that are in my name. Your services are no longer needed and I request an accounting of past rents collected by you.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531</w:t>
      </w:r>
      <w:r>
        <w:rPr>
          <w:rFonts w:ascii="arial" w:eastAsia="arial" w:hAnsi="arial" w:cs="arial"/>
          <w:color w:val="000000"/>
          <w:sz w:val="20"/>
          <w:lang w:val="en-US" w:eastAsia="en-US" w:bidi="ar-SA"/>
        </w:rPr>
        <w:t>  Gina did not respond to this letter. Mhinder contacted tenants to request that rents be remitted to him rather than Gina, but Gina continued to collect the rents.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532</w:t>
      </w:r>
      <w:r>
        <w:rPr>
          <w:rFonts w:ascii="arial" w:eastAsia="arial" w:hAnsi="arial" w:cs="arial"/>
          <w:color w:val="000000"/>
          <w:sz w:val="20"/>
          <w:lang w:val="en-US" w:eastAsia="en-US" w:bidi="ar-SA"/>
        </w:rPr>
        <w:t>  On April 27, 2007, Bhora wrote Mhinder noting that Gina had been collecting the rents for the past 15 years or more: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behalf of both of us, and the rents have been reported as income received by both of us.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you know, although your name appears on title to the Properties (exclusively, in some cases, and jointly with me, in others), the Properties are held in trust pursuant to Trust Agreements to which we are parties... On the basis of the trust, I have, as you know, lodged caveats against each of the Properties.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533</w:t>
      </w:r>
      <w:r>
        <w:rPr>
          <w:rFonts w:ascii="arial" w:eastAsia="arial" w:hAnsi="arial" w:cs="arial"/>
          <w:color w:val="000000"/>
          <w:sz w:val="20"/>
          <w:lang w:val="en-US" w:eastAsia="en-US" w:bidi="ar-SA"/>
        </w:rPr>
        <w:t>  Bhora went on to note that Gina had been collecting the rents and remitting the proceeds to OCL, but that, as discussed in section 7.3 above, was not true for the years 2001-2006.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8.5.3.7</w:t>
      </w:r>
      <w:r>
        <w:rPr>
          <w:rFonts w:ascii="arial" w:eastAsia="arial" w:hAnsi="arial" w:cs="arial"/>
          <w:color w:val="000000"/>
          <w:sz w:val="20"/>
          <w:lang w:val="en-US" w:eastAsia="en-US" w:bidi="ar-SA"/>
        </w:rPr>
        <w:t xml:space="preserve"> </w:t>
      </w:r>
      <w:r>
        <w:rPr>
          <w:rFonts w:ascii="arial" w:eastAsia="arial" w:hAnsi="arial" w:cs="arial"/>
          <w:color w:val="000000"/>
          <w:sz w:val="20"/>
          <w:u w:val="single"/>
          <w:lang w:val="en-US" w:eastAsia="en-US" w:bidi="ar-SA"/>
        </w:rPr>
        <w:t>The meeting of April 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534</w:t>
      </w:r>
      <w:r>
        <w:rPr>
          <w:rFonts w:ascii="arial" w:eastAsia="arial" w:hAnsi="arial" w:cs="arial"/>
          <w:color w:val="000000"/>
          <w:sz w:val="20"/>
          <w:lang w:val="en-US" w:eastAsia="en-US" w:bidi="ar-SA"/>
        </w:rPr>
        <w:t>  By April 19, on any view of the evidence, there were problems in the Mayer family. On this date, the family met at Bhora's office on Front Street to discuss them. Everyone was there: Bhora and Gina, Mhinder and Kelly, Richard and Rita.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535</w:t>
      </w:r>
      <w:r>
        <w:rPr>
          <w:rFonts w:ascii="arial" w:eastAsia="arial" w:hAnsi="arial" w:cs="arial"/>
          <w:color w:val="000000"/>
          <w:sz w:val="20"/>
          <w:lang w:val="en-US" w:eastAsia="en-US" w:bidi="ar-SA"/>
        </w:rPr>
        <w:t>  Mhinder made several pages of notes purporting to record what was discussed at this meeting. On the subject of the ownership of D &amp; A, Mhinder recorded: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Bhora says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 &amp; A was always held in trust for the Mayer family. This is quite well-established and will be proven.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Bhora says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 &amp; A is owned by Mhindy &amp; Bhora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Bhora says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Doug Lum says Island Agg not competitive, will [lose] contract.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Bhora says Rick has established new prices with Doug Lum.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Bhora [says] we must work </w:t>
      </w:r>
      <w:r>
        <w:rPr>
          <w:rFonts w:ascii="arial" w:eastAsia="arial" w:hAnsi="arial" w:cs="arial"/>
          <w:color w:val="000000"/>
          <w:sz w:val="20"/>
          <w:u w:val="single"/>
          <w:lang w:val="en-US" w:eastAsia="en-US" w:bidi="ar-SA"/>
        </w:rPr>
        <w:t>together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is going to take Bhora, Mhindy &amp; Kelly to figure out what to do.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Bhora's statement D &amp; A is [owned] by Mhindy &amp; Bhora. Kelly is holding D &amp; A in trust for Mhindy &amp; Bhora.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536</w:t>
      </w:r>
      <w:r>
        <w:rPr>
          <w:rFonts w:ascii="arial" w:eastAsia="arial" w:hAnsi="arial" w:cs="arial"/>
          <w:color w:val="000000"/>
          <w:sz w:val="20"/>
          <w:lang w:val="en-US" w:eastAsia="en-US" w:bidi="ar-SA"/>
        </w:rPr>
        <w:t>  Rita said that the discussion began with Kelly speaking for Mhinder, saying that it was she who owned D &amp; A. She does not recall Bhora saying anything about D &amp; A being "in trust for the Mayer family" but did recall him saying, to her surprise, that D &amp; A was owned by Mhindy and Bhora. She was surprised because, she testified, she had always understood that it was owned by Richard.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537</w:t>
      </w:r>
      <w:r>
        <w:rPr>
          <w:rFonts w:ascii="arial" w:eastAsia="arial" w:hAnsi="arial" w:cs="arial"/>
          <w:color w:val="000000"/>
          <w:sz w:val="20"/>
          <w:lang w:val="en-US" w:eastAsia="en-US" w:bidi="ar-SA"/>
        </w:rPr>
        <w:t>  Richard, too, recalled Bhora saying something about D &amp; A being owned by Mhindy and Bhora. He said that he asked Bhora about this afterwards because it was always his understanding (like Rita's) that D &amp; A was held in trust for him. Bhora, he said, replied that he was simply trying to stir things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538</w:t>
      </w:r>
      <w:r>
        <w:rPr>
          <w:rFonts w:ascii="arial" w:eastAsia="arial" w:hAnsi="arial" w:cs="arial"/>
          <w:color w:val="000000"/>
          <w:sz w:val="20"/>
          <w:lang w:val="en-US" w:eastAsia="en-US" w:bidi="ar-SA"/>
        </w:rPr>
        <w:t>  Bhora himself did not recall saying that he and Mhinder owned D &amp; A, but he did recall Kelly saying that she did. That made him quite unhappy. He did recall saying that they should all work together. He was feeling frustrated. Bhim had left, Bhagwan had left, and now Mhinder seem to be heading away. He was unable to do anything about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539</w:t>
      </w:r>
      <w:r>
        <w:rPr>
          <w:rFonts w:ascii="arial" w:eastAsia="arial" w:hAnsi="arial" w:cs="arial"/>
          <w:color w:val="000000"/>
          <w:sz w:val="20"/>
          <w:lang w:val="en-US" w:eastAsia="en-US" w:bidi="ar-SA"/>
        </w:rPr>
        <w:t>  Mhinder's notes record Rick saying that he did not want to kick anyone out, but that he could wash for $1.04/ton, and crush for $1.50/ton. Richard's recollection is that he talked about the prices needing to be reduced by $1.00/ton.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540</w:t>
      </w:r>
      <w:r>
        <w:rPr>
          <w:rFonts w:ascii="arial" w:eastAsia="arial" w:hAnsi="arial" w:cs="arial"/>
          <w:color w:val="000000"/>
          <w:sz w:val="20"/>
          <w:lang w:val="en-US" w:eastAsia="en-US" w:bidi="ar-SA"/>
        </w:rPr>
        <w:t>  Mhinder further records Kelly talking about the need to give back what Bhora and Mhindy had given to Rick &amp; Rita's businesses that got them where they are now. Rita testified that he could not remember Kelly saying this, but Kelly did try to take the lead in the meeting, and it is possible that she said this. Richard did recall Kelly saying words to this effect, the context being Mhinder again producing the acknowledgements of trust, and asking to be paid $10,000/month. Kelly was trying to justify that. Richard recalls arguing with Kelly, saying that she had not been around to see what happened with the businesses, and maintaining that he had paid for everything he had.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541</w:t>
      </w:r>
      <w:r>
        <w:rPr>
          <w:rFonts w:ascii="arial" w:eastAsia="arial" w:hAnsi="arial" w:cs="arial"/>
          <w:color w:val="000000"/>
          <w:sz w:val="20"/>
          <w:lang w:val="en-US" w:eastAsia="en-US" w:bidi="ar-SA"/>
        </w:rPr>
        <w:t>  There is then a further record of what Bhora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Bhora's talk.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it weren't for Mack &amp; Island when we were in court, we would not have survived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1988 - we were broke. [That's] why Rick took over Mayco. Bhagwan pleaded with [his eldest son] to take over Mayco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542</w:t>
      </w:r>
      <w:r>
        <w:rPr>
          <w:rFonts w:ascii="arial" w:eastAsia="arial" w:hAnsi="arial" w:cs="arial"/>
          <w:color w:val="000000"/>
          <w:sz w:val="20"/>
          <w:lang w:val="en-US" w:eastAsia="en-US" w:bidi="ar-SA"/>
        </w:rPr>
        <w:t>  Again, Rita could not remember these points being discussed, and thought it unlikely that anything would have been said about Bhagwan's son, but could not be sure. Richard also had no memory of this being discussed, but agreed it might have been. He noted that Bhagwan's son had never wanted to get into the business, and had come and gone as he pleased. His name had come up over the years from time to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543</w:t>
      </w:r>
      <w:r>
        <w:rPr>
          <w:rFonts w:ascii="arial" w:eastAsia="arial" w:hAnsi="arial" w:cs="arial"/>
          <w:color w:val="000000"/>
          <w:sz w:val="20"/>
          <w:lang w:val="en-US" w:eastAsia="en-US" w:bidi="ar-SA"/>
        </w:rPr>
        <w:t>  Mhinder's notes end with the entry: "Rita says older generation lavished the kids Rick &amp; Rita".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544</w:t>
      </w:r>
      <w:r>
        <w:rPr>
          <w:rFonts w:ascii="arial" w:eastAsia="arial" w:hAnsi="arial" w:cs="arial"/>
          <w:color w:val="000000"/>
          <w:sz w:val="20"/>
          <w:lang w:val="en-US" w:eastAsia="en-US" w:bidi="ar-SA"/>
        </w:rPr>
        <w:t>  Rita denies saying anything of the kind. Her evidence was that she never said that and never felt that. In her view, she worked very hard for her businesses and never got to sit back and relax. She worked and worked, did not marry till she was 34, and did not have children until she was 36, all because she was so focused on working. She also talked about Richard's incredible efforts.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545</w:t>
      </w:r>
      <w:r>
        <w:rPr>
          <w:rFonts w:ascii="arial" w:eastAsia="arial" w:hAnsi="arial" w:cs="arial"/>
          <w:color w:val="000000"/>
          <w:sz w:val="20"/>
          <w:lang w:val="en-US" w:eastAsia="en-US" w:bidi="ar-SA"/>
        </w:rPr>
        <w:t>  According to Kelly, there was a lot of anger at this meeting, and it was not pleasant. Bhora said that there were a lot of problems, and that Ricky had figured out some new crushing prices. Richard then talked about having to produce for $1/ton. Kelly said that this was unachievable and could not be done. Richard responded that he would get someone else to do it if Kelly would not (this is reminiscent of Mr. Helgesen's evidence about what was discussed at the March 27 meeting. Mr. Helgesen was not at this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546</w:t>
      </w:r>
      <w:r>
        <w:rPr>
          <w:rFonts w:ascii="arial" w:eastAsia="arial" w:hAnsi="arial" w:cs="arial"/>
          <w:color w:val="000000"/>
          <w:sz w:val="20"/>
          <w:lang w:val="en-US" w:eastAsia="en-US" w:bidi="ar-SA"/>
        </w:rPr>
        <w:t>  Kelly said that Mhinder got agitated at this point and left the meeting. It was then that she tried to get them to understand how hard and how long Mhinder had worked for everyone. She did not recall Bhora saying anything about the beneficial ownership of D &amp; A. Gina said something to the effect that D &amp; A was not Kelly's company. Kelly said, it's the same as R &amp; G, we hold them in trust for Bhora and Mhinder. She also recalls Gina saying words to the effect that perhaps she and Kelly would be able to talk some sense into Bhora and Mhinder, to get them down from their fight.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547</w:t>
      </w:r>
      <w:r>
        <w:rPr>
          <w:rFonts w:ascii="arial" w:eastAsia="arial" w:hAnsi="arial" w:cs="arial"/>
          <w:color w:val="000000"/>
          <w:sz w:val="20"/>
          <w:lang w:val="en-US" w:eastAsia="en-US" w:bidi="ar-SA"/>
        </w:rPr>
        <w:t>  As I indicated above, it should surprise no one that the six persons who attended this meeting would have different recollections of what was discussed. I find the evidence of Rita and Richard to be the most reliable. Mhinder's notes, I find, appear to be accurate in some respects, but incomplete. Moreover, I find that some of his notes are pure fabrication, designed to bolster his own position. In this last category I include his first note about Bhora that ends with the unlikely phrase "This is well-established and will be proven" [there was of course nothing at all well-established about the ownership of D &amp; A], and his last note attributed to Rita about the older generation 'lavishing the kids'.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548</w:t>
      </w:r>
      <w:r>
        <w:rPr>
          <w:rFonts w:ascii="arial" w:eastAsia="arial" w:hAnsi="arial" w:cs="arial"/>
          <w:color w:val="000000"/>
          <w:sz w:val="20"/>
          <w:lang w:val="en-US" w:eastAsia="en-US" w:bidi="ar-SA"/>
        </w:rPr>
        <w:t>  In less than a month, the first of the many lawsuits that make up this litigation was filed.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8.6 </w:t>
      </w:r>
      <w:r>
        <w:rPr>
          <w:rFonts w:ascii="arial" w:eastAsia="arial" w:hAnsi="arial" w:cs="arial"/>
          <w:b/>
          <w:color w:val="000000"/>
          <w:sz w:val="20"/>
          <w:u w:val="single"/>
          <w:lang w:val="en-US" w:eastAsia="en-US" w:bidi="ar-SA"/>
        </w:rPr>
        <w:t>All right, so who owns D &amp; 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549</w:t>
      </w:r>
      <w:r>
        <w:rPr>
          <w:rFonts w:ascii="arial" w:eastAsia="arial" w:hAnsi="arial" w:cs="arial"/>
          <w:color w:val="000000"/>
          <w:sz w:val="20"/>
          <w:lang w:val="en-US" w:eastAsia="en-US" w:bidi="ar-SA"/>
        </w:rPr>
        <w:t>  On behalf of Kelly and Mhinder, the submission was made that if, on the state of the evidence, I am unable to find a trust and identify the beneficial owner, then the result must be that the company belongs wholly to its registered legal owner, Kelly.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550</w:t>
      </w:r>
      <w:r>
        <w:rPr>
          <w:rFonts w:ascii="arial" w:eastAsia="arial" w:hAnsi="arial" w:cs="arial"/>
          <w:color w:val="000000"/>
          <w:sz w:val="20"/>
          <w:lang w:val="en-US" w:eastAsia="en-US" w:bidi="ar-SA"/>
        </w:rPr>
        <w:t>  That result, in my view, would be unjust and inequitable unless it is truly impossible to ascertain the beneficial owner. Although Kelly did purport to be the legal and beneficial owner at one time, I am satisfied that that was for strategic reasons and never reflected even her own understanding.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551</w:t>
      </w:r>
      <w:r>
        <w:rPr>
          <w:rFonts w:ascii="arial" w:eastAsia="arial" w:hAnsi="arial" w:cs="arial"/>
          <w:color w:val="000000"/>
          <w:sz w:val="20"/>
          <w:lang w:val="en-US" w:eastAsia="en-US" w:bidi="ar-SA"/>
        </w:rPr>
        <w:t>  The contenders, on the evidence, are Richard on the one hand, and Bhora and Mhinder on the 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552</w:t>
      </w:r>
      <w:r>
        <w:rPr>
          <w:rFonts w:ascii="arial" w:eastAsia="arial" w:hAnsi="arial" w:cs="arial"/>
          <w:color w:val="000000"/>
          <w:sz w:val="20"/>
          <w:lang w:val="en-US" w:eastAsia="en-US" w:bidi="ar-SA"/>
        </w:rPr>
        <w:t>  On behalf of Mhinder, it is argued that any claim of Richard to an intentional trust fails for want of certainty of objects. This is because neither Mr. Allarie nor Kelly was ever made aware of a trust condition in Richard's favour. As I noted above, both understood that they were holding the shares in trust for someone, but were never told for whom.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553</w:t>
      </w:r>
      <w:r>
        <w:rPr>
          <w:rFonts w:ascii="arial" w:eastAsia="arial" w:hAnsi="arial" w:cs="arial"/>
          <w:color w:val="000000"/>
          <w:sz w:val="20"/>
          <w:lang w:val="en-US" w:eastAsia="en-US" w:bidi="ar-SA"/>
        </w:rPr>
        <w:t>  Mhinder goes on to submit that the requirement of certainty of objects cannot be avoided by recasting the argument to one of a substantive constructive trust (see paras 135-138 above). This is because, Mhinder asserts, Kelly could be required to answer to Richard only if she were under a pre-existing equitable obligation to him enforceable by means of a substantive constructive trust. Equitable obligations, Mhinder argues, are not owed in the air, and Kelly could not be under an equitable obligation to an unascertained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554</w:t>
      </w:r>
      <w:r>
        <w:rPr>
          <w:rFonts w:ascii="arial" w:eastAsia="arial" w:hAnsi="arial" w:cs="arial"/>
          <w:color w:val="000000"/>
          <w:sz w:val="20"/>
          <w:lang w:val="en-US" w:eastAsia="en-US" w:bidi="ar-SA"/>
        </w:rPr>
        <w:t>  I am not persuaded that this is a correct analysis. We are dealing, of course, with an exceedingly unusual situation, arising out of an extraordinarily casual approach to a very formal legal concept. There is no trust deed or instrument, or anything in writing, creating the trust. The parties agree, however, that the shares of D &amp; A have "in trust" stamped all over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555</w:t>
      </w:r>
      <w:r>
        <w:rPr>
          <w:rFonts w:ascii="arial" w:eastAsia="arial" w:hAnsi="arial" w:cs="arial"/>
          <w:color w:val="000000"/>
          <w:sz w:val="20"/>
          <w:lang w:val="en-US" w:eastAsia="en-US" w:bidi="ar-SA"/>
        </w:rPr>
        <w:t>  When I take into account the evidence as a whole, I conclude, on a balance of probabilities, that the beneficial interest in the shares of D &amp; A belongs to Richard pursuant to an intentional trust notwithstanding the ignorance of its objects of the two successive trustees.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556</w:t>
      </w:r>
      <w:r>
        <w:rPr>
          <w:rFonts w:ascii="arial" w:eastAsia="arial" w:hAnsi="arial" w:cs="arial"/>
          <w:color w:val="000000"/>
          <w:sz w:val="20"/>
          <w:lang w:val="en-US" w:eastAsia="en-US" w:bidi="ar-SA"/>
        </w:rPr>
        <w:t>  I begin with the fact that the Mayer brothers had no intention of keeping, beneficially or otherwise, a crushing operation at the Spruston Pit. On the contrary, they chose to give their beneficial interest in Spruston Aggregates away. There was, it should be remembered, not much to it. As Bhora swore in his affidavit, there was no real equity. It did not own the pit. It had no contracts. It had some aging equipment, and was soon abandoned by Mr. Furnemont.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557</w:t>
      </w:r>
      <w:r>
        <w:rPr>
          <w:rFonts w:ascii="arial" w:eastAsia="arial" w:hAnsi="arial" w:cs="arial"/>
          <w:color w:val="000000"/>
          <w:sz w:val="20"/>
          <w:lang w:val="en-US" w:eastAsia="en-US" w:bidi="ar-SA"/>
        </w:rPr>
        <w:t>  Into the breach, I find, stepped Richard. It was his company, Nanaimo Concrete (later Island Aggregates) that needed the aggregate produced from the Spruston Pit. No other Mayer company had a similar need. Arrowsmith had its own supply at Whiskey Creek. So when Mr. Furnemont abandoned the operation, it was Nanaimo Concrete under Richard's direction that started washing gravel in the pit. Moreover, Richard acquired equipment to take over crushing operations. His initial intention, I find, was to absorb the crushing operation at the Spruston Pit into Nanaimo Concrete.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558</w:t>
      </w:r>
      <w:r>
        <w:rPr>
          <w:rFonts w:ascii="arial" w:eastAsia="arial" w:hAnsi="arial" w:cs="arial"/>
          <w:color w:val="000000"/>
          <w:sz w:val="20"/>
          <w:lang w:val="en-US" w:eastAsia="en-US" w:bidi="ar-SA"/>
        </w:rPr>
        <w:t>  I accept Richard's evidence that Mhinder suggested to him that he should keep the crushing operations separate from the concrete operation to avoid unionization issues. Bhora's evidence supports this, and it is consistent with the approach taken by the brothers and other family members since at least 1988. The same approach led to the creation of Spruston Aggregates. In other instances, land was acquired under corporations established independently from the corporations operating the businesses.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559</w:t>
      </w:r>
      <w:r>
        <w:rPr>
          <w:rFonts w:ascii="arial" w:eastAsia="arial" w:hAnsi="arial" w:cs="arial"/>
          <w:color w:val="000000"/>
          <w:sz w:val="20"/>
          <w:lang w:val="en-US" w:eastAsia="en-US" w:bidi="ar-SA"/>
        </w:rPr>
        <w:t>  While Richard testified that it was Mhinder who talked to him about setting up a trust, Bhora testified that it was he and Mr. Furnemont who did so. While I have no doubt that Bhora did discuss this with Richard, I accept Richard's version that the main impetus came from Mhinder. This accords with the evidence of all the principals that Richard's relationship with Mhinder was closer than his relationship with his own father at this time. Mr. Furnemont testified (and I accept) that he did not know who the beneficial owner was to be when he set up the corporation.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560</w:t>
      </w:r>
      <w:r>
        <w:rPr>
          <w:rFonts w:ascii="arial" w:eastAsia="arial" w:hAnsi="arial" w:cs="arial"/>
          <w:color w:val="000000"/>
          <w:sz w:val="20"/>
          <w:lang w:val="en-US" w:eastAsia="en-US" w:bidi="ar-SA"/>
        </w:rPr>
        <w:t>  Mr. Furnemont could not remember which member of the Mayer family gave him the instructions to set up the company with Mr. Allarie as the shareholder. Those instructions most certainly did not come from Mr. Allarie. I am satisfied on the evidence as a whole that they came from Bhora on behalf of Richard. That is no doubt why Bhora was under the impression that it was he and Mr. Furnemont who discussed the concept with Richard, and it was Bhora who normally dealt with Mr. Furnemont on such matters. Mhinder, as we have seen, was uninterested in matters of administration. It follows, I find, that the settlor of the trust was Richard.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561</w:t>
      </w:r>
      <w:r>
        <w:rPr>
          <w:rFonts w:ascii="arial" w:eastAsia="arial" w:hAnsi="arial" w:cs="arial"/>
          <w:color w:val="000000"/>
          <w:sz w:val="20"/>
          <w:lang w:val="en-US" w:eastAsia="en-US" w:bidi="ar-SA"/>
        </w:rPr>
        <w:t xml:space="preserve">  I acknowledge that both Richard and Bhora gave inconsistent evidence in affidavits sworn in 2008, but I accept the evidence they gave at trial notwithstanding the discrepancy. I do so because their trial evidence fits with the evidence as a whole, and the preponderance of probabilities. I take into account as well that in 2008, there was a serious conflict within the family about D &amp; A, and both Richard and Bhora were dealing with a situation in which the legal owner was carrying on as the sole owner. They were dealing with matters </w:t>
      </w:r>
      <w:r>
        <w:rPr>
          <w:rFonts w:ascii="arial" w:eastAsia="arial" w:hAnsi="arial" w:cs="arial"/>
          <w:i/>
          <w:color w:val="000000"/>
          <w:sz w:val="20"/>
          <w:lang w:val="en-US" w:eastAsia="en-US" w:bidi="ar-SA"/>
        </w:rPr>
        <w:t>de facto</w:t>
      </w:r>
      <w:r>
        <w:rPr>
          <w:rFonts w:ascii="arial" w:eastAsia="arial" w:hAnsi="arial" w:cs="arial"/>
          <w:color w:val="000000"/>
          <w:sz w:val="20"/>
          <w:lang w:val="en-US" w:eastAsia="en-US" w:bidi="ar-SA"/>
        </w:rPr>
        <w:t xml:space="preserve">, rather than </w:t>
      </w:r>
      <w:r>
        <w:rPr>
          <w:rFonts w:ascii="arial" w:eastAsia="arial" w:hAnsi="arial" w:cs="arial"/>
          <w:i/>
          <w:color w:val="000000"/>
          <w:sz w:val="20"/>
          <w:lang w:val="en-US" w:eastAsia="en-US" w:bidi="ar-SA"/>
        </w:rPr>
        <w:t>de jure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562</w:t>
      </w:r>
      <w:r>
        <w:rPr>
          <w:rFonts w:ascii="arial" w:eastAsia="arial" w:hAnsi="arial" w:cs="arial"/>
          <w:color w:val="000000"/>
          <w:sz w:val="20"/>
          <w:lang w:val="en-US" w:eastAsia="en-US" w:bidi="ar-SA"/>
        </w:rPr>
        <w:t>  I also accept that Mhinder suggested to Richard that the shares be registered in Dan Allarie's name. Mr. Allarie came from Alberta at Mhinder's suggestion, had the appropriate crushing experience, and was not a Mayer.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563</w:t>
      </w:r>
      <w:r>
        <w:rPr>
          <w:rFonts w:ascii="arial" w:eastAsia="arial" w:hAnsi="arial" w:cs="arial"/>
          <w:color w:val="000000"/>
          <w:sz w:val="20"/>
          <w:lang w:val="en-US" w:eastAsia="en-US" w:bidi="ar-SA"/>
        </w:rPr>
        <w:t>  In this regard, I find it significant that Mr. Allarie was an employee of Nanaimo Concrete, Richard's company. He said he thought Mhinder ran the company, but as I commented above, his understanding was uninformed and unhelpful. It was as an employee of Nanaimo Concrete that Mr. Allarie agreed to hold the shares, and it was in that capacity that he worked to help set up a crushing plant.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564</w:t>
      </w:r>
      <w:r>
        <w:rPr>
          <w:rFonts w:ascii="arial" w:eastAsia="arial" w:hAnsi="arial" w:cs="arial"/>
          <w:color w:val="000000"/>
          <w:sz w:val="20"/>
          <w:lang w:val="en-US" w:eastAsia="en-US" w:bidi="ar-SA"/>
        </w:rPr>
        <w:t>  It will be recalled that Mr. Allarie testified that no one expressly told him who owned D &amp; A, although he understood "it was pretty well Mhindy and the Mayer Brothers". I have already rejected that as meaningful evidence on this issue. What I did find meaningful was his evidence about why he understood he was working on setting up a crushing plant. When asked, "What did Mhindy tell you?", he answered: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wants to set up a crushing spread so they can do their own crushing for their concrete plant.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Mhinder was, of course, an employee of Nanaimo Concrete, and "their concrete plant" was Nanaimo Concrete's plant - owned by Richard.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565</w:t>
      </w:r>
      <w:r>
        <w:rPr>
          <w:rFonts w:ascii="arial" w:eastAsia="arial" w:hAnsi="arial" w:cs="arial"/>
          <w:color w:val="000000"/>
          <w:sz w:val="20"/>
          <w:lang w:val="en-US" w:eastAsia="en-US" w:bidi="ar-SA"/>
        </w:rPr>
        <w:t>  This confirms the basic concept that "they", being Richard's Nanaimo Concrete, could do its own crushing for its own plant with equipment its employees built. But it was to be accomplished through a different company whose shares Mr. Allarie was to hold. It would make no sense for the beneficial owner to be anyone other than Richard in these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566</w:t>
      </w:r>
      <w:r>
        <w:rPr>
          <w:rFonts w:ascii="arial" w:eastAsia="arial" w:hAnsi="arial" w:cs="arial"/>
          <w:color w:val="000000"/>
          <w:sz w:val="20"/>
          <w:lang w:val="en-US" w:eastAsia="en-US" w:bidi="ar-SA"/>
        </w:rPr>
        <w:t>  Conceptually consistent with this, and inconsistent with any alternative, is Richard's purchase of the Spruston Pit through NCC in 2001, and his development of the gravel resource through the purchase of the Weyerhaeuser lands.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567</w:t>
      </w:r>
      <w:r>
        <w:rPr>
          <w:rFonts w:ascii="arial" w:eastAsia="arial" w:hAnsi="arial" w:cs="arial"/>
          <w:color w:val="000000"/>
          <w:sz w:val="20"/>
          <w:lang w:val="en-US" w:eastAsia="en-US" w:bidi="ar-SA"/>
        </w:rPr>
        <w:t>  The evidence, then, establishes all three certainties. To the extent that it was Mhinder and Mr. Furnemont who dealt with Mr. Allarie, they did so, I find, on behalf of Richard as settlor, as did Bhora in dealing with Mr. Furnemont. In this singularly unusual context, I find that it does not matter whether Dan Allarie or Kelly Mayer were certain about the objects of the trust. The trustee being muddled ought not to vitiate a trust that the evidence establishes with certainty, as I find to be the case here. What matters is whether, on the evidence, I am able to find that the three certainties have been established and can enforce the trust. What may have seemed uncertain before has, after 60 days of trial, become clear.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568</w:t>
      </w:r>
      <w:r>
        <w:rPr>
          <w:rFonts w:ascii="arial" w:eastAsia="arial" w:hAnsi="arial" w:cs="arial"/>
          <w:color w:val="000000"/>
          <w:sz w:val="20"/>
          <w:lang w:val="en-US" w:eastAsia="en-US" w:bidi="ar-SA"/>
        </w:rPr>
        <w:t>  But what about Kelly's acknowledgement of trust signed January 24, 2002? And the comment of Bhora at the meeting of April 19, 2007, that "D &amp; A belongs to Mhindy and Bhora", which most attendees agree he said?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569</w:t>
      </w:r>
      <w:r>
        <w:rPr>
          <w:rFonts w:ascii="arial" w:eastAsia="arial" w:hAnsi="arial" w:cs="arial"/>
          <w:color w:val="000000"/>
          <w:sz w:val="20"/>
          <w:lang w:val="en-US" w:eastAsia="en-US" w:bidi="ar-SA"/>
        </w:rPr>
        <w:t>  As to the first, I have already commented on the questionable manner in which these documents came to be signed. It is true that Kelly, who signed hers at Mhinder's insistence, raised no objection and, unlike Richard, Rita and Gina, was not told that the document would not be legally binding. She obviously thought it would be, because she deleted a paragraph by which she was not prepared to be bound.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570</w:t>
      </w:r>
      <w:r>
        <w:rPr>
          <w:rFonts w:ascii="arial" w:eastAsia="arial" w:hAnsi="arial" w:cs="arial"/>
          <w:color w:val="000000"/>
          <w:sz w:val="20"/>
          <w:lang w:val="en-US" w:eastAsia="en-US" w:bidi="ar-SA"/>
        </w:rPr>
        <w:t>  On behalf of Richard, it is submitted that the document can have no legal effect, because Kelly altered it significantly before she signed it, and those changes were not accepted by Bhora, who had signed the document on December 24, 2001, well before Kelly made the changes.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571</w:t>
      </w:r>
      <w:r>
        <w:rPr>
          <w:rFonts w:ascii="arial" w:eastAsia="arial" w:hAnsi="arial" w:cs="arial"/>
          <w:color w:val="000000"/>
          <w:sz w:val="20"/>
          <w:lang w:val="en-US" w:eastAsia="en-US" w:bidi="ar-SA"/>
        </w:rPr>
        <w:t>  That would not, of course, remove all evidentiary value from the document. But the fact that, as drafted, it included Kelly's properties, in which Bhora and Mhinder clearly had no interest, as well is the shares in D &amp; A, suggests that its authors had in mind a goal other than recording true beneficial ownership. In any event I agree with Richard's further submission that Kelly cannot purport to acknowledge or create a trust that is contrary to a trust obligation with which the shares were impressed when she received them. In other words, it is not open to Kelly, as an acknowledged trustee, to deprive Richard of his beneficial interest by signing in ignorance a document acknowledging a different beneficiary. That would be unconscionable.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572</w:t>
      </w:r>
      <w:r>
        <w:rPr>
          <w:rFonts w:ascii="arial" w:eastAsia="arial" w:hAnsi="arial" w:cs="arial"/>
          <w:color w:val="000000"/>
          <w:sz w:val="20"/>
          <w:lang w:val="en-US" w:eastAsia="en-US" w:bidi="ar-SA"/>
        </w:rPr>
        <w:t xml:space="preserve">  With respect to Bhora's comment at the meeting of April 19, I accept Richard's explanation that Bhora was not asserting a fact, but rather was trying to "stir things up" in the context of Kelly having asserted </w:t>
      </w:r>
      <w:r>
        <w:rPr>
          <w:rFonts w:ascii="arial" w:eastAsia="arial" w:hAnsi="arial" w:cs="arial"/>
          <w:i/>
          <w:color w:val="000000"/>
          <w:sz w:val="20"/>
          <w:lang w:val="en-US" w:eastAsia="en-US" w:bidi="ar-SA"/>
        </w:rPr>
        <w:t>her</w:t>
      </w:r>
      <w:r>
        <w:rPr>
          <w:rFonts w:ascii="arial" w:eastAsia="arial" w:hAnsi="arial" w:cs="arial"/>
          <w:color w:val="000000"/>
          <w:sz w:val="20"/>
          <w:lang w:val="en-US" w:eastAsia="en-US" w:bidi="ar-SA"/>
        </w:rPr>
        <w:t xml:space="preserve"> beneficial ownership. That context is missing from Mhinder's notes, but I am satisfied of its existence.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573</w:t>
      </w:r>
      <w:r>
        <w:rPr>
          <w:rFonts w:ascii="arial" w:eastAsia="arial" w:hAnsi="arial" w:cs="arial"/>
          <w:color w:val="000000"/>
          <w:sz w:val="20"/>
          <w:lang w:val="en-US" w:eastAsia="en-US" w:bidi="ar-SA"/>
        </w:rPr>
        <w:t>  I conclude that the evidence has established the three certainties. The clear intention was that the shares of D &amp; A be held in trust. The clear subject of the trust was the shares of D &amp; A. And, I find, the clear object (and, indeed, the only object that makes sense on the evidence) was that the shares be held for the benefit of Richard until such time as he required them to be transferred back. It will be recalled that both Mr. Allarie and Kelly signed in advance the back of the shares consenting to their transfer.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574</w:t>
      </w:r>
      <w:r>
        <w:rPr>
          <w:rFonts w:ascii="arial" w:eastAsia="arial" w:hAnsi="arial" w:cs="arial"/>
          <w:color w:val="000000"/>
          <w:sz w:val="20"/>
          <w:lang w:val="en-US" w:eastAsia="en-US" w:bidi="ar-SA"/>
        </w:rPr>
        <w:t>  Accordingly, I order Kelly to transfer the shares of D &amp; A to Richard forthwith. I further order that Kelly be removed as director of D &amp; A, and that Richard or his nominee be appointed as director of D &amp; A in her place. Richard has leave to apply for any necessary ancillary orders in this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575</w:t>
      </w:r>
      <w:r>
        <w:rPr>
          <w:rFonts w:ascii="arial" w:eastAsia="arial" w:hAnsi="arial" w:cs="arial"/>
          <w:color w:val="000000"/>
          <w:sz w:val="20"/>
          <w:lang w:val="en-US" w:eastAsia="en-US" w:bidi="ar-SA"/>
        </w:rPr>
        <w:t>  Richard submits that in the event I come to this conclusion, I should order Kelly to repay D &amp; A for monies paid to her by that company after May 1, 2007. Most of these monies came from the sale of equipment, and Richard submits, "there is no injustice in making such an order. Kelly never paid for the equipment that she sold." I am not convinced that this would be an appropriate order to make on the current state of the evidence. There is no doubt that Kelly withdrew funds, some for management duties, which she certainly performed, and there is no doubt that Kelly also deposited funds to the credit of D &amp; A so that it could pay its liabilities. In the circumstances, I think it appropriate to order that Kelly account to Richard for her handling of funds. If an accounting satisfactory to the parties is not forthcoming, the matter will be referred to the Registrar.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8.7 </w:t>
      </w:r>
      <w:r>
        <w:rPr>
          <w:rFonts w:ascii="arial" w:eastAsia="arial" w:hAnsi="arial" w:cs="arial"/>
          <w:b/>
          <w:color w:val="000000"/>
          <w:sz w:val="20"/>
          <w:u w:val="single"/>
          <w:lang w:val="en-US" w:eastAsia="en-US" w:bidi="ar-SA"/>
        </w:rPr>
        <w:t>D &amp; A's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576</w:t>
      </w:r>
      <w:r>
        <w:rPr>
          <w:rFonts w:ascii="arial" w:eastAsia="arial" w:hAnsi="arial" w:cs="arial"/>
          <w:color w:val="000000"/>
          <w:sz w:val="20"/>
          <w:lang w:val="en-US" w:eastAsia="en-US" w:bidi="ar-SA"/>
        </w:rPr>
        <w:t>  As a result of my finding that Richard is the beneficial owner of D &amp; A, and that the shares must be transferred to him, I am left with a situation in which D &amp; A is pursuing claims at the behest of someone (Kelly) who has lost any right she may have had to direct D &amp; A. Moreover, those claims are all brought against Richard and his companies, although Bhora is also included as a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577</w:t>
      </w:r>
      <w:r>
        <w:rPr>
          <w:rFonts w:ascii="arial" w:eastAsia="arial" w:hAnsi="arial" w:cs="arial"/>
          <w:color w:val="000000"/>
          <w:sz w:val="20"/>
          <w:lang w:val="en-US" w:eastAsia="en-US" w:bidi="ar-SA"/>
        </w:rPr>
        <w:t>  In these circumstances, I conclude that the proper course is to stay all of the claims of D &amp; A until further order of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 THE TRUST PROPERTIES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9.1 </w:t>
      </w:r>
      <w:r>
        <w:rPr>
          <w:rFonts w:ascii="arial" w:eastAsia="arial" w:hAnsi="arial" w:cs="arial"/>
          <w:b/>
          <w:color w:val="000000"/>
          <w:sz w:val="20"/>
          <w:u w:val="single"/>
          <w:lang w:val="en-US" w:eastAsia="en-US" w:bidi="ar-SA"/>
        </w:rPr>
        <w:t>Overview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578</w:t>
      </w:r>
      <w:r>
        <w:rPr>
          <w:rFonts w:ascii="arial" w:eastAsia="arial" w:hAnsi="arial" w:cs="arial"/>
          <w:color w:val="000000"/>
          <w:sz w:val="20"/>
          <w:lang w:val="en-US" w:eastAsia="en-US" w:bidi="ar-SA"/>
        </w:rPr>
        <w:t>  This is the claim that started the litigation in 2007, and I reviewed some of the circumstances in section 8.5.3.6. It relates to five properties registered in the name of Mhinder that are described in the pleadings as "Mhinder Mayer's Personal Properties", five further properties described in the pleadings as "Additional Mhinder Trust Properties", plus one further property that, it emerged during the trial, Mhinder had owned silently with Dan Helgesen. Bhora asserts that they all are, or were, assets of the brothers'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579</w:t>
      </w:r>
      <w:r>
        <w:rPr>
          <w:rFonts w:ascii="arial" w:eastAsia="arial" w:hAnsi="arial" w:cs="arial"/>
          <w:color w:val="000000"/>
          <w:sz w:val="20"/>
          <w:lang w:val="en-US" w:eastAsia="en-US" w:bidi="ar-SA"/>
        </w:rPr>
        <w:t>  The relevant clauses of the trust agreement are the third and sixth:</w:t>
      </w:r>
      <w:r>
        <w:rPr>
          <w:rFonts w:ascii="arial" w:eastAsia="arial" w:hAnsi="arial" w:cs="arial"/>
          <w:sz w:val="20"/>
          <w:lang w:val="en-US" w:eastAsia="en-US" w:bidi="ar-SA"/>
        </w:rPr>
        <w:cr/>
      </w:r>
    </w:p>
    <w:p>
      <w:pPr>
        <w:numPr>
          <w:numId w:val="43"/>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ANY PROPERTY OR PROPERTIES (except personal homes) held by any one or more of the brothers, shall be considered held in trust as being equally owned by all five brothers.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4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any venture, acquisition of business or property is engaged in by any one of the brothers for his personal benefit, he must clearly define this and obtain release of this trust for the purpose of his venture.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580</w:t>
      </w:r>
      <w:r>
        <w:rPr>
          <w:rFonts w:ascii="arial" w:eastAsia="arial" w:hAnsi="arial" w:cs="arial"/>
          <w:color w:val="000000"/>
          <w:sz w:val="20"/>
          <w:lang w:val="en-US" w:eastAsia="en-US" w:bidi="ar-SA"/>
        </w:rPr>
        <w:t>  Bhora testified that in no case did Mhinder obtain the trust's release in relation to any of these properties. Bhora is the sole registered owner of the property on Jones Road, which he concedes is a trust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 "</w:t>
      </w:r>
      <w:r>
        <w:rPr>
          <w:rFonts w:ascii="arial" w:eastAsia="arial" w:hAnsi="arial" w:cs="arial"/>
          <w:b/>
          <w:color w:val="000000"/>
          <w:sz w:val="20"/>
          <w:u w:val="single"/>
          <w:lang w:val="en-US" w:eastAsia="en-US" w:bidi="ar-SA"/>
        </w:rPr>
        <w:t>Mhinder Mayer's Personal Properties</w:t>
      </w:r>
      <w:r>
        <w:rPr>
          <w:rFonts w:ascii="arial" w:eastAsia="arial" w:hAnsi="arial" w:cs="arial"/>
          <w:b/>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581</w:t>
      </w:r>
      <w:r>
        <w:rPr>
          <w:rFonts w:ascii="arial" w:eastAsia="arial" w:hAnsi="arial" w:cs="arial"/>
          <w:color w:val="000000"/>
          <w:sz w:val="20"/>
          <w:lang w:val="en-US" w:eastAsia="en-US" w:bidi="ar-SA"/>
        </w:rPr>
        <w:t>  These properties comprise:</w:t>
      </w:r>
      <w:r>
        <w:rPr>
          <w:rFonts w:ascii="arial" w:eastAsia="arial" w:hAnsi="arial" w:cs="arial"/>
          <w:sz w:val="20"/>
          <w:lang w:val="en-US" w:eastAsia="en-US" w:bidi="ar-SA"/>
        </w:rPr>
        <w:cr/>
      </w:r>
    </w:p>
    <w:p>
      <w:pPr>
        <w:numPr>
          <w:numId w:val="45"/>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1005 Farquhar;</w:t>
      </w:r>
    </w:p>
    <w:p>
      <w:pPr>
        <w:numPr>
          <w:numId w:val="4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1007 Farquhar;</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212 Fry Street;</w:t>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218 Fry Street; and</w:t>
      </w:r>
    </w:p>
    <w:p>
      <w:pPr>
        <w:numPr>
          <w:numId w:val="49"/>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1090 Spruston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582</w:t>
      </w:r>
      <w:r>
        <w:rPr>
          <w:rFonts w:ascii="arial" w:eastAsia="arial" w:hAnsi="arial" w:cs="arial"/>
          <w:color w:val="000000"/>
          <w:sz w:val="20"/>
          <w:lang w:val="en-US" w:eastAsia="en-US" w:bidi="ar-SA"/>
        </w:rPr>
        <w:t>  According to Bhora, these were always considered to be trust properties. The two on Farquhar had been rented, and the rent money came into Osborne contracting right up until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583</w:t>
      </w:r>
      <w:r>
        <w:rPr>
          <w:rFonts w:ascii="arial" w:eastAsia="arial" w:hAnsi="arial" w:cs="arial"/>
          <w:color w:val="000000"/>
          <w:sz w:val="20"/>
          <w:lang w:val="en-US" w:eastAsia="en-US" w:bidi="ar-SA"/>
        </w:rPr>
        <w:t>  Mhinder was unable to demonstrate a specific release from the trust in relation to these properties, but observed that they were treated as belonging exclusively to Mhinder in the tax returns and the shareholder accounting based on Bhora's and Mhinder's instructions to Mr. Furnemont. Mhinder paid some of the expenses of these properties personally. In Mhinder's submission, the reasonable inference from this evidence is that the brothers had reached an understanding that these properties were Mhinder's personal properties, held outside of the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584</w:t>
      </w:r>
      <w:r>
        <w:rPr>
          <w:rFonts w:ascii="arial" w:eastAsia="arial" w:hAnsi="arial" w:cs="arial"/>
          <w:color w:val="000000"/>
          <w:sz w:val="20"/>
          <w:lang w:val="en-US" w:eastAsia="en-US" w:bidi="ar-SA"/>
        </w:rPr>
        <w:t>  Mr. Furnemont confirmed that he was instructed to treat all five of these properties as belonging exclusively to Mhinder, so that 100% of either the income or the loss of those properties was attributed to him on his tax returns, as opposed to 50%, which was the case with other properties. Mr. Furnemont testified that his instructions in this regard came from both Bhora and Mhinder.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585</w:t>
      </w:r>
      <w:r>
        <w:rPr>
          <w:rFonts w:ascii="arial" w:eastAsia="arial" w:hAnsi="arial" w:cs="arial"/>
          <w:color w:val="000000"/>
          <w:sz w:val="20"/>
          <w:lang w:val="en-US" w:eastAsia="en-US" w:bidi="ar-SA"/>
        </w:rPr>
        <w:t>  Given Mr. Furnemont's evidence, which I have no reason to doubt, I accept Mhinder's submission that the reasonable inference to draw is, and I find, that the brothers understood and agreed that these were all Mhinder's personal properties, not trust properties.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586</w:t>
      </w:r>
      <w:r>
        <w:rPr>
          <w:rFonts w:ascii="arial" w:eastAsia="arial" w:hAnsi="arial" w:cs="arial"/>
          <w:color w:val="000000"/>
          <w:sz w:val="20"/>
          <w:lang w:val="en-US" w:eastAsia="en-US" w:bidi="ar-SA"/>
        </w:rPr>
        <w:t>  Bhora and Gina are the registered owners of the property on Rainbow Road on Salt Spring Island. That property was treated in the accounting as Bhora's personal property, just as was the case with Mhinder Mayer's Personal Properties. It follows that the same inference arises, and I find that the brothers understood and agreed that the Rainbow Road property was Bhora's personal property, not a trust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 "</w:t>
      </w:r>
      <w:r>
        <w:rPr>
          <w:rFonts w:ascii="arial" w:eastAsia="arial" w:hAnsi="arial" w:cs="arial"/>
          <w:b/>
          <w:color w:val="000000"/>
          <w:sz w:val="20"/>
          <w:u w:val="single"/>
          <w:lang w:val="en-US" w:eastAsia="en-US" w:bidi="ar-SA"/>
        </w:rPr>
        <w:t>Additional Mhinder Trust Properties" and Northfield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587</w:t>
      </w:r>
      <w:r>
        <w:rPr>
          <w:rFonts w:ascii="arial" w:eastAsia="arial" w:hAnsi="arial" w:cs="arial"/>
          <w:color w:val="000000"/>
          <w:sz w:val="20"/>
          <w:lang w:val="en-US" w:eastAsia="en-US" w:bidi="ar-SA"/>
        </w:rPr>
        <w:t>  These properties comprise:</w:t>
      </w:r>
      <w:r>
        <w:rPr>
          <w:rFonts w:ascii="arial" w:eastAsia="arial" w:hAnsi="arial" w:cs="arial"/>
          <w:sz w:val="20"/>
          <w:lang w:val="en-US" w:eastAsia="en-US" w:bidi="ar-SA"/>
        </w:rPr>
        <w:cr/>
      </w:r>
    </w:p>
    <w:p>
      <w:pPr>
        <w:numPr>
          <w:numId w:val="50"/>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2690 Elk Street;</w:t>
      </w:r>
    </w:p>
    <w:p>
      <w:pPr>
        <w:numPr>
          <w:numId w:val="51"/>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Reid Road, Salt Spring Island (held as a joint tenant);</w:t>
      </w:r>
    </w:p>
    <w:p>
      <w:pPr>
        <w:numPr>
          <w:numId w:val="52"/>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Colvilleton Trail on Protection Island;</w:t>
      </w:r>
    </w:p>
    <w:p>
      <w:pPr>
        <w:numPr>
          <w:numId w:val="5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Water Lot Lease, Protection Island; and</w:t>
      </w:r>
    </w:p>
    <w:p>
      <w:pPr>
        <w:numPr>
          <w:numId w:val="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Green Horn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588</w:t>
      </w:r>
      <w:r>
        <w:rPr>
          <w:rFonts w:ascii="arial" w:eastAsia="arial" w:hAnsi="arial" w:cs="arial"/>
          <w:color w:val="000000"/>
          <w:sz w:val="20"/>
          <w:lang w:val="en-US" w:eastAsia="en-US" w:bidi="ar-SA"/>
        </w:rPr>
        <w:t>  I agree with Mhinder's position that the lot on Colvilleton Trail and the Water Lot Lease, both on Protection Island, come within the "personal homes" exception in clause 3 of the trust agreement. Although they have separate legal descriptions, they are both adjuncts to Mhinder's personal residence on Protection Island. I am satisfied that the brothers never intended the trust to extend to such properties.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589</w:t>
      </w:r>
      <w:r>
        <w:rPr>
          <w:rFonts w:ascii="arial" w:eastAsia="arial" w:hAnsi="arial" w:cs="arial"/>
          <w:color w:val="000000"/>
          <w:sz w:val="20"/>
          <w:lang w:val="en-US" w:eastAsia="en-US" w:bidi="ar-SA"/>
        </w:rPr>
        <w:t>  Mhinder maintains that the Green Horn Place of property, in which he held a joint tenancy, was outside the brothers' trust, and that in any event there is nothing to suggest he profited from its sale in 2004. In the circumstances, I agree that the claim in this regard is moot. No accounting is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590</w:t>
      </w:r>
      <w:r>
        <w:rPr>
          <w:rFonts w:ascii="arial" w:eastAsia="arial" w:hAnsi="arial" w:cs="arial"/>
          <w:color w:val="000000"/>
          <w:sz w:val="20"/>
          <w:lang w:val="en-US" w:eastAsia="en-US" w:bidi="ar-SA"/>
        </w:rPr>
        <w:t>  Mhinder concedes that the Elk Street and Reid Road properties were never understood to be held outside the brothers' trust. Mhinder's interest in the Elk Street property was as a joint tenant for three years ending on the sale of that property in 2003. Mhinder still holds his interest in the Reid Road property. Originally, Dan Helgesen was the other tenant. Currently, Mhinder owns the property jointly with Kelly.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591</w:t>
      </w:r>
      <w:r>
        <w:rPr>
          <w:rFonts w:ascii="arial" w:eastAsia="arial" w:hAnsi="arial" w:cs="arial"/>
          <w:color w:val="000000"/>
          <w:sz w:val="20"/>
          <w:lang w:val="en-US" w:eastAsia="en-US" w:bidi="ar-SA"/>
        </w:rPr>
        <w:t>  Although there is no evidence that he profited on the sale of his interest in the Elk Street property, Mhinder should account for his tenure as owner, including rentals, expenses and proceeds of disposition.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592</w:t>
      </w:r>
      <w:r>
        <w:rPr>
          <w:rFonts w:ascii="arial" w:eastAsia="arial" w:hAnsi="arial" w:cs="arial"/>
          <w:color w:val="000000"/>
          <w:sz w:val="20"/>
          <w:lang w:val="en-US" w:eastAsia="en-US" w:bidi="ar-SA"/>
        </w:rPr>
        <w:t>  As Mhinder's interest in the Reid Road property is a trust asset, it should be added to the list of properties to be sold in the winding up. Kelly indicates that she will not require the formality of a partition proceeding, but asks for the opportunity to purchase the property for its fair market value before it is listed for sale. In view of other property dealings within the family, including Gina's in the wake of the Accredit foreclosure, I conclude that this is a reasonable way to proceed and I so direct.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593</w:t>
      </w:r>
      <w:r>
        <w:rPr>
          <w:rFonts w:ascii="arial" w:eastAsia="arial" w:hAnsi="arial" w:cs="arial"/>
          <w:color w:val="000000"/>
          <w:sz w:val="20"/>
          <w:lang w:val="en-US" w:eastAsia="en-US" w:bidi="ar-SA"/>
        </w:rPr>
        <w:t>  There remains the question of the property at 1737 Northfield Road (see paras 208 and 307-312 above), Mhinder's interest in which was first disclosed during the cross-examination of Dan Helgesen in this trial. Mhinder concedes that there was no agreement that this property would be held outside the brothers' trust (Bhora could hardly agree to it when he knew nothing about it), and maintains that he gained $18,284 on the sale of the property. At first Mhinder denied any gain; I conclude that Bhora is entitled to an accounting in relation to this property, and I so direct.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 THE ACCREDIT MORTGAGE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594</w:t>
      </w:r>
      <w:r>
        <w:rPr>
          <w:rFonts w:ascii="arial" w:eastAsia="arial" w:hAnsi="arial" w:cs="arial"/>
          <w:color w:val="000000"/>
          <w:sz w:val="20"/>
          <w:lang w:val="en-US" w:eastAsia="en-US" w:bidi="ar-SA"/>
        </w:rPr>
        <w:t>  As I note above in section 5.6.10.1, the Nanaimo waterfront project was financed through Great Pacific Financing, later called Accredit Mortgage. The Accredit Mortgages, totaling $2,550,000, were signed by Mhinder, Bhora and Gina as "borrowers [mortgagors]". Rita, her companies, the other family companies and the ITCs all signed as "covenantors".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595</w:t>
      </w:r>
      <w:r>
        <w:rPr>
          <w:rFonts w:ascii="arial" w:eastAsia="arial" w:hAnsi="arial" w:cs="arial"/>
          <w:color w:val="000000"/>
          <w:sz w:val="20"/>
          <w:lang w:val="en-US" w:eastAsia="en-US" w:bidi="ar-SA"/>
        </w:rPr>
        <w:t xml:space="preserve">  The project went into foreclosure. Accredit commenced foreclosure proceedings against the mortgagors and covenantors, and the order </w:t>
      </w:r>
      <w:r>
        <w:rPr>
          <w:rFonts w:ascii="arial" w:eastAsia="arial" w:hAnsi="arial" w:cs="arial"/>
          <w:i/>
          <w:color w:val="000000"/>
          <w:sz w:val="20"/>
          <w:lang w:val="en-US" w:eastAsia="en-US" w:bidi="ar-SA"/>
        </w:rPr>
        <w:t>nisi</w:t>
      </w:r>
      <w:r>
        <w:rPr>
          <w:rFonts w:ascii="arial" w:eastAsia="arial" w:hAnsi="arial" w:cs="arial"/>
          <w:color w:val="000000"/>
          <w:sz w:val="20"/>
          <w:lang w:val="en-US" w:eastAsia="en-US" w:bidi="ar-SA"/>
        </w:rPr>
        <w:t xml:space="preserve"> was pronounced on February 3, 2011. According to the Agreed Statement of Facts, a number of properties owned by Mhinder and Bhora were sold and the proceeds paid to Accredit to be applied against the secured debt. Gina paid a further $1,200,000 to Accredit to obtain a discharge registered against her home on Maple Bay Road. The total amount of the Accredit debt, inclusive of interest and costs, came to $4,642,964.65.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596</w:t>
      </w:r>
      <w:r>
        <w:rPr>
          <w:rFonts w:ascii="arial" w:eastAsia="arial" w:hAnsi="arial" w:cs="arial"/>
          <w:color w:val="000000"/>
          <w:sz w:val="20"/>
          <w:lang w:val="en-US" w:eastAsia="en-US" w:bidi="ar-SA"/>
        </w:rPr>
        <w:t>  Mhinder claims that he, Bhora and Gina have borne the entire burden of the foreclosure proceeding notwithstanding that the project was undertaken to benefit the entire family. Mhinder seeks proportionate contribution from those covenantors who remain solvent. Besides Mhinder, Bhora and Gina, these are the ITCs, Chemainus Ventures, MIH, Gina's companies Aqua Pod and R &amp; G, Rita, her companies New Archer Holdings and Custom Pumping, and Richard's companies Island Aggregates, Mack Nanaimo and NCC.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597</w:t>
      </w:r>
      <w:r>
        <w:rPr>
          <w:rFonts w:ascii="arial" w:eastAsia="arial" w:hAnsi="arial" w:cs="arial"/>
          <w:color w:val="000000"/>
          <w:sz w:val="20"/>
          <w:lang w:val="en-US" w:eastAsia="en-US" w:bidi="ar-SA"/>
        </w:rPr>
        <w:t>  This claim turns on the question of whether a designated "borrower" can claim contribution from a "covenantor".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598</w:t>
      </w:r>
      <w:r>
        <w:rPr>
          <w:rFonts w:ascii="arial" w:eastAsia="arial" w:hAnsi="arial" w:cs="arial"/>
          <w:color w:val="000000"/>
          <w:sz w:val="20"/>
          <w:lang w:val="en-US" w:eastAsia="en-US" w:bidi="ar-SA"/>
        </w:rPr>
        <w:t xml:space="preserve">  Mhinder relies on Maddaugh &amp; McCamus, </w:t>
      </w:r>
      <w:r>
        <w:rPr>
          <w:rFonts w:ascii="arial" w:eastAsia="arial" w:hAnsi="arial" w:cs="arial"/>
          <w:i/>
          <w:color w:val="000000"/>
          <w:sz w:val="20"/>
          <w:lang w:val="en-US" w:eastAsia="en-US" w:bidi="ar-SA"/>
        </w:rPr>
        <w:t>The Law of Restitution</w:t>
      </w:r>
      <w:r>
        <w:rPr>
          <w:rFonts w:ascii="arial" w:eastAsia="arial" w:hAnsi="arial" w:cs="arial"/>
          <w:color w:val="000000"/>
          <w:sz w:val="20"/>
          <w:lang w:val="en-US" w:eastAsia="en-US" w:bidi="ar-SA"/>
        </w:rPr>
        <w:t>, Canada Law Book, looseleaf addition updated to December 26, at p. 9-17: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right to contribution, analogous to that applicable among co-sureties and co-insurers, has also been applied to other co-obligors, including partners, co-mortgagors, co-trustees, joint tenants and directors of the corporation. Indeed, as with the doctrine of subrogation, the application of the principle is not restricted to certain limited categories of cases, but may extend to any co-obligors who are subject to a common liability, and where one of them has discharged more than a proportionate share of that mutual obligation.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599</w:t>
      </w:r>
      <w:r>
        <w:rPr>
          <w:rFonts w:ascii="arial" w:eastAsia="arial" w:hAnsi="arial" w:cs="arial"/>
          <w:color w:val="000000"/>
          <w:sz w:val="20"/>
          <w:lang w:val="en-US" w:eastAsia="en-US" w:bidi="ar-SA"/>
        </w:rPr>
        <w:t>  Mhinder asserts that the reality of the transaction was that Front Street Projects was the borrower, and Mhinder, Bhora and Gina were simply persons who pledged their credit so that Front Street Projects could obtain the funds. Apart from the labelling, he argues, their position was no different from that of the covenantors. He submits that contribution is an equitable doctrine and that equity looks to the intent, rather than the form.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600</w:t>
      </w:r>
      <w:r>
        <w:rPr>
          <w:rFonts w:ascii="arial" w:eastAsia="arial" w:hAnsi="arial" w:cs="arial"/>
          <w:color w:val="000000"/>
          <w:sz w:val="20"/>
          <w:lang w:val="en-US" w:eastAsia="en-US" w:bidi="ar-SA"/>
        </w:rPr>
        <w:t>  Mhinder then turns to clause 15 of the Standard Mortgage Terms, which are applicable to these mortgages and which include these subclauses: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15.(1) As the lender would not have agreed to lend the principal amount to the borrower without the promises of the covenantor and in consideration of the lender advancing all or part of the principal amount to the borrower at the request of the covenantor, the covenantor promises</w:t>
      </w:r>
    </w:p>
    <w:p>
      <w:pPr>
        <w:numPr>
          <w:numId w:val="5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to pay all the mortgage money when due, and</w:t>
      </w:r>
    </w:p>
    <w:p>
      <w:pPr>
        <w:numPr>
          <w:numId w:val="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keep and perform all the borrower's promises and agreements.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covenantor is a primary debtor to the same extent as if the covenantor had signed this mortgage as a borrower and is not merely as a guarantor or surety, and the covenantor's promises and agreements are joint and several with the borrower's promises and agreements. This means that the covenantor and borrower are both liable to perform all the borrower's promises and agreements.</w:t>
      </w:r>
    </w:p>
    <w:p>
      <w:pPr>
        <w:numPr>
          <w:numId w:val="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more than one person signs the mortgage form as covenantors, the promises are joint and several.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601</w:t>
      </w:r>
      <w:r>
        <w:rPr>
          <w:rFonts w:ascii="arial" w:eastAsia="arial" w:hAnsi="arial" w:cs="arial"/>
          <w:color w:val="000000"/>
          <w:sz w:val="20"/>
          <w:lang w:val="en-US" w:eastAsia="en-US" w:bidi="ar-SA"/>
        </w:rPr>
        <w:t>  On this basis, Mhinder submits that the solvent covenantors are liable to make contribution so that the burden is born equitably among the borrowers and covenantors together.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602</w:t>
      </w:r>
      <w:r>
        <w:rPr>
          <w:rFonts w:ascii="arial" w:eastAsia="arial" w:hAnsi="arial" w:cs="arial"/>
          <w:color w:val="000000"/>
          <w:sz w:val="20"/>
          <w:lang w:val="en-US" w:eastAsia="en-US" w:bidi="ar-SA"/>
        </w:rPr>
        <w:t xml:space="preserve">  I have already commented that the "family collective" analysis rejected in </w:t>
      </w:r>
      <w:r>
        <w:rPr>
          <w:rFonts w:ascii="arial" w:eastAsia="arial" w:hAnsi="arial" w:cs="arial"/>
          <w:i/>
          <w:color w:val="000000"/>
          <w:sz w:val="20"/>
          <w:lang w:val="en-US" w:eastAsia="en-US" w:bidi="ar-SA"/>
        </w:rPr>
        <w:t>Sangha</w:t>
      </w:r>
      <w:r>
        <w:rPr>
          <w:rFonts w:ascii="arial" w:eastAsia="arial" w:hAnsi="arial" w:cs="arial"/>
          <w:color w:val="000000"/>
          <w:sz w:val="20"/>
          <w:lang w:val="en-US" w:eastAsia="en-US" w:bidi="ar-SA"/>
        </w:rPr>
        <w:t xml:space="preserve"> cannot help Mhinder in this case. If Mhinder's "new family trust" claim had been established, which I found was not the case, then Gina should be looking to Mhinder and Bhora for recovery of what she contributed, and there could be no claim against the covenantors.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603</w:t>
      </w:r>
      <w:r>
        <w:rPr>
          <w:rFonts w:ascii="arial" w:eastAsia="arial" w:hAnsi="arial" w:cs="arial"/>
          <w:color w:val="000000"/>
          <w:sz w:val="20"/>
          <w:lang w:val="en-US" w:eastAsia="en-US" w:bidi="ar-SA"/>
        </w:rPr>
        <w:t xml:space="preserve">  Given my findings, it is my view that Mhinder's claim turns upon the contractual provisions set out in the Standard Mortgage Terms (see, for instance, </w:t>
      </w:r>
      <w:r>
        <w:rPr>
          <w:rFonts w:ascii="arial" w:eastAsia="arial" w:hAnsi="arial" w:cs="arial"/>
          <w:i/>
          <w:color w:val="000000"/>
          <w:sz w:val="20"/>
          <w:lang w:val="en-US" w:eastAsia="en-US" w:bidi="ar-SA"/>
        </w:rPr>
        <w:t>Jiricny v Jiricny</w:t>
      </w:r>
      <w:r>
        <w:rPr>
          <w:rFonts w:ascii="arial" w:eastAsia="arial" w:hAnsi="arial" w:cs="arial"/>
          <w:color w:val="000000"/>
          <w:sz w:val="20"/>
          <w:lang w:val="en-US" w:eastAsia="en-US" w:bidi="ar-SA"/>
        </w:rPr>
        <w:t xml:space="preserve">, </w:t>
      </w:r>
      <w:hyperlink r:id="rId848" w:history="1">
        <w:r>
          <w:rPr>
            <w:rFonts w:ascii="arial" w:eastAsia="arial" w:hAnsi="arial" w:cs="arial"/>
            <w:i/>
            <w:color w:val="0077CC"/>
            <w:sz w:val="20"/>
            <w:u w:val="single"/>
            <w:shd w:val="clear" w:color="auto" w:fill="FFFFFF"/>
            <w:lang w:val="en-US" w:eastAsia="en-US" w:bidi="ar-SA"/>
          </w:rPr>
          <w:t>[1996] B.C.J. No. 2174</w:t>
        </w:r>
      </w:hyperlink>
      <w:r>
        <w:rPr>
          <w:rFonts w:ascii="arial" w:eastAsia="arial" w:hAnsi="arial" w:cs="arial"/>
          <w:color w:val="000000"/>
          <w:sz w:val="20"/>
          <w:lang w:val="en-US" w:eastAsia="en-US" w:bidi="ar-SA"/>
        </w:rPr>
        <w:t xml:space="preserve"> (CA)). Those terms altered the traditional relationship between mortgagees, mortgagors and guarantors, in which the obligation of the guarantor was considered secondary to that of the mortgagor, and guarantors had a right to be indemnified by the principal debtor; see </w:t>
      </w:r>
      <w:r>
        <w:rPr>
          <w:rFonts w:ascii="arial" w:eastAsia="arial" w:hAnsi="arial" w:cs="arial"/>
          <w:i/>
          <w:color w:val="000000"/>
          <w:sz w:val="20"/>
          <w:lang w:val="en-US" w:eastAsia="en-US" w:bidi="ar-SA"/>
        </w:rPr>
        <w:t>Van De Mortel v Bank of Montreal</w:t>
      </w:r>
      <w:r>
        <w:rPr>
          <w:rFonts w:ascii="arial" w:eastAsia="arial" w:hAnsi="arial" w:cs="arial"/>
          <w:color w:val="000000"/>
          <w:sz w:val="20"/>
          <w:lang w:val="en-US" w:eastAsia="en-US" w:bidi="ar-SA"/>
        </w:rPr>
        <w:t xml:space="preserve">, </w:t>
      </w:r>
      <w:hyperlink r:id="rId849" w:history="1">
        <w:r>
          <w:rPr>
            <w:rFonts w:ascii="arial" w:eastAsia="arial" w:hAnsi="arial" w:cs="arial"/>
            <w:i/>
            <w:color w:val="0077CC"/>
            <w:sz w:val="20"/>
            <w:u w:val="single"/>
            <w:shd w:val="clear" w:color="auto" w:fill="FFFFFF"/>
            <w:lang w:val="en-US" w:eastAsia="en-US" w:bidi="ar-SA"/>
          </w:rPr>
          <w:t>2007 BCSC 1049</w:t>
        </w:r>
      </w:hyperlink>
      <w:r>
        <w:rPr>
          <w:rFonts w:ascii="arial" w:eastAsia="arial" w:hAnsi="arial" w:cs="arial"/>
          <w:color w:val="000000"/>
          <w:sz w:val="20"/>
          <w:lang w:val="en-US" w:eastAsia="en-US" w:bidi="ar-SA"/>
        </w:rPr>
        <w:t xml:space="preserve"> at paras 34-35. That right of indemnity did not work the other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604</w:t>
      </w:r>
      <w:r>
        <w:rPr>
          <w:rFonts w:ascii="arial" w:eastAsia="arial" w:hAnsi="arial" w:cs="arial"/>
          <w:color w:val="000000"/>
          <w:sz w:val="20"/>
          <w:lang w:val="en-US" w:eastAsia="en-US" w:bidi="ar-SA"/>
        </w:rPr>
        <w:t xml:space="preserve">  The Standard Mortgage Terms replace the categories of mortgagor and guarantor with those of borrower and covenantor. A principal difference is that, by clause 15, borrowers and covenantors are both </w:t>
      </w:r>
      <w:r>
        <w:rPr>
          <w:rFonts w:ascii="arial" w:eastAsia="arial" w:hAnsi="arial" w:cs="arial"/>
          <w:i/>
          <w:color w:val="000000"/>
          <w:sz w:val="20"/>
          <w:lang w:val="en-US" w:eastAsia="en-US" w:bidi="ar-SA"/>
        </w:rPr>
        <w:t>primarily</w:t>
      </w:r>
      <w:r>
        <w:rPr>
          <w:rFonts w:ascii="arial" w:eastAsia="arial" w:hAnsi="arial" w:cs="arial"/>
          <w:color w:val="000000"/>
          <w:sz w:val="20"/>
          <w:lang w:val="en-US" w:eastAsia="en-US" w:bidi="ar-SA"/>
        </w:rPr>
        <w:t xml:space="preserve"> liable to the lender on the "borrower's promises and agreements". The obligation of the covenantors is no longer secondary.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605</w:t>
      </w:r>
      <w:r>
        <w:rPr>
          <w:rFonts w:ascii="arial" w:eastAsia="arial" w:hAnsi="arial" w:cs="arial"/>
          <w:color w:val="000000"/>
          <w:sz w:val="20"/>
          <w:lang w:val="en-US" w:eastAsia="en-US" w:bidi="ar-SA"/>
        </w:rPr>
        <w:t>  This allows the lender to treat the covenantors as though they were borrowers, or 'co-obligors', rather than as parties whose obligations were secondary to those of the borrowers. But does it give the borrowers the right to treat the covenantors as 'co-obligors', and claim contribution from the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606</w:t>
      </w:r>
      <w:r>
        <w:rPr>
          <w:rFonts w:ascii="arial" w:eastAsia="arial" w:hAnsi="arial" w:cs="arial"/>
          <w:color w:val="000000"/>
          <w:sz w:val="20"/>
          <w:lang w:val="en-US" w:eastAsia="en-US" w:bidi="ar-SA"/>
        </w:rPr>
        <w:t>  The Standard Mortgage Terms have now been in effect for more than a quarter of a century, and the parties were unable to direct me to any authority considering this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607</w:t>
      </w:r>
      <w:r>
        <w:rPr>
          <w:rFonts w:ascii="arial" w:eastAsia="arial" w:hAnsi="arial" w:cs="arial"/>
          <w:color w:val="000000"/>
          <w:sz w:val="20"/>
          <w:lang w:val="en-US" w:eastAsia="en-US" w:bidi="ar-SA"/>
        </w:rPr>
        <w:t>  The defendants argue that the last sentence of clause 15(4) modifies the preceding provision that the covenantor's promises and agreements are joint and several with the borrower's promises and agreements. It modifies it by making it clear that it makes them both equally liable to the lender. That, the defendants submit, is very different from being liable to contribute as between the two classes of borrowers and covenantors.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608</w:t>
      </w:r>
      <w:r>
        <w:rPr>
          <w:rFonts w:ascii="arial" w:eastAsia="arial" w:hAnsi="arial" w:cs="arial"/>
          <w:color w:val="000000"/>
          <w:sz w:val="20"/>
          <w:lang w:val="en-US" w:eastAsia="en-US" w:bidi="ar-SA"/>
        </w:rPr>
        <w:t>  I agree with the defendants' position. It is difficult to understand why the Standard Mortgage Terms would otherwise maintain two separate classes of "borrowers" and "covenantors". When I look at the Terms as a whole, it is clear that the classes are indeed intended to be separate. Clauses 5 through 9 set out in detail the obligations of the borrower, and what happens to the borrower in the event of default. The effect of clause 15 is to give the lender the same rights against the covenantors, those rights being joint and several vis-à-vis the lender. This eliminated the obligations of a mortgagor to a guarantor, and facilitated the ability of a lender to recover funds from the covenantor, the covenantor's obligation becoming primary, rather than secondary. It is not, in my view, intended to give borrowers rights against covenantors. That would need to be done expressly, and thus expressly accepted by the covenantors.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609</w:t>
      </w:r>
      <w:r>
        <w:rPr>
          <w:rFonts w:ascii="arial" w:eastAsia="arial" w:hAnsi="arial" w:cs="arial"/>
          <w:color w:val="000000"/>
          <w:sz w:val="20"/>
          <w:lang w:val="en-US" w:eastAsia="en-US" w:bidi="ar-SA"/>
        </w:rPr>
        <w:t>  I can see no basis apart from these terms for making the order Mhinder seeks. Before things went awry, payments under the mortgage were made by Rita through Front Street Projects and through her other companies. No doubt Mhinder, Bhora and Gina all assumed that they would never be called upon. But they accepted the risk. The addition of the covenantors was at the demand of the lender to add to its security, not at the request of the borrowers to spread their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610</w:t>
      </w:r>
      <w:r>
        <w:rPr>
          <w:rFonts w:ascii="arial" w:eastAsia="arial" w:hAnsi="arial" w:cs="arial"/>
          <w:color w:val="000000"/>
          <w:sz w:val="20"/>
          <w:lang w:val="en-US" w:eastAsia="en-US" w:bidi="ar-SA"/>
        </w:rPr>
        <w:t>  Mhinder's Accredit Mortgage claim is dismissed. There are funds held in court to the credit of the foreclosure action in the total of $91,394.95. I am not in a position to make any order concerning their disposition because that is a separate action. The three borrowers are, of course, at liberty to apply in that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 THE CLAIM AGAINST MARC FURNEMONT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611</w:t>
      </w:r>
      <w:r>
        <w:rPr>
          <w:rFonts w:ascii="arial" w:eastAsia="arial" w:hAnsi="arial" w:cs="arial"/>
          <w:color w:val="000000"/>
          <w:sz w:val="20"/>
          <w:lang w:val="en-US" w:eastAsia="en-US" w:bidi="ar-SA"/>
        </w:rPr>
        <w:t>  Mhinder submits that Mr. Furnemont wronged him in two ways. First, Mhinder alleges that Mr. Furnemont failed to exercise reasonable care as a Certified General Accountant in maintaining the books and records by which the relative financial positions of Bhora and Mhinder should have been recorded. As a result, says Mhinder, the unequal treatment favouring Bhora was not brought to his attention until 2007. Second, Mhinder asserts that as his relationship with Bhora was breaking down in the spring of 2007, Mr. Furnemont took Bhora's side and "facilitated Bhora's scheming to defeat Mhinder".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612</w:t>
      </w:r>
      <w:r>
        <w:rPr>
          <w:rFonts w:ascii="arial" w:eastAsia="arial" w:hAnsi="arial" w:cs="arial"/>
          <w:color w:val="000000"/>
          <w:sz w:val="20"/>
          <w:lang w:val="en-US" w:eastAsia="en-US" w:bidi="ar-SA"/>
        </w:rPr>
        <w:t>  In this regard, Mhinder contends that Mr. Furnemont owed him a duty of care. He was not simply an employee of OCL, but was (as I have previously observed) deeply involved in the administration of nearly all the family companies, assisting all family members who were active in business. Mhinder points out that Mr. Furnemont had access to his bank accounts, reviewed his bank statements from time to time, and kept a supply of cheques signed in blank by Mhinder in case of need (see section 13.1 below). This, of course, was Mhinder's choice, given Mhinder's lack of interest in financial details and administration. And, as I have noted, Mr. Furnemont arranged for the movement of funds among members of the family, and prepared schedules for the preparation of their tax returns by outside accountants.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613</w:t>
      </w:r>
      <w:r>
        <w:rPr>
          <w:rFonts w:ascii="arial" w:eastAsia="arial" w:hAnsi="arial" w:cs="arial"/>
          <w:color w:val="000000"/>
          <w:sz w:val="20"/>
          <w:lang w:val="en-US" w:eastAsia="en-US" w:bidi="ar-SA"/>
        </w:rPr>
        <w:t>  Mhinder concedes that a question arises as to the consequence of the wrongs he alleges against Mr. Furnemont. He maintains, however, that Mr. Furnemont's misconduct exposed him to the risk that he will not be able to cover what he claims from Bhora by way of an accounting of the unequal treatment and recovery of net benefits. Specifically, Mhinder submits: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the end of the day, it may be that Mhinder has suffered only nominal damages. But if Bhora should prove unable to pay monies that he is found to be owing to Mhinder, Mr. Furnemont should be responsible for the shortfall to the extent of (a) the loss in respect of unequal treatment in the shareholder accounting ($641,603.45) and (b) the interest deficiency on the $300,000 loan ($44,300).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614</w:t>
      </w:r>
      <w:r>
        <w:rPr>
          <w:rFonts w:ascii="arial" w:eastAsia="arial" w:hAnsi="arial" w:cs="arial"/>
          <w:color w:val="000000"/>
          <w:sz w:val="20"/>
          <w:lang w:val="en-US" w:eastAsia="en-US" w:bidi="ar-SA"/>
        </w:rPr>
        <w:t xml:space="preserve">  The first allegation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based in part upon the expert opinion of Ms. Walters in reference to the CPA Canada Standards, General Accounting Section 1000 concerning the objective of financial statements. Ms. Walters concluded: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Based on our review of the general ledgers during the period from 2000 to 2007, we noted that there were inconsistencies between the accounting of financial transactions between the shareholders and between years reported upon. These inconsistencies prevented the general ledgers and the financial statements from being presented in a manner that was consistent with [Section 1000].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615</w:t>
      </w:r>
      <w:r>
        <w:rPr>
          <w:rFonts w:ascii="arial" w:eastAsia="arial" w:hAnsi="arial" w:cs="arial"/>
          <w:color w:val="000000"/>
          <w:sz w:val="20"/>
          <w:lang w:val="en-US" w:eastAsia="en-US" w:bidi="ar-SA"/>
        </w:rPr>
        <w:t>  From this it was argued that Mr. Furnemont was negligent because, in maintaining the general ledgers of the Osborne Group, he failed to adhere to generally accepted professional standards as set out in Ms. Walters' report. The principal concern here relates to Mr. Furnemont's shareholders' loan equalization entries.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616</w:t>
      </w:r>
      <w:r>
        <w:rPr>
          <w:rFonts w:ascii="arial" w:eastAsia="arial" w:hAnsi="arial" w:cs="arial"/>
          <w:color w:val="000000"/>
          <w:sz w:val="20"/>
          <w:lang w:val="en-US" w:eastAsia="en-US" w:bidi="ar-SA"/>
        </w:rPr>
        <w:t>  I am unable to accept that argument. First, Ms. Walters was obliged to concede in cross-examination that section 1000 sets standards for financial statements, not for the maintenance of general ledgers. Mr. Furnemont did not prepare financial statements. Those were prepared by Park &amp; Braithwaite, who reviewed the general ledgers and were well aware of the equalization entries. Park &amp; Braithwaite raised no concern about these, because, as Mr. Fitterer testified, the practice was long-standing, and never raised as a concern by Mhinder or anyone else. As I have already found, this manner of accounting had been employed on the instructions of the brothers' trust since Mr. Furnemont joined the Osborne Group, and all necessary information concerning this process was known to Mhinder even if he chose to pay no attention to it. Both Mr. Fitterer and Ms. Walters acknowledged that the manner in which Mr. Furnemont maintained the general ledgers, employing the shareholders' equalization process, did not conceal anything and was set out in plain and obvious terms.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617</w:t>
      </w:r>
      <w:r>
        <w:rPr>
          <w:rFonts w:ascii="arial" w:eastAsia="arial" w:hAnsi="arial" w:cs="arial"/>
          <w:color w:val="000000"/>
          <w:sz w:val="20"/>
          <w:lang w:val="en-US" w:eastAsia="en-US" w:bidi="ar-SA"/>
        </w:rPr>
        <w:t>  Second, I have already concluded (section 7.0 above) that Mhinder has no claim for equalization notwithstanding the existence of an apparent accounting error in relation to MIH. Any error in that regard can hardly be laid at the feet of Mr. Furnemont given the lack of clarity between the brothers.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618</w:t>
      </w:r>
      <w:r>
        <w:rPr>
          <w:rFonts w:ascii="arial" w:eastAsia="arial" w:hAnsi="arial" w:cs="arial"/>
          <w:color w:val="000000"/>
          <w:sz w:val="20"/>
          <w:lang w:val="en-US" w:eastAsia="en-US" w:bidi="ar-SA"/>
        </w:rPr>
        <w:t xml:space="preserve">  Turning to the second ground of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there is no doubt that as the relationship between Mhinder and Bhora deteriorated from March 2007 on, Mr. Furnemont found himself in an invidious position. That is why he resigned in September 2007 after 23 years' service to the Mayer family. I am unable, however, to find any breach of duty by Mr. Furnemont over this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619</w:t>
      </w:r>
      <w:r>
        <w:rPr>
          <w:rFonts w:ascii="arial" w:eastAsia="arial" w:hAnsi="arial" w:cs="arial"/>
          <w:color w:val="000000"/>
          <w:sz w:val="20"/>
          <w:lang w:val="en-US" w:eastAsia="en-US" w:bidi="ar-SA"/>
        </w:rPr>
        <w:t>  It will be recalled that in March 2007, Mhinder raised an objection to the $300,000 loan from OCL to Island Aggregates, and insisted on having signing authority. Mr. Furnemont quite properly pointed out to Mhinder that the matter of signing authority had to be resolved between Mhinder and Bhora and the banks. It was put to Mr. Furnemont that he could simply have refused to sign any further cheques without Mhinder's approval, but that would put on Mr. Furnemont's shoulders a burden that was not his to bear: solving Mhinder's problems with his brother.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620</w:t>
      </w:r>
      <w:r>
        <w:rPr>
          <w:rFonts w:ascii="arial" w:eastAsia="arial" w:hAnsi="arial" w:cs="arial"/>
          <w:color w:val="000000"/>
          <w:sz w:val="20"/>
          <w:lang w:val="en-US" w:eastAsia="en-US" w:bidi="ar-SA"/>
        </w:rPr>
        <w:t>  In the particular instance of the $300,000 loan, it is clear that Bhora approved it in every detail. Any accounting to Mhinder should be from Bhora, not Mr. Furnemont. But, as I have already found, Mhinder also approved it notwithstanding his later protestations.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621</w:t>
      </w:r>
      <w:r>
        <w:rPr>
          <w:rFonts w:ascii="arial" w:eastAsia="arial" w:hAnsi="arial" w:cs="arial"/>
          <w:color w:val="000000"/>
          <w:sz w:val="20"/>
          <w:lang w:val="en-US" w:eastAsia="en-US" w:bidi="ar-SA"/>
        </w:rPr>
        <w:t xml:space="preserve">  In these circumstances, Mhinder's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Mr. Furnemont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 GULF COAST MATERIALS AND THE OPPRESSION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12.1 </w:t>
      </w:r>
      <w:r>
        <w:rPr>
          <w:rFonts w:ascii="arial" w:eastAsia="arial" w:hAnsi="arial" w:cs="arial"/>
          <w:b/>
          <w:color w:val="000000"/>
          <w:sz w:val="20"/>
          <w:u w:val="single"/>
          <w:lang w:val="en-US" w:eastAsia="en-US" w:bidi="ar-SA"/>
        </w:rPr>
        <w:t>Overview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622</w:t>
      </w:r>
      <w:r>
        <w:rPr>
          <w:rFonts w:ascii="arial" w:eastAsia="arial" w:hAnsi="arial" w:cs="arial"/>
          <w:color w:val="000000"/>
          <w:sz w:val="20"/>
          <w:lang w:val="en-US" w:eastAsia="en-US" w:bidi="ar-SA"/>
        </w:rPr>
        <w:t>  After the change in focus that saw the brothers' trust retreat from ready-mix concrete operations in the years after Bhagwan's departure, GCM was the only remaining ITC in that business. Other concrete operations in the family that were not ITCs had been sold in the Lehigh transaction in 2001. In the years after that, GCM had been operated under the direction of Bhora and Mhinder as directors, but neither was directly involved in its operation. That was managed by a non-family member, who for several years up to 2007 was Mike Grundy.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623</w:t>
      </w:r>
      <w:r>
        <w:rPr>
          <w:rFonts w:ascii="arial" w:eastAsia="arial" w:hAnsi="arial" w:cs="arial"/>
          <w:color w:val="000000"/>
          <w:sz w:val="20"/>
          <w:lang w:val="en-US" w:eastAsia="en-US" w:bidi="ar-SA"/>
        </w:rPr>
        <w:t>  In late 2006, Mhinder began to turn his attention to GCM. He gave jobs there to his stepson, Ian Bestwick, and to Mr. Bestwick's school friend, whom I shall call 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624</w:t>
      </w:r>
      <w:r>
        <w:rPr>
          <w:rFonts w:ascii="arial" w:eastAsia="arial" w:hAnsi="arial" w:cs="arial"/>
          <w:color w:val="000000"/>
          <w:sz w:val="20"/>
          <w:lang w:val="en-US" w:eastAsia="en-US" w:bidi="ar-SA"/>
        </w:rPr>
        <w:t>  By March 2007, Mhinder had left his employment with Island Aggregates. Without consulting Bhora, he concentrated his attention on GCM and developed a plan to replace GCM's batch plant on Salt Spring Island. He involved both Mr. Helgesen and Mr. Allarie in this project. Mr. Helgesen and Mr. Allarie were on D &amp; A's payroll, but later switched over to the payroll of GCM. They fabricated material in the shop in Nanaimo, and were assisted by Mr. Bestwick and D. The new plant was installed and operational by July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625</w:t>
      </w:r>
      <w:r>
        <w:rPr>
          <w:rFonts w:ascii="arial" w:eastAsia="arial" w:hAnsi="arial" w:cs="arial"/>
          <w:color w:val="000000"/>
          <w:sz w:val="20"/>
          <w:lang w:val="en-US" w:eastAsia="en-US" w:bidi="ar-SA"/>
        </w:rPr>
        <w:t xml:space="preserve">  By this time, it will be recalled, the brothers had already commenced litigation. As recounted above in section 3.4, that litigation intensified over the ensuing years. This conflict spilled over into the operation of GCM until, on October 7-8, 2011, Bhora effectively ousted Mhinder from his position as </w:t>
      </w:r>
      <w:r>
        <w:rPr>
          <w:rFonts w:ascii="arial" w:eastAsia="arial" w:hAnsi="arial" w:cs="arial"/>
          <w:i/>
          <w:color w:val="000000"/>
          <w:sz w:val="20"/>
          <w:lang w:val="en-US" w:eastAsia="en-US" w:bidi="ar-SA"/>
        </w:rPr>
        <w:t>de facto</w:t>
      </w:r>
      <w:r>
        <w:rPr>
          <w:rFonts w:ascii="arial" w:eastAsia="arial" w:hAnsi="arial" w:cs="arial"/>
          <w:color w:val="000000"/>
          <w:sz w:val="20"/>
          <w:lang w:val="en-US" w:eastAsia="en-US" w:bidi="ar-SA"/>
        </w:rPr>
        <w:t xml:space="preserve"> general manager of the operation.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626</w:t>
      </w:r>
      <w:r>
        <w:rPr>
          <w:rFonts w:ascii="arial" w:eastAsia="arial" w:hAnsi="arial" w:cs="arial"/>
          <w:color w:val="000000"/>
          <w:sz w:val="20"/>
          <w:lang w:val="en-US" w:eastAsia="en-US" w:bidi="ar-SA"/>
        </w:rPr>
        <w:t>  Over the intervening years, the company had performed well under Mhinder's management and paid substantial management fees to OCL. Its success was due in part to a contract for the supply of concrete with Jim Dent Construction, which undertook a major project in the Gulf Islands for BC Hydro. That project finished in 2009. The business performed less well thereafter, and Mhinder maintains that after Bhora took over operational control in 2011, he ran the business into the 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627</w:t>
      </w:r>
      <w:r>
        <w:rPr>
          <w:rFonts w:ascii="arial" w:eastAsia="arial" w:hAnsi="arial" w:cs="arial"/>
          <w:color w:val="000000"/>
          <w:sz w:val="20"/>
          <w:lang w:val="en-US" w:eastAsia="en-US" w:bidi="ar-SA"/>
        </w:rPr>
        <w:t>  Mhinder points to the way Bhora treated him over these years, culminating with his ouster and Bhora's subsequent mismanagement, as oppressive conduct. He points to dealings between GCM and other ITCs under Bhora's control and family companies, mainly Richard's, as favouring the family companies at Mhinder's expense.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628</w:t>
      </w:r>
      <w:r>
        <w:rPr>
          <w:rFonts w:ascii="arial" w:eastAsia="arial" w:hAnsi="arial" w:cs="arial"/>
          <w:color w:val="000000"/>
          <w:sz w:val="20"/>
          <w:lang w:val="en-US" w:eastAsia="en-US" w:bidi="ar-SA"/>
        </w:rPr>
        <w:t>  Conflict between Bhora and Mhinder over the GCM operation began as soon Mhinder took over the company's management. From Bhora's perspective, it had been run successfully for many years under the management of Mr. Grundy, yet without any discussion or agreement, Mhinder had taken over the management and had dismissed Mr. Grundy and another employee, insinuating his own employees into the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629</w:t>
      </w:r>
      <w:r>
        <w:rPr>
          <w:rFonts w:ascii="arial" w:eastAsia="arial" w:hAnsi="arial" w:cs="arial"/>
          <w:color w:val="000000"/>
          <w:sz w:val="20"/>
          <w:lang w:val="en-US" w:eastAsia="en-US" w:bidi="ar-SA"/>
        </w:rPr>
        <w:t>  From Mhinder's perspective, as a co-owner of the business and co-beneficiary of the brothers' trust, he was perfectly entitled to take over management of GCM. He felt that his brother had left him little alternative. With respect to the employees, he was obliged to make personnel changes for the better function of the business, as was his right and responsibility as manager.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630</w:t>
      </w:r>
      <w:r>
        <w:rPr>
          <w:rFonts w:ascii="arial" w:eastAsia="arial" w:hAnsi="arial" w:cs="arial"/>
          <w:color w:val="000000"/>
          <w:sz w:val="20"/>
          <w:lang w:val="en-US" w:eastAsia="en-US" w:bidi="ar-SA"/>
        </w:rPr>
        <w:t>  I do not propose to review all of what happened between the brothers in relation to GCM in detail. The fact is, they were no longer acting in any kind of cooperative manner, which is what the successful operation of the brothers' trust required. Given the context of their escalating conflict, matters at GCM were unlikely to end well, and what occurred does neither of them credit. It included an ongoing disagreement about personnel leading among other things to some employees being unpaid while others were paid to do nothing, and complaints to the Employment Standards Tribunal. There was a significant dispute about the use of pump trucks and in particular Mhinder's use of an MIH pump truck on GCM jobs. Communications were marked by increasingly abusive accusations by Bhora. There was at least one physical altercation, and finally, the descent of Mhinder into forgery, theft and deceit (see paragraphs 100-107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631</w:t>
      </w:r>
      <w:r>
        <w:rPr>
          <w:rFonts w:ascii="arial" w:eastAsia="arial" w:hAnsi="arial" w:cs="arial"/>
          <w:color w:val="000000"/>
          <w:sz w:val="20"/>
          <w:lang w:val="en-US" w:eastAsia="en-US" w:bidi="ar-SA"/>
        </w:rPr>
        <w:t>  The culmination was what Mhinder describes as Bhora's "coup" in October 2011 and subsequent mismanagement that led to the decline of GCM's profitability and the enrichment of the family companies. The difficulty is in extracting what is actually claimed as a result of these allegations. Mhinder's claims relating to Bhora's management of GCM contracted significantly during the course of the trial in the face of evidence that Mhinder had consented to a number of the transactions that he alleged were improper.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12.2 </w:t>
      </w:r>
      <w:r>
        <w:rPr>
          <w:rFonts w:ascii="arial" w:eastAsia="arial" w:hAnsi="arial" w:cs="arial"/>
          <w:b/>
          <w:color w:val="000000"/>
          <w:sz w:val="20"/>
          <w:u w:val="single"/>
          <w:lang w:val="en-US" w:eastAsia="en-US" w:bidi="ar-SA"/>
        </w:rPr>
        <w:t>The oppression remedy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632</w:t>
      </w:r>
      <w:r>
        <w:rPr>
          <w:rFonts w:ascii="arial" w:eastAsia="arial" w:hAnsi="arial" w:cs="arial"/>
          <w:color w:val="000000"/>
          <w:sz w:val="20"/>
          <w:lang w:val="en-US" w:eastAsia="en-US" w:bidi="ar-SA"/>
        </w:rPr>
        <w:t xml:space="preserve">  The oppression remedy comprises a statutory claim, founded on section 227 of the </w:t>
      </w:r>
      <w:r>
        <w:rPr>
          <w:rFonts w:ascii="arial" w:eastAsia="arial" w:hAnsi="arial" w:cs="arial"/>
          <w:i/>
          <w:color w:val="000000"/>
          <w:sz w:val="20"/>
          <w:lang w:val="en-US" w:eastAsia="en-US" w:bidi="ar-SA"/>
        </w:rPr>
        <w:t>Business Corporations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2002, c 57</w:t>
      </w:r>
      <w:r>
        <w:rPr>
          <w:rFonts w:ascii="arial" w:eastAsia="arial" w:hAnsi="arial" w:cs="arial"/>
          <w:color w:val="000000"/>
          <w:sz w:val="20"/>
          <w:lang w:val="en-US" w:eastAsia="en-US" w:bidi="ar-SA"/>
        </w:rPr>
        <w:t xml:space="preserve"> ("BCA"):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227(1) For the purposes of this section, "shareholder" has the same meaning as in section 1(1) and includes a beneficial owner of a share of the company and any other person whom the court considers to be an appropriate person to make an application under this section.</w:t>
      </w:r>
    </w:p>
    <w:p>
      <w:pPr>
        <w:numPr>
          <w:numId w:val="5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shareholder may apply to the court for an order under this section on the ground</w:t>
      </w:r>
    </w:p>
    <w:p>
      <w:pPr>
        <w:numPr>
          <w:numId w:val="6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affairs of the company are being or have been conducted, or that the powers of the directors are being or have been exercised, in a manner oppressive to one or more of the shareholders, including the applicant, or</w:t>
      </w:r>
    </w:p>
    <w:p>
      <w:pPr>
        <w:numPr>
          <w:numId w:val="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some act of the company has been done or is threatened, or that some resolution of the shareholders or of the shareholders holding shares of a class or series of shares has been passed or is proposed, that is unfairly prejudicial to one or more of the shareholders, including the applicant.</w:t>
      </w:r>
    </w:p>
    <w:p>
      <w:pPr>
        <w:numPr>
          <w:numId w:val="6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an application under this section, the court may, with a view to remedying or bringing to an end the matters complained of and subject to subsection (4) of this section, make any interim or final order it considers appropriate, including an order</w:t>
      </w:r>
    </w:p>
    <w:p>
      <w:pPr>
        <w:numPr>
          <w:numId w:val="6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directing or prohibiting any act,</w:t>
      </w:r>
    </w:p>
    <w:p>
      <w:pPr>
        <w:numPr>
          <w:numId w:val="6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regulating the conduct of the company's affairs,</w:t>
      </w:r>
    </w:p>
    <w:p>
      <w:pPr>
        <w:numPr>
          <w:numId w:val="6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appointing a receiver or receiver manager,</w:t>
      </w:r>
    </w:p>
    <w:p>
      <w:pPr>
        <w:numPr>
          <w:numId w:val="6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directing an issue or conversion or exchange of shares,</w:t>
      </w:r>
    </w:p>
    <w:p>
      <w:pPr>
        <w:numPr>
          <w:numId w:val="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appointing directors in place of or in addition to all or any of the directors then in office,</w:t>
      </w:r>
    </w:p>
    <w:p>
      <w:pPr>
        <w:numPr>
          <w:numId w:val="6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removing any director,</w:t>
      </w:r>
    </w:p>
    <w:p>
      <w:pPr>
        <w:numPr>
          <w:numId w:val="6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directing the company, subject to subsections (5) and (6), to purchase some or all of the shares of a shareholder and, if required, to reduce its capital in the manner specified by the court,</w:t>
      </w:r>
    </w:p>
    <w:p>
      <w:pPr>
        <w:numPr>
          <w:numId w:val="7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directing a shareholder to purchase some or all of the shares of any other shareholder,</w:t>
      </w:r>
    </w:p>
    <w:p>
      <w:pPr>
        <w:numPr>
          <w:numId w:val="7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directing the company, subject to subsections (5) and (6), or any other person, to pay to a shareholder all or any part of the money paid by that shareholder for shares of the company,</w:t>
      </w:r>
    </w:p>
    <w:p>
      <w:pPr>
        <w:numPr>
          <w:numId w:val="7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varying or setting aside a transaction to which the company is a party and directing any party to the transaction to compensate any other party to the transaction,</w:t>
      </w:r>
    </w:p>
    <w:p>
      <w:pPr>
        <w:numPr>
          <w:numId w:val="7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varying or setting aside a resolution,</w:t>
      </w:r>
    </w:p>
    <w:p>
      <w:pPr>
        <w:numPr>
          <w:numId w:val="7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requiring the company, within a time specified by the court, to produce to the court or to an interested person financial statements or an accounting in any form the court may determine,</w:t>
      </w:r>
    </w:p>
    <w:p>
      <w:pPr>
        <w:numPr>
          <w:numId w:val="7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directing the company, subject to subsections (5) and (6), to compensate an aggrieved person,</w:t>
      </w:r>
    </w:p>
    <w:p>
      <w:pPr>
        <w:numPr>
          <w:numId w:val="7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directing correction of the registers or other records of the company,</w:t>
      </w:r>
    </w:p>
    <w:p>
      <w:pPr>
        <w:numPr>
          <w:numId w:val="77"/>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directing that the company be liquidated and dissolved, and appointing one or more liquidators, with or without security,</w:t>
      </w:r>
    </w:p>
    <w:p>
      <w:pPr>
        <w:numPr>
          <w:numId w:val="78"/>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directing that an investigation be made under Division 3 of this Part,</w:t>
      </w:r>
    </w:p>
    <w:p>
      <w:pPr>
        <w:numPr>
          <w:numId w:val="79"/>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requiring the trial of any issue, or</w:t>
      </w:r>
    </w:p>
    <w:p>
      <w:pPr>
        <w:numPr>
          <w:numId w:val="8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authorizing or directing that legal proceedings be commenced in the name of the company against any person on the terms the court directs.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633</w:t>
      </w:r>
      <w:r>
        <w:rPr>
          <w:rFonts w:ascii="arial" w:eastAsia="arial" w:hAnsi="arial" w:cs="arial"/>
          <w:color w:val="000000"/>
          <w:sz w:val="20"/>
          <w:lang w:val="en-US" w:eastAsia="en-US" w:bidi="ar-SA"/>
        </w:rPr>
        <w:t xml:space="preserve">  The applicable principles were usefully summarized by the Court of Appeal in </w:t>
      </w:r>
      <w:r>
        <w:rPr>
          <w:rFonts w:ascii="arial" w:eastAsia="arial" w:hAnsi="arial" w:cs="arial"/>
          <w:i/>
          <w:color w:val="000000"/>
          <w:sz w:val="20"/>
          <w:lang w:val="en-US" w:eastAsia="en-US" w:bidi="ar-SA"/>
        </w:rPr>
        <w:t>Jaguar Financial Corporation v Alternative Earth Resources Inc</w:t>
      </w:r>
      <w:r>
        <w:rPr>
          <w:rFonts w:ascii="arial" w:eastAsia="arial" w:hAnsi="arial" w:cs="arial"/>
          <w:color w:val="000000"/>
          <w:sz w:val="20"/>
          <w:lang w:val="en-US" w:eastAsia="en-US" w:bidi="ar-SA"/>
        </w:rPr>
        <w:t xml:space="preserve">, </w:t>
      </w:r>
      <w:hyperlink r:id="rId850" w:history="1">
        <w:r>
          <w:rPr>
            <w:rFonts w:ascii="arial" w:eastAsia="arial" w:hAnsi="arial" w:cs="arial"/>
            <w:i/>
            <w:color w:val="0077CC"/>
            <w:sz w:val="20"/>
            <w:u w:val="single"/>
            <w:shd w:val="clear" w:color="auto" w:fill="FFFFFF"/>
            <w:lang w:val="en-US" w:eastAsia="en-US" w:bidi="ar-SA"/>
          </w:rPr>
          <w:t>2016 BCCA 193</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[112] To be entitled to relief under the oppression remedy a petitioner must show that it held a reasonable expectation with respect to the conduct of the affairs of the company, and that the reasonable expectation was disappointed by conduct that was oppressive or unfairly prejudicial. The reasonable expectation must be assessed on an objective and contextual basis: </w:t>
      </w:r>
      <w:r>
        <w:rPr>
          <w:rFonts w:ascii="arial" w:eastAsia="arial" w:hAnsi="arial" w:cs="arial"/>
          <w:i/>
          <w:color w:val="000000"/>
          <w:sz w:val="20"/>
          <w:lang w:val="en-US" w:eastAsia="en-US" w:bidi="ar-SA"/>
        </w:rPr>
        <w:t>BCE Inc. v. 1976 Debentureholders</w:t>
      </w:r>
      <w:r>
        <w:rPr>
          <w:rFonts w:ascii="arial" w:eastAsia="arial" w:hAnsi="arial" w:cs="arial"/>
          <w:color w:val="000000"/>
          <w:sz w:val="20"/>
          <w:lang w:val="en-US" w:eastAsia="en-US" w:bidi="ar-SA"/>
        </w:rPr>
        <w:t xml:space="preserve">, </w:t>
      </w:r>
      <w:hyperlink r:id="rId851" w:history="1">
        <w:r>
          <w:rPr>
            <w:rFonts w:ascii="arial" w:eastAsia="arial" w:hAnsi="arial" w:cs="arial"/>
            <w:i/>
            <w:color w:val="0077CC"/>
            <w:sz w:val="20"/>
            <w:u w:val="single"/>
            <w:shd w:val="clear" w:color="auto" w:fill="FFFFFF"/>
            <w:lang w:val="en-US" w:eastAsia="en-US" w:bidi="ar-SA"/>
          </w:rPr>
          <w:t>2008 SCC 69</w:t>
        </w:r>
      </w:hyperlink>
      <w:r>
        <w:rPr>
          <w:rFonts w:ascii="arial" w:eastAsia="arial" w:hAnsi="arial" w:cs="arial"/>
          <w:color w:val="000000"/>
          <w:sz w:val="20"/>
          <w:lang w:val="en-US" w:eastAsia="en-US" w:bidi="ar-SA"/>
        </w:rPr>
        <w:t xml:space="preserve"> at paras. 62, 68.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[113] The reasonable expectations of the shareholders are assessed in a two-stage process. First, the subjective expectations of the complainant must be established. Second, an objective analysis of the complainant's expectations must be conducted to determine whether the expectations were reasonable.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[114] When analysing decisions of directors, the court applies the business judgment rule: that is, deference should be accorded to business decisions of directors taken in good faith in the performance of their duties. Directors owe their duty to the corporation, not to the shareholders, and the reasonable expectation of shareholders is simply that the directors act in the best interest of the corporation.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[115] In considering proof of a claimant's reasonable expectations, the Supreme Court of Canada in </w:t>
      </w:r>
      <w:r>
        <w:rPr>
          <w:rFonts w:ascii="arial" w:eastAsia="arial" w:hAnsi="arial" w:cs="arial"/>
          <w:i/>
          <w:color w:val="000000"/>
          <w:sz w:val="20"/>
          <w:lang w:val="en-US" w:eastAsia="en-US" w:bidi="ar-SA"/>
        </w:rPr>
        <w:t>BCE</w:t>
      </w:r>
      <w:r>
        <w:rPr>
          <w:rFonts w:ascii="arial" w:eastAsia="arial" w:hAnsi="arial" w:cs="arial"/>
          <w:color w:val="000000"/>
          <w:sz w:val="20"/>
          <w:lang w:val="en-US" w:eastAsia="en-US" w:bidi="ar-SA"/>
        </w:rPr>
        <w:t xml:space="preserve"> distils from the cases the following factors which form its analytical framework: general commercial practice, the nature of the corporation, the relationship between the parties, past practice, steps the claimant could have taken to protect itself, representations and agreements, and the fair resolution of conflicting interests between corporate stakeholders.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Mennillo v Intramodal Inc</w:t>
      </w:r>
      <w:r>
        <w:rPr>
          <w:rFonts w:ascii="arial" w:eastAsia="arial" w:hAnsi="arial" w:cs="arial"/>
          <w:color w:val="000000"/>
          <w:sz w:val="20"/>
          <w:lang w:val="en-US" w:eastAsia="en-US" w:bidi="ar-SA"/>
        </w:rPr>
        <w:t xml:space="preserve">, </w:t>
      </w:r>
      <w:hyperlink r:id="rId852" w:history="1">
        <w:r>
          <w:rPr>
            <w:rFonts w:ascii="arial" w:eastAsia="arial" w:hAnsi="arial" w:cs="arial"/>
            <w:i/>
            <w:color w:val="0077CC"/>
            <w:sz w:val="20"/>
            <w:u w:val="single"/>
            <w:shd w:val="clear" w:color="auto" w:fill="FFFFFF"/>
            <w:lang w:val="en-US" w:eastAsia="en-US" w:bidi="ar-SA"/>
          </w:rPr>
          <w:t>2016 SCC 51</w:t>
        </w:r>
      </w:hyperlink>
      <w:r>
        <w:rPr>
          <w:rFonts w:ascii="arial" w:eastAsia="arial" w:hAnsi="arial" w:cs="arial"/>
          <w:color w:val="000000"/>
          <w:sz w:val="20"/>
          <w:lang w:val="en-US" w:eastAsia="en-US" w:bidi="ar-SA"/>
        </w:rPr>
        <w:t xml:space="preserve">, the Supreme Court of Canada undertook a very similar analysis of the equivalent provision in the </w:t>
      </w:r>
      <w:r>
        <w:rPr>
          <w:rFonts w:ascii="arial" w:eastAsia="arial" w:hAnsi="arial" w:cs="arial"/>
          <w:i/>
          <w:color w:val="000000"/>
          <w:sz w:val="20"/>
          <w:lang w:val="en-US" w:eastAsia="en-US" w:bidi="ar-SA"/>
        </w:rPr>
        <w:t>Canada Business Corporations Act</w:t>
      </w:r>
      <w:r>
        <w:rPr>
          <w:rFonts w:ascii="arial" w:eastAsia="arial" w:hAnsi="arial" w:cs="arial"/>
          <w:color w:val="000000"/>
          <w:sz w:val="20"/>
          <w:lang w:val="en-US" w:eastAsia="en-US" w:bidi="ar-SA"/>
        </w:rPr>
        <w:t xml:space="preserve">, </w:t>
      </w:r>
      <w:hyperlink r:id="rId853" w:history="1">
        <w:r>
          <w:rPr>
            <w:rFonts w:ascii="arial" w:eastAsia="arial" w:hAnsi="arial" w:cs="arial"/>
            <w:i/>
            <w:color w:val="0077CC"/>
            <w:sz w:val="20"/>
            <w:u w:val="single"/>
            <w:shd w:val="clear" w:color="auto" w:fill="FFFFFF"/>
            <w:lang w:val="en-US" w:eastAsia="en-US" w:bidi="ar-SA"/>
          </w:rPr>
          <w:t>RSC 1985, c C-44, section 241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635</w:t>
      </w:r>
      <w:r>
        <w:rPr>
          <w:rFonts w:ascii="arial" w:eastAsia="arial" w:hAnsi="arial" w:cs="arial"/>
          <w:color w:val="000000"/>
          <w:sz w:val="20"/>
          <w:lang w:val="en-US" w:eastAsia="en-US" w:bidi="ar-SA"/>
        </w:rPr>
        <w:t>  Mhinder claims relief on the basis that he was unfairly deprived of his role in the management of GCM (and any other ITC) notwithstanding his reasonable expectation, as a co-beneficiary and co-trustee of the brothers' trust, of equal treatment, and that the affairs of GCM in particular, and the ITCs in general, were managed by Bhora in a manner unfairly prejudicial to his interests as an equal beneficial shareholder by favouring Bhora's family over Mhinder and the interests of the ITCs.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12.3 </w:t>
      </w:r>
      <w:r>
        <w:rPr>
          <w:rFonts w:ascii="arial" w:eastAsia="arial" w:hAnsi="arial" w:cs="arial"/>
          <w:b/>
          <w:color w:val="000000"/>
          <w:sz w:val="20"/>
          <w:u w:val="single"/>
          <w:lang w:val="en-US" w:eastAsia="en-US" w:bidi="ar-SA"/>
        </w:rPr>
        <w:t>Personnel matters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12.3.1 </w:t>
      </w:r>
      <w:r>
        <w:rPr>
          <w:rFonts w:ascii="arial" w:eastAsia="arial" w:hAnsi="arial" w:cs="arial"/>
          <w:b/>
          <w:i/>
          <w:color w:val="000000"/>
          <w:sz w:val="20"/>
          <w:lang w:val="en-US" w:eastAsia="en-US" w:bidi="ar-SA"/>
        </w:rPr>
        <w:t>Mr. Grundy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636</w:t>
      </w:r>
      <w:r>
        <w:rPr>
          <w:rFonts w:ascii="arial" w:eastAsia="arial" w:hAnsi="arial" w:cs="arial"/>
          <w:color w:val="000000"/>
          <w:sz w:val="20"/>
          <w:lang w:val="en-US" w:eastAsia="en-US" w:bidi="ar-SA"/>
        </w:rPr>
        <w:t>  Much was made of Mhinder's dismissal of Mr. Grundy. There were certainly complaints from the existing staff about the way Mhinder treated them when he took over control of the management, although Mr. Grundy did not testify. Bhora did not accept the dismissal, and supported Mr. Grundy. As a result, Mr. Grundy continued to be paid (salaries were paid through the office in Nanaimo) although he did not continue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637</w:t>
      </w:r>
      <w:r>
        <w:rPr>
          <w:rFonts w:ascii="arial" w:eastAsia="arial" w:hAnsi="arial" w:cs="arial"/>
          <w:color w:val="000000"/>
          <w:sz w:val="20"/>
          <w:lang w:val="en-US" w:eastAsia="en-US" w:bidi="ar-SA"/>
        </w:rPr>
        <w:t>  Mhinder maintains that Bhora should account for the wasted salary paid to Mr. Grundy after Mhinder dismissed him. But Mr. Grundy was a long-term employee and may well have been entitled to continued salary by way of notice. I did not hear from him, and although Mhinder proffered a reasonable explanation for his actions in dismissing Mr. Grundy, it is impossible for me to say on the evidence whether Mr. Grundy was dismissed for cause. Consequently, the evidence does not allow me to conclude that Bhora was wrong to continue paying salary to Mr. Grundy.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12.3.2 </w:t>
      </w:r>
      <w:r>
        <w:rPr>
          <w:rFonts w:ascii="arial" w:eastAsia="arial" w:hAnsi="arial" w:cs="arial"/>
          <w:b/>
          <w:i/>
          <w:color w:val="000000"/>
          <w:sz w:val="20"/>
          <w:lang w:val="en-US" w:eastAsia="en-US" w:bidi="ar-SA"/>
        </w:rPr>
        <w:t>Mr. Helgesen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638</w:t>
      </w:r>
      <w:r>
        <w:rPr>
          <w:rFonts w:ascii="arial" w:eastAsia="arial" w:hAnsi="arial" w:cs="arial"/>
          <w:color w:val="000000"/>
          <w:sz w:val="20"/>
          <w:lang w:val="en-US" w:eastAsia="en-US" w:bidi="ar-SA"/>
        </w:rPr>
        <w:t>  Bhora refused to recognize Mr. Helgesen's employment with GCM, as he had been a D &amp; A employee. Bhora made his position in this regard clear from the start, both to Mhinder and Mr. Helgesen. Mhinder nevertheless proceeded to treat Mr. Helgesen as an employee. Because Bhora, as president of the company, remained administratively in charge, Mr. Helgesen was not paid for his work. Instead, Kelly lent him money in lieu of salary on the understanding that she would get it back from Mr. Helgesen once Mhinder and Bhora had sorted things out, and Mr. Helgesen was paid by GCM. Ultimately, Mr. Helgesen complained to the Employment Standards Tribunal, where the matter evolved into a protracted and bitter dispute.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639</w:t>
      </w:r>
      <w:r>
        <w:rPr>
          <w:rFonts w:ascii="arial" w:eastAsia="arial" w:hAnsi="arial" w:cs="arial"/>
          <w:color w:val="000000"/>
          <w:sz w:val="20"/>
          <w:lang w:val="en-US" w:eastAsia="en-US" w:bidi="ar-SA"/>
        </w:rPr>
        <w:t>  After a lengthy administrative process, judicial review (</w:t>
      </w:r>
      <w:r>
        <w:rPr>
          <w:rFonts w:ascii="arial" w:eastAsia="arial" w:hAnsi="arial" w:cs="arial"/>
          <w:i/>
          <w:color w:val="000000"/>
          <w:sz w:val="20"/>
          <w:lang w:val="en-US" w:eastAsia="en-US" w:bidi="ar-SA"/>
        </w:rPr>
        <w:t>Gulf Coast Materials Ltd v Helgesen</w:t>
      </w:r>
      <w:r>
        <w:rPr>
          <w:rFonts w:ascii="arial" w:eastAsia="arial" w:hAnsi="arial" w:cs="arial"/>
          <w:color w:val="000000"/>
          <w:sz w:val="20"/>
          <w:lang w:val="en-US" w:eastAsia="en-US" w:bidi="ar-SA"/>
        </w:rPr>
        <w:t xml:space="preserve">, </w:t>
      </w:r>
      <w:hyperlink r:id="rId854" w:history="1">
        <w:r>
          <w:rPr>
            <w:rFonts w:ascii="arial" w:eastAsia="arial" w:hAnsi="arial" w:cs="arial"/>
            <w:i/>
            <w:color w:val="0077CC"/>
            <w:sz w:val="20"/>
            <w:u w:val="single"/>
            <w:shd w:val="clear" w:color="auto" w:fill="FFFFFF"/>
            <w:lang w:val="en-US" w:eastAsia="en-US" w:bidi="ar-SA"/>
          </w:rPr>
          <w:t>2010 BCSC 1169</w:t>
        </w:r>
      </w:hyperlink>
      <w:r>
        <w:rPr>
          <w:rFonts w:ascii="arial" w:eastAsia="arial" w:hAnsi="arial" w:cs="arial"/>
          <w:color w:val="000000"/>
          <w:sz w:val="20"/>
          <w:lang w:val="en-US" w:eastAsia="en-US" w:bidi="ar-SA"/>
        </w:rPr>
        <w:t xml:space="preserve">) and reconsideration, the Employment Standards Branch concluded that Mr. Helgesen had been an employee, and was entitled to an award of approximately $55,000 on the basis that the amount lent by Kelly should be treated as wages paid by GCM. In the </w:t>
      </w:r>
      <w:r>
        <w:rPr>
          <w:rFonts w:ascii="arial" w:eastAsia="arial" w:hAnsi="arial" w:cs="arial"/>
          <w:i/>
          <w:color w:val="000000"/>
          <w:sz w:val="20"/>
          <w:lang w:val="en-US" w:eastAsia="en-US" w:bidi="ar-SA"/>
        </w:rPr>
        <w:t>Gulf Coast Materials</w:t>
      </w:r>
      <w:r>
        <w:rPr>
          <w:rFonts w:ascii="arial" w:eastAsia="arial" w:hAnsi="arial" w:cs="arial"/>
          <w:color w:val="000000"/>
          <w:sz w:val="20"/>
          <w:lang w:val="en-US" w:eastAsia="en-US" w:bidi="ar-SA"/>
        </w:rPr>
        <w:t xml:space="preserve"> decision, Mr. Justice Davies commented: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[73] It is obvious that the resolution of the dispute between Mr. Helgesen and Gulf Coast was, unfortunately, hijacked by hard-fought issues concerning the corporate governance of Gulf Coast and other related ongoing disputes between Mhinder Mayer and Bhora Mayer...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640</w:t>
      </w:r>
      <w:r>
        <w:rPr>
          <w:rFonts w:ascii="arial" w:eastAsia="arial" w:hAnsi="arial" w:cs="arial"/>
          <w:color w:val="000000"/>
          <w:sz w:val="20"/>
          <w:lang w:val="en-US" w:eastAsia="en-US" w:bidi="ar-SA"/>
        </w:rPr>
        <w:t xml:space="preserve">  Bhora then took the extraordinary step of commencing action on behalf of GCM against the Employment Standards Branch, alleging misfeasance in public office. The notice of civil claim was struck, with costs to the defendant: </w:t>
      </w:r>
      <w:r>
        <w:rPr>
          <w:rFonts w:ascii="arial" w:eastAsia="arial" w:hAnsi="arial" w:cs="arial"/>
          <w:i/>
          <w:color w:val="000000"/>
          <w:sz w:val="20"/>
          <w:lang w:val="en-US" w:eastAsia="en-US" w:bidi="ar-SA"/>
        </w:rPr>
        <w:t>Gulf Coast Materials Ltd v British Columbia (Ministry of Jobs, Tourism and Skills Training</w:t>
      </w:r>
      <w:r>
        <w:rPr>
          <w:rFonts w:ascii="arial" w:eastAsia="arial" w:hAnsi="arial" w:cs="arial"/>
          <w:color w:val="000000"/>
          <w:sz w:val="20"/>
          <w:lang w:val="en-US" w:eastAsia="en-US" w:bidi="ar-SA"/>
        </w:rPr>
        <w:t xml:space="preserve">), </w:t>
      </w:r>
      <w:hyperlink r:id="rId855" w:history="1">
        <w:r>
          <w:rPr>
            <w:rFonts w:ascii="arial" w:eastAsia="arial" w:hAnsi="arial" w:cs="arial"/>
            <w:i/>
            <w:color w:val="0077CC"/>
            <w:sz w:val="20"/>
            <w:u w:val="single"/>
            <w:shd w:val="clear" w:color="auto" w:fill="FFFFFF"/>
            <w:lang w:val="en-US" w:eastAsia="en-US" w:bidi="ar-SA"/>
          </w:rPr>
          <w:t>2016 BCSC 980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641</w:t>
      </w:r>
      <w:r>
        <w:rPr>
          <w:rFonts w:ascii="arial" w:eastAsia="arial" w:hAnsi="arial" w:cs="arial"/>
          <w:color w:val="000000"/>
          <w:sz w:val="20"/>
          <w:lang w:val="en-US" w:eastAsia="en-US" w:bidi="ar-SA"/>
        </w:rPr>
        <w:t>  In my view, both Bhora and Mhinder acted stubbornly in relation to Mr. Helgesen's employment. Mr. Helgesen and Kelly were, in a sense, the victims of their contrariness. But neither Mr. Helgesen nor Kelly has advanced a claim in this proceeding, and the circumstances do not otherwise give rise to a claim for relief on Mhinder's part.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12.3.3 </w:t>
      </w:r>
      <w:r>
        <w:rPr>
          <w:rFonts w:ascii="arial" w:eastAsia="arial" w:hAnsi="arial" w:cs="arial"/>
          <w:b/>
          <w:i/>
          <w:color w:val="000000"/>
          <w:sz w:val="20"/>
          <w:lang w:val="en-US" w:eastAsia="en-US" w:bidi="ar-SA"/>
        </w:rPr>
        <w:t>D and Mr. Bestwick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642</w:t>
      </w:r>
      <w:r>
        <w:rPr>
          <w:rFonts w:ascii="arial" w:eastAsia="arial" w:hAnsi="arial" w:cs="arial"/>
          <w:color w:val="000000"/>
          <w:sz w:val="20"/>
          <w:lang w:val="en-US" w:eastAsia="en-US" w:bidi="ar-SA"/>
        </w:rPr>
        <w:t>  D was fired at Bhora's direction on October 6, 2011, allegedly for failing to provide information about missing company funds. I accept that D did not take any money from GCM; only Mhinder did that. Regrettably, what D did do was follow Mhinder's direction to prepare a revised (and false) dispatch sheet for September 1, 2011, that omitted the delivery to B for which Mhinder was paid cash (see paragraphs 102-104 above). D testified that he was unaware that by doing so, he was concealing anything. He was simply doing what his boss told him to do. That might be so, but that conduct would possibly justify his dismissal even if Bhora was unaware of it until later. The point was not fully argued.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643</w:t>
      </w:r>
      <w:r>
        <w:rPr>
          <w:rFonts w:ascii="arial" w:eastAsia="arial" w:hAnsi="arial" w:cs="arial"/>
          <w:color w:val="000000"/>
          <w:sz w:val="20"/>
          <w:lang w:val="en-US" w:eastAsia="en-US" w:bidi="ar-SA"/>
        </w:rPr>
        <w:t>  Mr. Bestwick was another casualty of the dispute between the brothers. I found him to be a careful and reliable witness. As part of his remuneration for moving over to Salt Spring to work for GCM, GCM agreed (per Mhinder) to pay for his rental accommodation. When matters deteriorated between Bhora and Mhinder in the spring of 2007, Bhora stopped the rent payments. Bhora also refused to authorize the payment of overtime to Mr. Bestwick, and further applications to the Employment Standards Branch ensued. But Mr. Bestwick has no claim in this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644</w:t>
      </w:r>
      <w:r>
        <w:rPr>
          <w:rFonts w:ascii="arial" w:eastAsia="arial" w:hAnsi="arial" w:cs="arial"/>
          <w:color w:val="000000"/>
          <w:sz w:val="20"/>
          <w:lang w:val="en-US" w:eastAsia="en-US" w:bidi="ar-SA"/>
        </w:rPr>
        <w:t>  The main force of Mr. Bestwick's evidence related to obstructive and abusive behaviour on Bhora's part, and I accept that it occurred. It is consistent with the abusive language Bhora habitually used in his emails to Mhinder. But, as I discuss below, it must be viewed in context.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12.3.4 </w:t>
      </w:r>
      <w:r>
        <w:rPr>
          <w:rFonts w:ascii="arial" w:eastAsia="arial" w:hAnsi="arial" w:cs="arial"/>
          <w:b/>
          <w:i/>
          <w:color w:val="000000"/>
          <w:sz w:val="20"/>
          <w:lang w:val="en-US" w:eastAsia="en-US" w:bidi="ar-SA"/>
        </w:rPr>
        <w:t>Ms. Thompson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645</w:t>
      </w:r>
      <w:r>
        <w:rPr>
          <w:rFonts w:ascii="arial" w:eastAsia="arial" w:hAnsi="arial" w:cs="arial"/>
          <w:color w:val="000000"/>
          <w:sz w:val="20"/>
          <w:lang w:val="en-US" w:eastAsia="en-US" w:bidi="ar-SA"/>
        </w:rPr>
        <w:t>  In the fall of 2009, Bhora inserted Pauline Thompson into the GCM office on Salt Spring. Bhora did so because he was concerned that he was not getting proper reporting from the plant. Given the breakdown between the brothers, he had reason to be so concerned. Mhinder viewed Ms. Thompson with suspicion as someone who was Bhora's agent to report on his activities. There is no doubt that Ms. Thompson considered herself to be on team Bhora, and was particularly concerned about the disappearance of pumping revenue, discussed below. There were valid reasons for this concern. There is also no doubt that Mhinder did his best to frustrate her in any way 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646</w:t>
      </w:r>
      <w:r>
        <w:rPr>
          <w:rFonts w:ascii="arial" w:eastAsia="arial" w:hAnsi="arial" w:cs="arial"/>
          <w:color w:val="000000"/>
          <w:sz w:val="20"/>
          <w:lang w:val="en-US" w:eastAsia="en-US" w:bidi="ar-SA"/>
        </w:rPr>
        <w:t>  Another partisan of Bhora inserted into GCM, but this time with Mhinder's agreement, was Brian McLeod. Things did not go well between Mr. McLeod and Mhinder, and Mhinder terminated his employment soon after he started. I found much of Mr. McLeod's evidence to be implausible, and his testimony about some rather strange actions on the part of Mr. Bestwick and D was never put to those witnesses when they testified. In the result, I give Mr. McLeod's evidence no weight.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12.4 </w:t>
      </w:r>
      <w:r>
        <w:rPr>
          <w:rFonts w:ascii="arial" w:eastAsia="arial" w:hAnsi="arial" w:cs="arial"/>
          <w:b/>
          <w:color w:val="000000"/>
          <w:sz w:val="20"/>
          <w:u w:val="single"/>
          <w:lang w:val="en-US" w:eastAsia="en-US" w:bidi="ar-SA"/>
        </w:rPr>
        <w:t>The pump trucks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647</w:t>
      </w:r>
      <w:r>
        <w:rPr>
          <w:rFonts w:ascii="arial" w:eastAsia="arial" w:hAnsi="arial" w:cs="arial"/>
          <w:color w:val="000000"/>
          <w:sz w:val="20"/>
          <w:lang w:val="en-US" w:eastAsia="en-US" w:bidi="ar-SA"/>
        </w:rPr>
        <w:t>  Pump trucks are an important adjunct to the delivery of ready-mix concrete to building sites. They allow concrete to be delivered from the mixer truck to where it is needed at the site by means of a boom or a line, rather than a wheelbarrow.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648</w:t>
      </w:r>
      <w:r>
        <w:rPr>
          <w:rFonts w:ascii="arial" w:eastAsia="arial" w:hAnsi="arial" w:cs="arial"/>
          <w:color w:val="000000"/>
          <w:sz w:val="20"/>
          <w:lang w:val="en-US" w:eastAsia="en-US" w:bidi="ar-SA"/>
        </w:rPr>
        <w:t>  In early 2007, GCM owned two pump trucks, a boom unit on a 1985 truck, #107, and a line unit, #113. At the end of March, it acquired another boom unit, #137, on a 1997 truck, which it leased from Rita's company, Custom Pumping. Custom Pumping had bought it from Island Aggregates for $170,000.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649</w:t>
      </w:r>
      <w:r>
        <w:rPr>
          <w:rFonts w:ascii="arial" w:eastAsia="arial" w:hAnsi="arial" w:cs="arial"/>
          <w:color w:val="000000"/>
          <w:sz w:val="20"/>
          <w:lang w:val="en-US" w:eastAsia="en-US" w:bidi="ar-SA"/>
        </w:rPr>
        <w:t>  In October 2007, Custom sold unit #137 to GCM for $185,000, taking the old #107 in trade for $25,000. Bhora engineered this transaction without Mhinder's involvement. He then arranged for the removal of unit #107 from Salt Spring.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650</w:t>
      </w:r>
      <w:r>
        <w:rPr>
          <w:rFonts w:ascii="arial" w:eastAsia="arial" w:hAnsi="arial" w:cs="arial"/>
          <w:color w:val="000000"/>
          <w:sz w:val="20"/>
          <w:lang w:val="en-US" w:eastAsia="en-US" w:bidi="ar-SA"/>
        </w:rPr>
        <w:t>  It was unit #137 that had the unfortunate encounter with a Hydro line in July 2007. It was inspected by Island Nondestructive Inspection Ltd ("INDI") on July 26, 2007, and pronounced fit for certification with a recommendation that its two front tires be replaced. According to Bhora, this was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651</w:t>
      </w:r>
      <w:r>
        <w:rPr>
          <w:rFonts w:ascii="arial" w:eastAsia="arial" w:hAnsi="arial" w:cs="arial"/>
          <w:color w:val="000000"/>
          <w:sz w:val="20"/>
          <w:lang w:val="en-US" w:eastAsia="en-US" w:bidi="ar-SA"/>
        </w:rPr>
        <w:t>  WorkSafe BC had issued orders in relation to unit #137 as a result of its contact with the Hydro line. On January 28, 2008, a WorkSafe inspector attended to see that the orders had been carried out. He concluded that they had. But according to Mhinder, he raised questions which led Mhinder to query whether the unit was in fact safe to operate without further certification. He arranged for Mr. Helgesen to fax the INDI inspector to question whether his certification was still valid given that (1) the boom pins had not been removed and inspected, and (2) the front tires had yet to be changed.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652</w:t>
      </w:r>
      <w:r>
        <w:rPr>
          <w:rFonts w:ascii="arial" w:eastAsia="arial" w:hAnsi="arial" w:cs="arial"/>
          <w:color w:val="000000"/>
          <w:sz w:val="20"/>
          <w:lang w:val="en-US" w:eastAsia="en-US" w:bidi="ar-SA"/>
        </w:rPr>
        <w:t>  The INDI inspector found himself caught in the middle. With respect to (1), he noted that the owner was free to carry out such an inspection at any time. With respect to (2), he agreed that the tires should have been replaced by then, although he had received conflicting information from Bhora. He reported that he was uncomfortable with the situation, and refused to be involved any further on the sensible ground that his reports were being used as leverage in internal company or family conflicts.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653</w:t>
      </w:r>
      <w:r>
        <w:rPr>
          <w:rFonts w:ascii="arial" w:eastAsia="arial" w:hAnsi="arial" w:cs="arial"/>
          <w:color w:val="000000"/>
          <w:sz w:val="20"/>
          <w:lang w:val="en-US" w:eastAsia="en-US" w:bidi="ar-SA"/>
        </w:rPr>
        <w:t>  Mhinder purported to remain concerned that unit #137 was not safe to use (although he presumably could easily have made it safe had he chosen to do so), and kept it out of service. Bhora removed it in March 2008, to have it thoroughly inspected, and did not return it until late November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654</w:t>
      </w:r>
      <w:r>
        <w:rPr>
          <w:rFonts w:ascii="arial" w:eastAsia="arial" w:hAnsi="arial" w:cs="arial"/>
          <w:color w:val="000000"/>
          <w:sz w:val="20"/>
          <w:lang w:val="en-US" w:eastAsia="en-US" w:bidi="ar-SA"/>
        </w:rPr>
        <w:t>  Mhinder, however, needed the use of a pump truck in connection with GCM's services. He solved the problem by purchasing a used boom pump truck on March 28, 2008, through MIH for US$252,000. Thereafter, he provided concrete pumping services to GCM's customers with this truck, for which he billed through MIH.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655</w:t>
      </w:r>
      <w:r>
        <w:rPr>
          <w:rFonts w:ascii="arial" w:eastAsia="arial" w:hAnsi="arial" w:cs="arial"/>
          <w:color w:val="000000"/>
          <w:sz w:val="20"/>
          <w:lang w:val="en-US" w:eastAsia="en-US" w:bidi="ar-SA"/>
        </w:rPr>
        <w:t>  Bhora complains that Mhinder thereby appropriated profits from concrete pumping for what he claimed was his own company, MIH, when they belonged to the brothers' trust company, GCM. He also maintains that Mhinder used GCM employees in delivering those pump services. Bhora professed ignorance to Mhinder at the time, demanding to know who owned the pump truck that was sitting in GCM's yard. I say "professed", because the truck's owner, MIH, was stenciled on its side. There was nothing particularly secret about it, but Bhora justifiably sought confirmation of both the use of the truck and the manner in which it was 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656</w:t>
      </w:r>
      <w:r>
        <w:rPr>
          <w:rFonts w:ascii="arial" w:eastAsia="arial" w:hAnsi="arial" w:cs="arial"/>
          <w:color w:val="000000"/>
          <w:sz w:val="20"/>
          <w:lang w:val="en-US" w:eastAsia="en-US" w:bidi="ar-SA"/>
        </w:rPr>
        <w:t>  Bhora returned unit #137 to GCM on Salt Spring Island on November 26, 2009. Bhora had renamed it unit #180, but I will continue to use the original designation of #137. Thereafter, Mhinder nevertheless continued to use the MIH pump, which he considered to be better. While Mhinder sought to paint unit #137 as practically derelict, I am not convinced. He failed to persuade me that it was in the interests of GCM and its customers to deliver pumping services via MIH's unit instead of unit #137.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657</w:t>
      </w:r>
      <w:r>
        <w:rPr>
          <w:rFonts w:ascii="arial" w:eastAsia="arial" w:hAnsi="arial" w:cs="arial"/>
          <w:color w:val="000000"/>
          <w:sz w:val="20"/>
          <w:lang w:val="en-US" w:eastAsia="en-US" w:bidi="ar-SA"/>
        </w:rPr>
        <w:t>  I accept that Mhinder ought not to be faulted for purchasing a pump truck through MIH and providing pumping services to GCM customers through MIH from April 2008 up to November 26, 2009. The relationship between him and Bhora did not permit the purchase of a new pump truck by GCM, and the evidence disclosed no practical alternative given unit #137's absence. But once unit #137 returned to active duty, Mhinder ought to have used it in place of MIH's truck, and must account accordingly. He must also account for the use of 'GCM employee time' in the delivery of MIH pump services throughout the entire period after April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658</w:t>
      </w:r>
      <w:r>
        <w:rPr>
          <w:rFonts w:ascii="arial" w:eastAsia="arial" w:hAnsi="arial" w:cs="arial"/>
          <w:color w:val="000000"/>
          <w:sz w:val="20"/>
          <w:lang w:val="en-US" w:eastAsia="en-US" w:bidi="ar-SA"/>
        </w:rPr>
        <w:t>  What would have been apparent to Bhora, looking over GCM's finances, is that gross revenue was down by no small amount because of the loss of revenue from pumping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12.5 </w:t>
      </w:r>
      <w:r>
        <w:rPr>
          <w:rFonts w:ascii="arial" w:eastAsia="arial" w:hAnsi="arial" w:cs="arial"/>
          <w:b/>
          <w:color w:val="000000"/>
          <w:sz w:val="20"/>
          <w:u w:val="single"/>
          <w:lang w:val="en-US" w:eastAsia="en-US" w:bidi="ar-SA"/>
        </w:rPr>
        <w:t>Bhora's takeover of GCM's management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659</w:t>
      </w:r>
      <w:r>
        <w:rPr>
          <w:rFonts w:ascii="arial" w:eastAsia="arial" w:hAnsi="arial" w:cs="arial"/>
          <w:color w:val="000000"/>
          <w:sz w:val="20"/>
          <w:lang w:val="en-US" w:eastAsia="en-US" w:bidi="ar-SA"/>
        </w:rPr>
        <w:t>  As an instance of alleged oppression and unfair prejudice, Mhinder claims that he was expelled by Bhora from the management of GCM, and has since been denied any role in the management of any of the ITCs. This, Mhinder submits, cuts to the core of his reasonable expectations of participation in the business as an owner.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660</w:t>
      </w:r>
      <w:r>
        <w:rPr>
          <w:rFonts w:ascii="arial" w:eastAsia="arial" w:hAnsi="arial" w:cs="arial"/>
          <w:color w:val="000000"/>
          <w:sz w:val="20"/>
          <w:lang w:val="en-US" w:eastAsia="en-US" w:bidi="ar-SA"/>
        </w:rPr>
        <w:t xml:space="preserve">  As a matter of formality, Mhinder was not dismissed; he was nevertheless effectively ousted when he acknowledged what I accept was a </w:t>
      </w:r>
      <w:r>
        <w:rPr>
          <w:rFonts w:ascii="arial" w:eastAsia="arial" w:hAnsi="arial" w:cs="arial"/>
          <w:i/>
          <w:color w:val="000000"/>
          <w:sz w:val="20"/>
          <w:lang w:val="en-US" w:eastAsia="en-US" w:bidi="ar-SA"/>
        </w:rPr>
        <w:t>fait accompli</w:t>
      </w:r>
      <w:r>
        <w:rPr>
          <w:rFonts w:ascii="arial" w:eastAsia="arial" w:hAnsi="arial" w:cs="arial"/>
          <w:color w:val="000000"/>
          <w:sz w:val="20"/>
          <w:lang w:val="en-US" w:eastAsia="en-US" w:bidi="ar-SA"/>
        </w:rPr>
        <w:t xml:space="preserve"> on the part of Bhora. This is because after Bhora moved in and installed replacement management staff on October 7-8, 2011, there was really nothing left for Mhinder to do. But Bhora had at least two legitimate reasons for moving as he did. First, there was the disappearance of pumping revenue. Second, there was an apparent disappearance of cash revenue, later confirmed in three instances to be theft on the part of Mhinder, exacerbated by his falsification of corporate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661</w:t>
      </w:r>
      <w:r>
        <w:rPr>
          <w:rFonts w:ascii="arial" w:eastAsia="arial" w:hAnsi="arial" w:cs="arial"/>
          <w:color w:val="000000"/>
          <w:sz w:val="20"/>
          <w:lang w:val="en-US" w:eastAsia="en-US" w:bidi="ar-SA"/>
        </w:rPr>
        <w:t>  In these circumstances, it is impossible to say that any expectation Mhinder had of continuing to be involved in the management of GCM was reasonable. Nor could he reasonably have expected to be involved in the management of any other ITC, having previously eschewed an administrative role, and having now demonstrated his unfitness to manage, at least during the currency of the brothers' conflict.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662</w:t>
      </w:r>
      <w:r>
        <w:rPr>
          <w:rFonts w:ascii="arial" w:eastAsia="arial" w:hAnsi="arial" w:cs="arial"/>
          <w:color w:val="000000"/>
          <w:sz w:val="20"/>
          <w:lang w:val="en-US" w:eastAsia="en-US" w:bidi="ar-SA"/>
        </w:rPr>
        <w:t>  It is worth recalling that it was in the context of an interlocutory application by Mhinder to restrain Bhora's unilateral management of GCM that Mhinder swore a false affidavit denying theft, and persuaded B to swear a false affidavit corroborating him (see para 105 above). This is compelling evidence of both Mhinder's subjective expectation (he knew he could not support a right to involvement in management if he had stolen funds and falsified documents, and therefore had to lie about it), and the objective absence of reasonableness.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12.6 </w:t>
      </w:r>
      <w:r>
        <w:rPr>
          <w:rFonts w:ascii="arial" w:eastAsia="arial" w:hAnsi="arial" w:cs="arial"/>
          <w:b/>
          <w:color w:val="000000"/>
          <w:sz w:val="20"/>
          <w:u w:val="single"/>
          <w:lang w:val="en-US" w:eastAsia="en-US" w:bidi="ar-SA"/>
        </w:rPr>
        <w:t>Whether Mhinder left the brothers'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663</w:t>
      </w:r>
      <w:r>
        <w:rPr>
          <w:rFonts w:ascii="arial" w:eastAsia="arial" w:hAnsi="arial" w:cs="arial"/>
          <w:color w:val="000000"/>
          <w:sz w:val="20"/>
          <w:lang w:val="en-US" w:eastAsia="en-US" w:bidi="ar-SA"/>
        </w:rPr>
        <w:t>  In Bhora's submission: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court has the inherent jurisdiction to find that Mhinder had left the Trust prior to 2011 as a result of his actions, in particular those at GCM between 2007 and 2011. Those actions were such that he both flagrantly violated the express terms of the Trust, and also breached his duties as a co-trustee.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664</w:t>
      </w:r>
      <w:r>
        <w:rPr>
          <w:rFonts w:ascii="arial" w:eastAsia="arial" w:hAnsi="arial" w:cs="arial"/>
          <w:color w:val="000000"/>
          <w:sz w:val="20"/>
          <w:lang w:val="en-US" w:eastAsia="en-US" w:bidi="ar-SA"/>
        </w:rPr>
        <w:t xml:space="preserve">  In the result, contends Bhora, clause 2 of the 1984 Agreement (replacing clause 7 of the 1966 Agreement) applies to limit Mhinder to a share of the original value of the trust assets. In supporting this argument, Bhora relies upon </w:t>
      </w:r>
      <w:r>
        <w:rPr>
          <w:rFonts w:ascii="arial" w:eastAsia="arial" w:hAnsi="arial" w:cs="arial"/>
          <w:i/>
          <w:color w:val="000000"/>
          <w:sz w:val="20"/>
          <w:lang w:val="en-US" w:eastAsia="en-US" w:bidi="ar-SA"/>
        </w:rPr>
        <w:t>Miles v Vince</w:t>
      </w:r>
      <w:r>
        <w:rPr>
          <w:rFonts w:ascii="arial" w:eastAsia="arial" w:hAnsi="arial" w:cs="arial"/>
          <w:color w:val="000000"/>
          <w:sz w:val="20"/>
          <w:lang w:val="en-US" w:eastAsia="en-US" w:bidi="ar-SA"/>
        </w:rPr>
        <w:t xml:space="preserve">, </w:t>
      </w:r>
      <w:hyperlink r:id="rId856" w:history="1">
        <w:r>
          <w:rPr>
            <w:rFonts w:ascii="arial" w:eastAsia="arial" w:hAnsi="arial" w:cs="arial"/>
            <w:i/>
            <w:color w:val="0077CC"/>
            <w:sz w:val="20"/>
            <w:u w:val="single"/>
            <w:shd w:val="clear" w:color="auto" w:fill="FFFFFF"/>
            <w:lang w:val="en-US" w:eastAsia="en-US" w:bidi="ar-SA"/>
          </w:rPr>
          <w:t>2014 BCCA 289</w:t>
        </w:r>
      </w:hyperlink>
      <w:r>
        <w:rPr>
          <w:rFonts w:ascii="arial" w:eastAsia="arial" w:hAnsi="arial" w:cs="arial"/>
          <w:color w:val="000000"/>
          <w:sz w:val="20"/>
          <w:lang w:val="en-US" w:eastAsia="en-US" w:bidi="ar-SA"/>
        </w:rPr>
        <w:t>, where the court discusses what circumstances justify the removal of a trustee.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665</w:t>
      </w:r>
      <w:r>
        <w:rPr>
          <w:rFonts w:ascii="arial" w:eastAsia="arial" w:hAnsi="arial" w:cs="arial"/>
          <w:color w:val="000000"/>
          <w:sz w:val="20"/>
          <w:lang w:val="en-US" w:eastAsia="en-US" w:bidi="ar-SA"/>
        </w:rPr>
        <w:t>  I agree that Mhinder's actions in diverting pump revenue to MIH and stealing cash from GCM were inconsistent with his duties as a trustee of the brothers' trust. But the question here is whether Mhinder must be taken to have left the trust voluntarily, in accordance with what the agreements provide when a brother "wishes to leave the trust". This focuses the issue on Mhinder as beneficiary, not as trustee, because it goes on to deal with how the departing brother's share in the assets of the trust is to be valued. I am satisfied that at no time did Mhinder wish or purport to give up his position as a beneficiary of the trust. Accordingly, clause 2 of the 1984 Agreement has no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12.7 </w:t>
      </w:r>
      <w:r>
        <w:rPr>
          <w:rFonts w:ascii="arial" w:eastAsia="arial" w:hAnsi="arial" w:cs="arial"/>
          <w:b/>
          <w:color w:val="000000"/>
          <w:sz w:val="20"/>
          <w:u w:val="single"/>
          <w:lang w:val="en-US" w:eastAsia="en-US" w:bidi="ar-SA"/>
        </w:rPr>
        <w:t>Bhora's dealings with family companies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666</w:t>
      </w:r>
      <w:r>
        <w:rPr>
          <w:rFonts w:ascii="arial" w:eastAsia="arial" w:hAnsi="arial" w:cs="arial"/>
          <w:color w:val="000000"/>
          <w:sz w:val="20"/>
          <w:lang w:val="en-US" w:eastAsia="en-US" w:bidi="ar-SA"/>
        </w:rPr>
        <w:t>  Mhinder alleges that once Bhora took management of GCM away from him, he proceeded to direct GCM to deal with the family companies as suppliers, and did so as well on behalf of other ITCs. The problem, says Mhinder, is that Bhora favoured these family companies by entering into transactions with them on non-commercial terms to the benefit of his family and to the detriment of GCM and other ITCs, all without consultation with or the consent of Mhinder. Combined into this claim are earlier instances when Mhinder alleges Bhora, in his management of OCL, favoured the family companies to OCL's detriment.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667</w:t>
      </w:r>
      <w:r>
        <w:rPr>
          <w:rFonts w:ascii="arial" w:eastAsia="arial" w:hAnsi="arial" w:cs="arial"/>
          <w:color w:val="000000"/>
          <w:sz w:val="20"/>
          <w:lang w:val="en-US" w:eastAsia="en-US" w:bidi="ar-SA"/>
        </w:rPr>
        <w:t>  In doing so, pleads Mhinder, Bhora, with the assistance of Mr. Furnemont, conducted the affairs of the ITCs in a manner that was oppressive and unfairly prejudicial to Mhinder. This resulted, Mhinder alleges, in the ITCs suffering losses that Bhora has refused to cause them to take steps to recover.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668</w:t>
      </w:r>
      <w:r>
        <w:rPr>
          <w:rFonts w:ascii="arial" w:eastAsia="arial" w:hAnsi="arial" w:cs="arial"/>
          <w:color w:val="000000"/>
          <w:sz w:val="20"/>
          <w:lang w:val="en-US" w:eastAsia="en-US" w:bidi="ar-SA"/>
        </w:rPr>
        <w:t xml:space="preserve">  It is important to understand that Bhora was legally in a position to make decisions on behalf of the ITCs without Mhinder's consent. This is because, according to the companies' articles, as confirmed by an interlocutory decision of Mr. Justice Burnyeat, Bhora had the executive power as president of the companies, and could cast a second, or deciding, vote if he and Mhinder were not </w:t>
      </w:r>
      <w:r>
        <w:rPr>
          <w:rFonts w:ascii="arial" w:eastAsia="arial" w:hAnsi="arial" w:cs="arial"/>
          <w:i/>
          <w:color w:val="000000"/>
          <w:sz w:val="20"/>
          <w:lang w:val="en-US" w:eastAsia="en-US" w:bidi="ar-SA"/>
        </w:rPr>
        <w:t>ad idem</w:t>
      </w:r>
      <w:r>
        <w:rPr>
          <w:rFonts w:ascii="arial" w:eastAsia="arial" w:hAnsi="arial" w:cs="arial"/>
          <w:color w:val="000000"/>
          <w:sz w:val="20"/>
          <w:lang w:val="en-US" w:eastAsia="en-US" w:bidi="ar-SA"/>
        </w:rPr>
        <w:t xml:space="preserve"> as directors. In Mhinder's submission, Bhora abused this power in order to favour his family at the expense of the ITCs.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669</w:t>
      </w:r>
      <w:r>
        <w:rPr>
          <w:rFonts w:ascii="arial" w:eastAsia="arial" w:hAnsi="arial" w:cs="arial"/>
          <w:color w:val="000000"/>
          <w:sz w:val="20"/>
          <w:lang w:val="en-US" w:eastAsia="en-US" w:bidi="ar-SA"/>
        </w:rPr>
        <w:t xml:space="preserve">  In reviewing Mhinder's claims in this regard, it is pertinent to recall the Court of Appeal's statement in </w:t>
      </w:r>
      <w:r>
        <w:rPr>
          <w:rFonts w:ascii="arial" w:eastAsia="arial" w:hAnsi="arial" w:cs="arial"/>
          <w:i/>
          <w:color w:val="000000"/>
          <w:sz w:val="20"/>
          <w:lang w:val="en-US" w:eastAsia="en-US" w:bidi="ar-SA"/>
        </w:rPr>
        <w:t>Jaguar Financial</w:t>
      </w:r>
      <w:r>
        <w:rPr>
          <w:rFonts w:ascii="arial" w:eastAsia="arial" w:hAnsi="arial" w:cs="arial"/>
          <w:color w:val="000000"/>
          <w:sz w:val="20"/>
          <w:lang w:val="en-US" w:eastAsia="en-US" w:bidi="ar-SA"/>
        </w:rPr>
        <w:t xml:space="preserve"> at para 114 (quoted above in para 633) concerning the business judgment rule. Most of Mhinder's complaints about Bhora's management of GCM and the ITCs are properly analysed on this basis, and generally, I find that Bhora made the decisions he did as business decisions taken in good faith. The same may be said of Mhinder's decisions in managing GCM. Though their dealings with each other were tainted by mutual resentment and distrust, they both sought to manage in accordance with their perception of the best interests of the companies in question-at least until Mhinder resorted to diverting pump revenue from GCM to MIH, and stealing cash. Then, business judgment was no longer in play.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670</w:t>
      </w:r>
      <w:r>
        <w:rPr>
          <w:rFonts w:ascii="arial" w:eastAsia="arial" w:hAnsi="arial" w:cs="arial"/>
          <w:color w:val="000000"/>
          <w:sz w:val="20"/>
          <w:lang w:val="en-US" w:eastAsia="en-US" w:bidi="ar-SA"/>
        </w:rPr>
        <w:t>  Mhinder further claims that the transactions between the ITCs and the family companies were undertaken in breach of the brothers' trust and that Richard, Rita and Gina and their companies benefited from those breaches by receiving trust property with knowledge of the breach (as to knowing receipt of trust property, see para 134 above). This raises the question of what constitutes trust property under the brothers' trust. I propose to resolve that question before turning to the various transactions at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12.7.1 </w:t>
      </w:r>
      <w:r>
        <w:rPr>
          <w:rFonts w:ascii="arial" w:eastAsia="arial" w:hAnsi="arial" w:cs="arial"/>
          <w:b/>
          <w:i/>
          <w:color w:val="000000"/>
          <w:sz w:val="20"/>
          <w:lang w:val="en-US" w:eastAsia="en-US" w:bidi="ar-SA"/>
        </w:rPr>
        <w:t>Trust property, knowing receipt, and the rule in Foss v Harbottle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671</w:t>
      </w:r>
      <w:r>
        <w:rPr>
          <w:rFonts w:ascii="arial" w:eastAsia="arial" w:hAnsi="arial" w:cs="arial"/>
          <w:color w:val="000000"/>
          <w:sz w:val="20"/>
          <w:lang w:val="en-US" w:eastAsia="en-US" w:bidi="ar-SA"/>
        </w:rPr>
        <w:t>  In Mhinder's submission: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overlay of a trust arrangement on top of an array of companies and assets held in the names of individual brothers gave rise to ambiguity. Was it the shares of OCL that were held in trust, or its assets? In fact, it was both. The shares were clearly held in trust, but OCL was used to administer funds held in trust for the individual brothers... OCL was both a trustee and the subject of the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672</w:t>
      </w:r>
      <w:r>
        <w:rPr>
          <w:rFonts w:ascii="arial" w:eastAsia="arial" w:hAnsi="arial" w:cs="arial"/>
          <w:color w:val="000000"/>
          <w:sz w:val="20"/>
          <w:lang w:val="en-US" w:eastAsia="en-US" w:bidi="ar-SA"/>
        </w:rPr>
        <w:t>  It follows, Mhinder argues, that if, for instance, OCL made an improvident commercial loan of $300,000 to Island Aggregates at a below-market rate of interest, without Mhinder's consent (see section 8.5.3.2 above), that equates to knowing receipt of trust property by Richard and Island Aggregates.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673</w:t>
      </w:r>
      <w:r>
        <w:rPr>
          <w:rFonts w:ascii="arial" w:eastAsia="arial" w:hAnsi="arial" w:cs="arial"/>
          <w:color w:val="000000"/>
          <w:sz w:val="20"/>
          <w:lang w:val="en-US" w:eastAsia="en-US" w:bidi="ar-SA"/>
        </w:rPr>
        <w:t>  I disagree.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674</w:t>
      </w:r>
      <w:r>
        <w:rPr>
          <w:rFonts w:ascii="arial" w:eastAsia="arial" w:hAnsi="arial" w:cs="arial"/>
          <w:color w:val="000000"/>
          <w:sz w:val="20"/>
          <w:lang w:val="en-US" w:eastAsia="en-US" w:bidi="ar-SA"/>
        </w:rPr>
        <w:t xml:space="preserve">  Normally, the ownership of shares in a corporation does not give the shareholder a property interest in that corporation's assets. Rather, the shareholder's rights include the right to a proportionate part of the value of the assets of the corporation upon a winding-up (a process presently underway with respect to the ITCs), and the right to oversee the management of the corporation by its board of directors by way of votes at shareholder meetings; see, for instance, </w:t>
      </w:r>
      <w:r>
        <w:rPr>
          <w:rFonts w:ascii="arial" w:eastAsia="arial" w:hAnsi="arial" w:cs="arial"/>
          <w:i/>
          <w:color w:val="000000"/>
          <w:sz w:val="20"/>
          <w:lang w:val="en-US" w:eastAsia="en-US" w:bidi="ar-SA"/>
        </w:rPr>
        <w:t>BCE Inc</w:t>
      </w:r>
      <w:r>
        <w:rPr>
          <w:rFonts w:ascii="arial" w:eastAsia="arial" w:hAnsi="arial" w:cs="arial"/>
          <w:color w:val="000000"/>
          <w:sz w:val="20"/>
          <w:lang w:val="en-US" w:eastAsia="en-US" w:bidi="ar-SA"/>
        </w:rPr>
        <w:t xml:space="preserve">. at para 35, and </w:t>
      </w:r>
      <w:r>
        <w:rPr>
          <w:rFonts w:ascii="arial" w:eastAsia="arial" w:hAnsi="arial" w:cs="arial"/>
          <w:i/>
          <w:color w:val="000000"/>
          <w:sz w:val="20"/>
          <w:lang w:val="en-US" w:eastAsia="en-US" w:bidi="ar-SA"/>
        </w:rPr>
        <w:t>Blackwell v Stewart</w:t>
      </w:r>
      <w:r>
        <w:rPr>
          <w:rFonts w:ascii="arial" w:eastAsia="arial" w:hAnsi="arial" w:cs="arial"/>
          <w:color w:val="000000"/>
          <w:sz w:val="20"/>
          <w:lang w:val="en-US" w:eastAsia="en-US" w:bidi="ar-SA"/>
        </w:rPr>
        <w:t xml:space="preserve">, </w:t>
      </w:r>
      <w:hyperlink r:id="rId857" w:history="1">
        <w:r>
          <w:rPr>
            <w:rFonts w:ascii="arial" w:eastAsia="arial" w:hAnsi="arial" w:cs="arial"/>
            <w:i/>
            <w:color w:val="0077CC"/>
            <w:sz w:val="20"/>
            <w:u w:val="single"/>
            <w:shd w:val="clear" w:color="auto" w:fill="FFFFFF"/>
            <w:lang w:val="en-US" w:eastAsia="en-US" w:bidi="ar-SA"/>
          </w:rPr>
          <w:t>2015 BCSC 1716</w:t>
        </w:r>
      </w:hyperlink>
      <w:r>
        <w:rPr>
          <w:rFonts w:ascii="arial" w:eastAsia="arial" w:hAnsi="arial" w:cs="arial"/>
          <w:color w:val="000000"/>
          <w:sz w:val="20"/>
          <w:lang w:val="en-US" w:eastAsia="en-US" w:bidi="ar-SA"/>
        </w:rPr>
        <w:t xml:space="preserve"> at para 10-17. Does this preclude the beneficial owner of shares from having also a beneficial interest in the assets of the company? In the context of the brothers' trust, I conclude that it does.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675</w:t>
      </w:r>
      <w:r>
        <w:rPr>
          <w:rFonts w:ascii="arial" w:eastAsia="arial" w:hAnsi="arial" w:cs="arial"/>
          <w:color w:val="000000"/>
          <w:sz w:val="20"/>
          <w:lang w:val="en-US" w:eastAsia="en-US" w:bidi="ar-SA"/>
        </w:rPr>
        <w:t>  As I read the trust agreements in relation to businesses, what is held in trust by any brother for the benefit of all is the shares in the particular business, not its assets. That beneficial ownership did not restrict any brother in his management of the company in question. This follows from the general tenor of the 1966 Agreement and more specifically from Recital B of the 1978 Agreement (see para 24 above). Among the brothers, it was acknowledged that management of trust companies was the responsibility of each company's directors and officers.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676</w:t>
      </w:r>
      <w:r>
        <w:rPr>
          <w:rFonts w:ascii="arial" w:eastAsia="arial" w:hAnsi="arial" w:cs="arial"/>
          <w:color w:val="000000"/>
          <w:sz w:val="20"/>
          <w:lang w:val="en-US" w:eastAsia="en-US" w:bidi="ar-SA"/>
        </w:rPr>
        <w:t>  OCL indeed evolved into the principal operating entity of the brothers' trust, but its assets were not treated as trust assets. As agent for the brothers, it collected rents on properties held by them in the trust, but those monies were included as income of the brothers on their tax returns, not as income of OCL. Given the unique way in which the brothers managed their trust, it would be wrong in any event to confuse the manner in which they accessed funds with a beneficial interest in the assets of any company. Draws could come from anywhere at any time, according to what was expedient, and would lead to equalizing entries that adjusted the brothers' shareholders' loans. No one ever purported to undertake an exercise in dividing trust assets when distributing draws, and every ITC maintained independent books, issued independent financial statements, and filed independent tax returns.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677</w:t>
      </w:r>
      <w:r>
        <w:rPr>
          <w:rFonts w:ascii="arial" w:eastAsia="arial" w:hAnsi="arial" w:cs="arial"/>
          <w:color w:val="000000"/>
          <w:sz w:val="20"/>
          <w:lang w:val="en-US" w:eastAsia="en-US" w:bidi="ar-SA"/>
        </w:rPr>
        <w:t>  It follows that Bhora's dealings on behalf of ITCs with Richard, Rita, Gina and their companies were not dealings in trust property, but rather were business transactions that Bhora entered into on behalf of entities of which he was the lawfully appointed manager, and of which Mhinder was, beneficially, an equal shareholder. Accordingly, Mhinder's claims against Richard, Rita, Gina and their companies for knowing receipt of trust property in relation to these business transactions with ITCs cannot succeed.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678</w:t>
      </w:r>
      <w:r>
        <w:rPr>
          <w:rFonts w:ascii="arial" w:eastAsia="arial" w:hAnsi="arial" w:cs="arial"/>
          <w:color w:val="000000"/>
          <w:sz w:val="20"/>
          <w:lang w:val="en-US" w:eastAsia="en-US" w:bidi="ar-SA"/>
        </w:rPr>
        <w:t>  The question then becomes whether Mhinder is limited to the shareholder's remedy of seeking to bring a derivative action in the name of the company against, for instance, Bhora for breach of his duties as a director in entering into improvident business transactions.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679</w:t>
      </w:r>
      <w:r>
        <w:rPr>
          <w:rFonts w:ascii="arial" w:eastAsia="arial" w:hAnsi="arial" w:cs="arial"/>
          <w:color w:val="000000"/>
          <w:sz w:val="20"/>
          <w:lang w:val="en-US" w:eastAsia="en-US" w:bidi="ar-SA"/>
        </w:rPr>
        <w:t xml:space="preserve">  This raises the vexing matter of the application of the rule in </w:t>
      </w:r>
      <w:r>
        <w:rPr>
          <w:rFonts w:ascii="arial" w:eastAsia="arial" w:hAnsi="arial" w:cs="arial"/>
          <w:i/>
          <w:color w:val="000000"/>
          <w:sz w:val="20"/>
          <w:lang w:val="en-US" w:eastAsia="en-US" w:bidi="ar-SA"/>
        </w:rPr>
        <w:t>Foss v Harbottle</w:t>
      </w:r>
      <w:r>
        <w:rPr>
          <w:rFonts w:ascii="arial" w:eastAsia="arial" w:hAnsi="arial" w:cs="arial"/>
          <w:color w:val="000000"/>
          <w:sz w:val="20"/>
          <w:lang w:val="en-US" w:eastAsia="en-US" w:bidi="ar-SA"/>
        </w:rPr>
        <w:t xml:space="preserve"> (1843), 2 Hare 461, 67 ER 189 (Ch), discussed at length but not resolved by the Court of Appeal in </w:t>
      </w:r>
      <w:r>
        <w:rPr>
          <w:rFonts w:ascii="arial" w:eastAsia="arial" w:hAnsi="arial" w:cs="arial"/>
          <w:i/>
          <w:color w:val="000000"/>
          <w:sz w:val="20"/>
          <w:lang w:val="en-US" w:eastAsia="en-US" w:bidi="ar-SA"/>
        </w:rPr>
        <w:t>Mayer CA</w:t>
      </w:r>
      <w:r>
        <w:rPr>
          <w:rFonts w:ascii="arial" w:eastAsia="arial" w:hAnsi="arial" w:cs="arial"/>
          <w:color w:val="000000"/>
          <w:sz w:val="20"/>
          <w:lang w:val="en-US" w:eastAsia="en-US" w:bidi="ar-SA"/>
        </w:rPr>
        <w:t xml:space="preserve"> at paras 106-125, and by me in </w:t>
      </w:r>
      <w:r>
        <w:rPr>
          <w:rFonts w:ascii="arial" w:eastAsia="arial" w:hAnsi="arial" w:cs="arial"/>
          <w:i/>
          <w:color w:val="000000"/>
          <w:sz w:val="20"/>
          <w:lang w:val="en-US" w:eastAsia="en-US" w:bidi="ar-SA"/>
        </w:rPr>
        <w:t>Mayer v Mayer</w:t>
      </w:r>
      <w:r>
        <w:rPr>
          <w:rFonts w:ascii="arial" w:eastAsia="arial" w:hAnsi="arial" w:cs="arial"/>
          <w:color w:val="000000"/>
          <w:sz w:val="20"/>
          <w:lang w:val="en-US" w:eastAsia="en-US" w:bidi="ar-SA"/>
        </w:rPr>
        <w:t xml:space="preserve">, </w:t>
      </w:r>
      <w:hyperlink r:id="rId822" w:history="1">
        <w:r>
          <w:rPr>
            <w:rFonts w:ascii="arial" w:eastAsia="arial" w:hAnsi="arial" w:cs="arial"/>
            <w:i/>
            <w:color w:val="0077CC"/>
            <w:sz w:val="20"/>
            <w:u w:val="single"/>
            <w:shd w:val="clear" w:color="auto" w:fill="FFFFFF"/>
            <w:lang w:val="en-US" w:eastAsia="en-US" w:bidi="ar-SA"/>
          </w:rPr>
          <w:t>2013 BCSC 1958</w:t>
        </w:r>
      </w:hyperlink>
      <w:r>
        <w:rPr>
          <w:rFonts w:ascii="arial" w:eastAsia="arial" w:hAnsi="arial" w:cs="arial"/>
          <w:color w:val="000000"/>
          <w:sz w:val="20"/>
          <w:lang w:val="en-US" w:eastAsia="en-US" w:bidi="ar-SA"/>
        </w:rPr>
        <w:t xml:space="preserve"> at paras 70-76.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680</w:t>
      </w:r>
      <w:r>
        <w:rPr>
          <w:rFonts w:ascii="arial" w:eastAsia="arial" w:hAnsi="arial" w:cs="arial"/>
          <w:color w:val="000000"/>
          <w:sz w:val="20"/>
          <w:lang w:val="en-US" w:eastAsia="en-US" w:bidi="ar-SA"/>
        </w:rPr>
        <w:t xml:space="preserve">  The rule in </w:t>
      </w:r>
      <w:r>
        <w:rPr>
          <w:rFonts w:ascii="arial" w:eastAsia="arial" w:hAnsi="arial" w:cs="arial"/>
          <w:i/>
          <w:color w:val="000000"/>
          <w:sz w:val="20"/>
          <w:lang w:val="en-US" w:eastAsia="en-US" w:bidi="ar-SA"/>
        </w:rPr>
        <w:t>Foss v Harbottle</w:t>
      </w:r>
      <w:r>
        <w:rPr>
          <w:rFonts w:ascii="arial" w:eastAsia="arial" w:hAnsi="arial" w:cs="arial"/>
          <w:color w:val="000000"/>
          <w:sz w:val="20"/>
          <w:lang w:val="en-US" w:eastAsia="en-US" w:bidi="ar-SA"/>
        </w:rPr>
        <w:t xml:space="preserve">, prevents a shareholder from claiming directly in respect of a wrong done to the company. An exception to the rule is where the shareholder has a personal claim arising out of a relationship between the shareholder and the wrongdoer that is different from the relationship the shareholder derives through his shareholding in the company, resulting in losses that are not merely "reflective" or "derivative" of losses suffered by the company such as a diminution in share value: see </w:t>
      </w:r>
      <w:r>
        <w:rPr>
          <w:rFonts w:ascii="arial" w:eastAsia="arial" w:hAnsi="arial" w:cs="arial"/>
          <w:i/>
          <w:color w:val="000000"/>
          <w:sz w:val="20"/>
          <w:lang w:val="en-US" w:eastAsia="en-US" w:bidi="ar-SA"/>
        </w:rPr>
        <w:t>Mayer CA</w:t>
      </w:r>
      <w:r>
        <w:rPr>
          <w:rFonts w:ascii="arial" w:eastAsia="arial" w:hAnsi="arial" w:cs="arial"/>
          <w:color w:val="000000"/>
          <w:sz w:val="20"/>
          <w:lang w:val="en-US" w:eastAsia="en-US" w:bidi="ar-SA"/>
        </w:rPr>
        <w:t xml:space="preserve"> at para 106, and </w:t>
      </w:r>
      <w:r>
        <w:rPr>
          <w:rFonts w:ascii="arial" w:eastAsia="arial" w:hAnsi="arial" w:cs="arial"/>
          <w:i/>
          <w:color w:val="000000"/>
          <w:sz w:val="20"/>
          <w:lang w:val="en-US" w:eastAsia="en-US" w:bidi="ar-SA"/>
        </w:rPr>
        <w:t>Robak Industries Ltd v Gardner</w:t>
      </w:r>
      <w:r>
        <w:rPr>
          <w:rFonts w:ascii="arial" w:eastAsia="arial" w:hAnsi="arial" w:cs="arial"/>
          <w:color w:val="000000"/>
          <w:sz w:val="20"/>
          <w:lang w:val="en-US" w:eastAsia="en-US" w:bidi="ar-SA"/>
        </w:rPr>
        <w:t xml:space="preserve">, </w:t>
      </w:r>
      <w:hyperlink r:id="rId858" w:history="1">
        <w:r>
          <w:rPr>
            <w:rFonts w:ascii="arial" w:eastAsia="arial" w:hAnsi="arial" w:cs="arial"/>
            <w:i/>
            <w:color w:val="0077CC"/>
            <w:sz w:val="20"/>
            <w:u w:val="single"/>
            <w:shd w:val="clear" w:color="auto" w:fill="FFFFFF"/>
            <w:lang w:val="en-US" w:eastAsia="en-US" w:bidi="ar-SA"/>
          </w:rPr>
          <w:t>2007 BCCA 61</w:t>
        </w:r>
      </w:hyperlink>
      <w:r>
        <w:rPr>
          <w:rFonts w:ascii="arial" w:eastAsia="arial" w:hAnsi="arial" w:cs="arial"/>
          <w:color w:val="000000"/>
          <w:sz w:val="20"/>
          <w:lang w:val="en-US" w:eastAsia="en-US" w:bidi="ar-SA"/>
        </w:rPr>
        <w:t xml:space="preserve"> at para 14. The onus of establishing the application of the rule is on the defendants, but they will succeed to the extent that the shareholder can be shown to lack an independent relationship and an independent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681</w:t>
      </w:r>
      <w:r>
        <w:rPr>
          <w:rFonts w:ascii="arial" w:eastAsia="arial" w:hAnsi="arial" w:cs="arial"/>
          <w:color w:val="000000"/>
          <w:sz w:val="20"/>
          <w:lang w:val="en-US" w:eastAsia="en-US" w:bidi="ar-SA"/>
        </w:rPr>
        <w:t xml:space="preserve">  In the present context, it comes down to whether Mhinder's claims against Bhora and the family defendants seeking to recover benefits obtained from alleged breaches of trust are merely reflective of losses suffered by the ITCs for which they have causes of action, such as for breach by Bhora of his duties as a director in entering into improvident transactions (see </w:t>
      </w:r>
      <w:r>
        <w:rPr>
          <w:rFonts w:ascii="arial" w:eastAsia="arial" w:hAnsi="arial" w:cs="arial"/>
          <w:i/>
          <w:color w:val="000000"/>
          <w:sz w:val="20"/>
          <w:lang w:val="en-US" w:eastAsia="en-US" w:bidi="ar-SA"/>
        </w:rPr>
        <w:t>Mayer CA</w:t>
      </w:r>
      <w:r>
        <w:rPr>
          <w:rFonts w:ascii="arial" w:eastAsia="arial" w:hAnsi="arial" w:cs="arial"/>
          <w:color w:val="000000"/>
          <w:sz w:val="20"/>
          <w:lang w:val="en-US" w:eastAsia="en-US" w:bidi="ar-SA"/>
        </w:rPr>
        <w:t xml:space="preserve"> at para 122, which gave the example of a claim for "damages against Bhora for breach of his duties as a director in making improvident sales of corporate assets and in misappropriating corporate profits").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682</w:t>
      </w:r>
      <w:r>
        <w:rPr>
          <w:rFonts w:ascii="arial" w:eastAsia="arial" w:hAnsi="arial" w:cs="arial"/>
          <w:color w:val="000000"/>
          <w:sz w:val="20"/>
          <w:lang w:val="en-US" w:eastAsia="en-US" w:bidi="ar-SA"/>
        </w:rPr>
        <w:t>  Mhinder argues that he comes within this exception because of the nature of the trust relationship. He contends that the "independent relationship" requirement is satisfied because there was no clear line drawn between the assets of the trust and the assets of the ITCs. This, with respect, is circular. In my view, as discussed above, the line was clear: it was the shares of the ITCs that were held in trust, not the assets of those companies.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683</w:t>
      </w:r>
      <w:r>
        <w:rPr>
          <w:rFonts w:ascii="arial" w:eastAsia="arial" w:hAnsi="arial" w:cs="arial"/>
          <w:color w:val="000000"/>
          <w:sz w:val="20"/>
          <w:lang w:val="en-US" w:eastAsia="en-US" w:bidi="ar-SA"/>
        </w:rPr>
        <w:t>  Moreover, the Court of Appeal's conclusion that "Mhinder has satisfied the first condition, a relationship with the defendants different from their relationship with the companies" (para 116) turned on the pleadings alleging that the defendants were knowing participants in and recipients of the benefits of Bhora's breaches of his duty as a trustee.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684</w:t>
      </w:r>
      <w:r>
        <w:rPr>
          <w:rFonts w:ascii="arial" w:eastAsia="arial" w:hAnsi="arial" w:cs="arial"/>
          <w:color w:val="000000"/>
          <w:sz w:val="20"/>
          <w:lang w:val="en-US" w:eastAsia="en-US" w:bidi="ar-SA"/>
        </w:rPr>
        <w:t>  The reason the Court of Appeal could not resolve the question is because it could not be answered "without weighing the relevant evidence and finding the necessary facts" (para 123). I have now done so, concluding that the assets of the ITCs were not trust property (and of course, that the DTCs were not part of the brothers'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685</w:t>
      </w:r>
      <w:r>
        <w:rPr>
          <w:rFonts w:ascii="arial" w:eastAsia="arial" w:hAnsi="arial" w:cs="arial"/>
          <w:color w:val="000000"/>
          <w:sz w:val="20"/>
          <w:lang w:val="en-US" w:eastAsia="en-US" w:bidi="ar-SA"/>
        </w:rPr>
        <w:t>  Mhinder further maintains that the "independent loss" requirement is satisfied on the assumption that his constructive trust claim is made out. Such a claim, he submits, would not be available in an action brought by the ITCs. But as I have already determined, his constructive trust claim has not been made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686</w:t>
      </w:r>
      <w:r>
        <w:rPr>
          <w:rFonts w:ascii="arial" w:eastAsia="arial" w:hAnsi="arial" w:cs="arial"/>
          <w:color w:val="000000"/>
          <w:sz w:val="20"/>
          <w:lang w:val="en-US" w:eastAsia="en-US" w:bidi="ar-SA"/>
        </w:rPr>
        <w:t>  In any event, in the present context, the purported restitutionary remedy would be the same as the remedy available to the company in respect to the same transaction. In relation to the $300,000 loan from OCL, for instance (and ignoring Mhinder's consent), the claim could be for no more than the difference between the interest paid and the interest that would have been payable at any higher commercial rate that Mhinder could establish. Clearly there can be no direct connection between that loss and Mhinder's status for the purpose of establishing a proprietary restitutionary remedy. It follows that even if Mhinder could be said to have an independent claim, it would not be for an independent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687</w:t>
      </w:r>
      <w:r>
        <w:rPr>
          <w:rFonts w:ascii="arial" w:eastAsia="arial" w:hAnsi="arial" w:cs="arial"/>
          <w:color w:val="000000"/>
          <w:sz w:val="20"/>
          <w:lang w:val="en-US" w:eastAsia="en-US" w:bidi="ar-SA"/>
        </w:rPr>
        <w:t>  I conclude that Mhinder is left with his derivative claims against Bhora, and his oppression claims against Bhora and the ITCs.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688</w:t>
      </w:r>
      <w:r>
        <w:rPr>
          <w:rFonts w:ascii="arial" w:eastAsia="arial" w:hAnsi="arial" w:cs="arial"/>
          <w:color w:val="000000"/>
          <w:sz w:val="20"/>
          <w:lang w:val="en-US" w:eastAsia="en-US" w:bidi="ar-SA"/>
        </w:rPr>
        <w:t>  With this in mind, I turn to consider the specific transactions of which Mhinder complains.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12.7.2 </w:t>
      </w:r>
      <w:r>
        <w:rPr>
          <w:rFonts w:ascii="arial" w:eastAsia="arial" w:hAnsi="arial" w:cs="arial"/>
          <w:b/>
          <w:i/>
          <w:color w:val="000000"/>
          <w:sz w:val="20"/>
          <w:lang w:val="en-US" w:eastAsia="en-US" w:bidi="ar-SA"/>
        </w:rPr>
        <w:t>Canac Kitchens loan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689</w:t>
      </w:r>
      <w:r>
        <w:rPr>
          <w:rFonts w:ascii="arial" w:eastAsia="arial" w:hAnsi="arial" w:cs="arial"/>
          <w:color w:val="000000"/>
          <w:sz w:val="20"/>
          <w:lang w:val="en-US" w:eastAsia="en-US" w:bidi="ar-SA"/>
        </w:rPr>
        <w:t>  On December 15, 1995, OCL lent $250,000 to a company owned by Gina known as Canac Kitchens. It was secured by a promissory note. According to OCL's financial statements, $125,000 was written off in 1996, and the remaining $125,000 was written off in 1998 as uncollectible.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690</w:t>
      </w:r>
      <w:r>
        <w:rPr>
          <w:rFonts w:ascii="arial" w:eastAsia="arial" w:hAnsi="arial" w:cs="arial"/>
          <w:color w:val="000000"/>
          <w:sz w:val="20"/>
          <w:lang w:val="en-US" w:eastAsia="en-US" w:bidi="ar-SA"/>
        </w:rPr>
        <w:t>  Mhinder submits that this write-off required his informed consent, given that the person who benefited from it was Bhora's wife.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691</w:t>
      </w:r>
      <w:r>
        <w:rPr>
          <w:rFonts w:ascii="arial" w:eastAsia="arial" w:hAnsi="arial" w:cs="arial"/>
          <w:color w:val="000000"/>
          <w:sz w:val="20"/>
          <w:lang w:val="en-US" w:eastAsia="en-US" w:bidi="ar-SA"/>
        </w:rPr>
        <w:t>  On all of the evidence, particularly evidence given by Mhinder on discovery that he accepted as true at trial, I find that Mhinder was aware that the loan was made by OCL to Canac, a business owned by Gina. He said that Mr. Furnemont reported this to him. Mhinder acknowledged that he voiced no concern at the time. But was he aware that the debt was written down to $125,000 in 1996, and written off altogether in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692</w:t>
      </w:r>
      <w:r>
        <w:rPr>
          <w:rFonts w:ascii="arial" w:eastAsia="arial" w:hAnsi="arial" w:cs="arial"/>
          <w:color w:val="000000"/>
          <w:sz w:val="20"/>
          <w:lang w:val="en-US" w:eastAsia="en-US" w:bidi="ar-SA"/>
        </w:rPr>
        <w:t>  There is no doubt that the status of the Canac loan was accurately recorded in the financial statements of OCL in 1995, 1996, 1997 and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693</w:t>
      </w:r>
      <w:r>
        <w:rPr>
          <w:rFonts w:ascii="arial" w:eastAsia="arial" w:hAnsi="arial" w:cs="arial"/>
          <w:color w:val="000000"/>
          <w:sz w:val="20"/>
          <w:lang w:val="en-US" w:eastAsia="en-US" w:bidi="ar-SA"/>
        </w:rPr>
        <w:t>  Mr. Furnemont testified that he had a specific recollection of Dave Braithwaite, the independent accountant who prepared the financial statements, pointing out to Mhinder one of the two write-downs, and it was Mr. Furnemont's understanding that Mhinder was aware. He was challenged on the basis of discovery evidence he had given to the effect that Mr. Braithwaite "would have" pointed out the write-downs, but maintained at trial that he had a specific recollection of Mr. Braithwaite doing so on at least one occasion.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694</w:t>
      </w:r>
      <w:r>
        <w:rPr>
          <w:rFonts w:ascii="arial" w:eastAsia="arial" w:hAnsi="arial" w:cs="arial"/>
          <w:color w:val="000000"/>
          <w:sz w:val="20"/>
          <w:lang w:val="en-US" w:eastAsia="en-US" w:bidi="ar-SA"/>
        </w:rPr>
        <w:t>  It is clear from the evidence that the independent accountants, whether Mr. Braithwaite or Mr. Fitterer after him, took time to review financial statements and tax returns with Mhinder; whether Mhinder paid much attention is another matter. In all of the circumstances, I accept Mr. Furnemont's evidence. The natural inference is that Mhinder did indeed give his consent, and that his consent was sufficiently informed. I so find.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695</w:t>
      </w:r>
      <w:r>
        <w:rPr>
          <w:rFonts w:ascii="arial" w:eastAsia="arial" w:hAnsi="arial" w:cs="arial"/>
          <w:color w:val="000000"/>
          <w:sz w:val="20"/>
          <w:lang w:val="en-US" w:eastAsia="en-US" w:bidi="ar-SA"/>
        </w:rPr>
        <w:t>  This claim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12.7.3 </w:t>
      </w:r>
      <w:r>
        <w:rPr>
          <w:rFonts w:ascii="arial" w:eastAsia="arial" w:hAnsi="arial" w:cs="arial"/>
          <w:b/>
          <w:i/>
          <w:color w:val="000000"/>
          <w:sz w:val="20"/>
          <w:lang w:val="en-US" w:eastAsia="en-US" w:bidi="ar-SA"/>
        </w:rPr>
        <w:t>OCL loans to Bastion and NCC, and the 2009 postponement agreements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696</w:t>
      </w:r>
      <w:r>
        <w:rPr>
          <w:rFonts w:ascii="arial" w:eastAsia="arial" w:hAnsi="arial" w:cs="arial"/>
          <w:color w:val="000000"/>
          <w:sz w:val="20"/>
          <w:lang w:val="en-US" w:eastAsia="en-US" w:bidi="ar-SA"/>
        </w:rPr>
        <w:t>  The background is reviewed above in section 5.6.10.2. Mhinder submits that there is no credible evidence that he consented to the terms of these loans, and points out accurately that he knew nothing about the postponement agreements (concluded well after the commencement of litigation). He maintains that commercial terms would have taken into account the risk to OCL as second mortgagee. Allowing an interest rate premium of 2% to reflect this, Mhinder submits that the loss to OCL was $342,763.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697</w:t>
      </w:r>
      <w:r>
        <w:rPr>
          <w:rFonts w:ascii="arial" w:eastAsia="arial" w:hAnsi="arial" w:cs="arial"/>
          <w:color w:val="000000"/>
          <w:sz w:val="20"/>
          <w:lang w:val="en-US" w:eastAsia="en-US" w:bidi="ar-SA"/>
        </w:rPr>
        <w:t>  The interest rate premium calculation is based upon a report from Ms. Walters which simply sets out the amount of additional interest that would have accrued to OCL if the rate charged were increased by an additional 1%, an additional 1.5%, or an additional 2%. I accept the accuracy of her calculations. What is missing is any opinion or other evidence that establishes that the rates charged by OCL were in fact uncommercial to a point that constitutes conduct unfairly prejudicial to Mhinder. That is something I am asked to infer by comparing the rates charged with the CIBC prime rates, which are in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698</w:t>
      </w:r>
      <w:r>
        <w:rPr>
          <w:rFonts w:ascii="arial" w:eastAsia="arial" w:hAnsi="arial" w:cs="arial"/>
          <w:color w:val="000000"/>
          <w:sz w:val="20"/>
          <w:lang w:val="en-US" w:eastAsia="en-US" w:bidi="ar-SA"/>
        </w:rPr>
        <w:t>  The June 1996 loan to Bastion related to the sale of the Farquhar Street property. The interest rate was 7.75%, then slightly below CIBC prime, although the prime rate fell soon after. I have already found, however, that OCL received ample consideration for this transaction (see section 5.6.2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699</w:t>
      </w:r>
      <w:r>
        <w:rPr>
          <w:rFonts w:ascii="arial" w:eastAsia="arial" w:hAnsi="arial" w:cs="arial"/>
          <w:color w:val="000000"/>
          <w:sz w:val="20"/>
          <w:lang w:val="en-US" w:eastAsia="en-US" w:bidi="ar-SA"/>
        </w:rPr>
        <w:t>  The 2001 loan to NCC, which included OCL's loan to Bastion, was set at 7.00%, compared to a prime of 6.00%. The postponement agreements made in 2009 resulted in Bastion and Island Aggregates paying OCL interest at 6.00% at a time when the CIBC prime rate had fallen to 2.25%.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700</w:t>
      </w:r>
      <w:r>
        <w:rPr>
          <w:rFonts w:ascii="arial" w:eastAsia="arial" w:hAnsi="arial" w:cs="arial"/>
          <w:color w:val="000000"/>
          <w:sz w:val="20"/>
          <w:lang w:val="en-US" w:eastAsia="en-US" w:bidi="ar-SA"/>
        </w:rPr>
        <w:t>  In these circumstances, particularly given benefits that accrued to OCL beyond the collection of interest, I do not find it reasonable to infer that the interest rates charged by OCL were in fact uncommercial to a point that constitutes conduct unfairly prejudicial to Mhinder, or that a loss arises from the postponement of principal payments under the postponement agreements.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701</w:t>
      </w:r>
      <w:r>
        <w:rPr>
          <w:rFonts w:ascii="arial" w:eastAsia="arial" w:hAnsi="arial" w:cs="arial"/>
          <w:color w:val="000000"/>
          <w:sz w:val="20"/>
          <w:lang w:val="en-US" w:eastAsia="en-US" w:bidi="ar-SA"/>
        </w:rPr>
        <w:t>  These claims are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12.7.4 </w:t>
      </w:r>
      <w:r>
        <w:rPr>
          <w:rFonts w:ascii="arial" w:eastAsia="arial" w:hAnsi="arial" w:cs="arial"/>
          <w:b/>
          <w:i/>
          <w:color w:val="000000"/>
          <w:sz w:val="20"/>
          <w:lang w:val="en-US" w:eastAsia="en-US" w:bidi="ar-SA"/>
        </w:rPr>
        <w:t>Salary paid by GCM to Rita from 2001 through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702</w:t>
      </w:r>
      <w:r>
        <w:rPr>
          <w:rFonts w:ascii="arial" w:eastAsia="arial" w:hAnsi="arial" w:cs="arial"/>
          <w:color w:val="000000"/>
          <w:sz w:val="20"/>
          <w:lang w:val="en-US" w:eastAsia="en-US" w:bidi="ar-SA"/>
        </w:rPr>
        <w:t>  The total of these payments over the six years in question comes to $276,571.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703</w:t>
      </w:r>
      <w:r>
        <w:rPr>
          <w:rFonts w:ascii="arial" w:eastAsia="arial" w:hAnsi="arial" w:cs="arial"/>
          <w:color w:val="000000"/>
          <w:sz w:val="20"/>
          <w:lang w:val="en-US" w:eastAsia="en-US" w:bidi="ar-SA"/>
        </w:rPr>
        <w:t>  I accept Rita's evidence concerning the nature of her employment. It included rendering assistance to Mhinder at Gulf Coast, as well as to Bhora and Mr. Furnemont, and later included document management in relation to the Bhagwan litigation. It came to an end after the Bhagwan action was settled. I also accept Rita's evidence that Mhinder was aware of her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704</w:t>
      </w:r>
      <w:r>
        <w:rPr>
          <w:rFonts w:ascii="arial" w:eastAsia="arial" w:hAnsi="arial" w:cs="arial"/>
          <w:color w:val="000000"/>
          <w:sz w:val="20"/>
          <w:lang w:val="en-US" w:eastAsia="en-US" w:bidi="ar-SA"/>
        </w:rPr>
        <w:t>  Mhinder maintains that he did not give his informed consent to the payments. I infer that he did from the fact that he was aware of her employment, benefited from her work, and had access to the financial information concerning her remuneration. The situation is not dissimilar to Mhinder's hiring of his stepson and his stepson's friend to work for GCM.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705</w:t>
      </w:r>
      <w:r>
        <w:rPr>
          <w:rFonts w:ascii="arial" w:eastAsia="arial" w:hAnsi="arial" w:cs="arial"/>
          <w:color w:val="000000"/>
          <w:sz w:val="20"/>
          <w:lang w:val="en-US" w:eastAsia="en-US" w:bidi="ar-SA"/>
        </w:rPr>
        <w:t>  This claim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12.7.5 </w:t>
      </w:r>
      <w:r>
        <w:rPr>
          <w:rFonts w:ascii="arial" w:eastAsia="arial" w:hAnsi="arial" w:cs="arial"/>
          <w:b/>
          <w:i/>
          <w:color w:val="000000"/>
          <w:sz w:val="20"/>
          <w:lang w:val="en-US" w:eastAsia="en-US" w:bidi="ar-SA"/>
        </w:rPr>
        <w:t>Rental of extra office space at 265 Fry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706</w:t>
      </w:r>
      <w:r>
        <w:rPr>
          <w:rFonts w:ascii="arial" w:eastAsia="arial" w:hAnsi="arial" w:cs="arial"/>
          <w:color w:val="000000"/>
          <w:sz w:val="20"/>
          <w:lang w:val="en-US" w:eastAsia="en-US" w:bidi="ar-SA"/>
        </w:rPr>
        <w:t>  From 2007 to October 2008, OCL rented office space from Bastion at 55 Front St. at a monthly rent of $335. In October 2008, Bhora caused OCL to move to premises at 265 Fry Street at a monthly rent of $1,500. OCL continued to occupy that space until June 2013, when Bhora moved the office back to 55 Front St. at a monthly rent of $990.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707</w:t>
      </w:r>
      <w:r>
        <w:rPr>
          <w:rFonts w:ascii="arial" w:eastAsia="arial" w:hAnsi="arial" w:cs="arial"/>
          <w:color w:val="000000"/>
          <w:sz w:val="20"/>
          <w:lang w:val="en-US" w:eastAsia="en-US" w:bidi="ar-SA"/>
        </w:rPr>
        <w:t>  Mhinder maintains that Bhora offered no valid explanation for this move, which cost OCL $65,240 over the duration of the Fry Street tenancy. That assumes that there would have been no increase in the rent at Front Street between 2008 and 2013, an assumption I am not prepared to make on the evidence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708</w:t>
      </w:r>
      <w:r>
        <w:rPr>
          <w:rFonts w:ascii="arial" w:eastAsia="arial" w:hAnsi="arial" w:cs="arial"/>
          <w:color w:val="000000"/>
          <w:sz w:val="20"/>
          <w:lang w:val="en-US" w:eastAsia="en-US" w:bidi="ar-SA"/>
        </w:rPr>
        <w:t>  There is no doubt on the evidence that OCL obtained what it paid for. Bhora testified that he made the move because of the need to have additional space for Mhinder, which Mhinder requested notwithstanding that he was spending most of his time on Salt Spring Island. Then, in 2013, the Front Street space became available again when Bastion moved staff from there to the Mack Nanaimo offices at McCulloch Road, and Bhora made the decision to move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709</w:t>
      </w:r>
      <w:r>
        <w:rPr>
          <w:rFonts w:ascii="arial" w:eastAsia="arial" w:hAnsi="arial" w:cs="arial"/>
          <w:color w:val="000000"/>
          <w:sz w:val="20"/>
          <w:lang w:val="en-US" w:eastAsia="en-US" w:bidi="ar-SA"/>
        </w:rPr>
        <w:t>  Given the relationship between the brothers over the period in question, I am unable to conclude that Bhora's explanation is unreasonable and amounts to conduct unfairly prejudicial to Mhinder. It was a management decision intended to accommodate Mhinder and ought not now to be second-guessed.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710</w:t>
      </w:r>
      <w:r>
        <w:rPr>
          <w:rFonts w:ascii="arial" w:eastAsia="arial" w:hAnsi="arial" w:cs="arial"/>
          <w:color w:val="000000"/>
          <w:sz w:val="20"/>
          <w:lang w:val="en-US" w:eastAsia="en-US" w:bidi="ar-SA"/>
        </w:rPr>
        <w:t>  This claim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12.7.6 </w:t>
      </w:r>
      <w:r>
        <w:rPr>
          <w:rFonts w:ascii="arial" w:eastAsia="arial" w:hAnsi="arial" w:cs="arial"/>
          <w:b/>
          <w:i/>
          <w:color w:val="000000"/>
          <w:sz w:val="20"/>
          <w:lang w:val="en-US" w:eastAsia="en-US" w:bidi="ar-SA"/>
        </w:rPr>
        <w:t>OCL's $300,000 loan to Island Aggregates in March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711</w:t>
      </w:r>
      <w:r>
        <w:rPr>
          <w:rFonts w:ascii="arial" w:eastAsia="arial" w:hAnsi="arial" w:cs="arial"/>
          <w:color w:val="000000"/>
          <w:sz w:val="20"/>
          <w:lang w:val="en-US" w:eastAsia="en-US" w:bidi="ar-SA"/>
        </w:rPr>
        <w:t>  I dealt with this claim in the section 8.5.3.2 above, finding that Mhinder consented to it, although he later objected. In the present context, I note further that the loan's interest rate of 6.00% was the same as the then-current CIBC prime rate. It remained at 6.00% while the CIBC prime rate fell below 4.00% by early 2002, increased back up to 5.00% in April 2003, and increased again to 6.25% by July 2007, before declining below 3.00% by March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712</w:t>
      </w:r>
      <w:r>
        <w:rPr>
          <w:rFonts w:ascii="arial" w:eastAsia="arial" w:hAnsi="arial" w:cs="arial"/>
          <w:color w:val="000000"/>
          <w:sz w:val="20"/>
          <w:lang w:val="en-US" w:eastAsia="en-US" w:bidi="ar-SA"/>
        </w:rPr>
        <w:t>  This claim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12.7.7 </w:t>
      </w:r>
      <w:r>
        <w:rPr>
          <w:rFonts w:ascii="arial" w:eastAsia="arial" w:hAnsi="arial" w:cs="arial"/>
          <w:b/>
          <w:i/>
          <w:color w:val="000000"/>
          <w:sz w:val="20"/>
          <w:lang w:val="en-US" w:eastAsia="en-US" w:bidi="ar-SA"/>
        </w:rPr>
        <w:t>GCM's purchase of a pump truck from Custom in October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713</w:t>
      </w:r>
      <w:r>
        <w:rPr>
          <w:rFonts w:ascii="arial" w:eastAsia="arial" w:hAnsi="arial" w:cs="arial"/>
          <w:color w:val="000000"/>
          <w:sz w:val="20"/>
          <w:lang w:val="en-US" w:eastAsia="en-US" w:bidi="ar-SA"/>
        </w:rPr>
        <w:t>  As reviewed above in section 12.4, Custom Pumping sold unit #137 to GCM for $185,000, accepting in trade GCM's old unit #103 for $25,000. Custom Pumping had bought unit #137 from Island Aggregates for $170,000.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714</w:t>
      </w:r>
      <w:r>
        <w:rPr>
          <w:rFonts w:ascii="arial" w:eastAsia="arial" w:hAnsi="arial" w:cs="arial"/>
          <w:color w:val="000000"/>
          <w:sz w:val="20"/>
          <w:lang w:val="en-US" w:eastAsia="en-US" w:bidi="ar-SA"/>
        </w:rPr>
        <w:t>  Mhinder was not involved in this transaction. On the basis of expert evidence of Michael Seibold that valued unit #137 at $125,000 as of October 2007, and the trade-in unit at $35,000, Mhinder submits that the appropriate purchase price was $90,000. This would indicate that Bhora improvidently overpaid by $70,000.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715</w:t>
      </w:r>
      <w:r>
        <w:rPr>
          <w:rFonts w:ascii="arial" w:eastAsia="arial" w:hAnsi="arial" w:cs="arial"/>
          <w:color w:val="000000"/>
          <w:sz w:val="20"/>
          <w:lang w:val="en-US" w:eastAsia="en-US" w:bidi="ar-SA"/>
        </w:rPr>
        <w:t>  Mr. Seibold conceded that unit #137 could be worth considerably more if it was in good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716</w:t>
      </w:r>
      <w:r>
        <w:rPr>
          <w:rFonts w:ascii="arial" w:eastAsia="arial" w:hAnsi="arial" w:cs="arial"/>
          <w:color w:val="000000"/>
          <w:sz w:val="20"/>
          <w:lang w:val="en-US" w:eastAsia="en-US" w:bidi="ar-SA"/>
        </w:rPr>
        <w:t>  The defence expert, René Mutsaerts, valued unit #137 at $132,000, and the trade-in unit at $33,000.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717</w:t>
      </w:r>
      <w:r>
        <w:rPr>
          <w:rFonts w:ascii="arial" w:eastAsia="arial" w:hAnsi="arial" w:cs="arial"/>
          <w:color w:val="000000"/>
          <w:sz w:val="20"/>
          <w:lang w:val="en-US" w:eastAsia="en-US" w:bidi="ar-SA"/>
        </w:rPr>
        <w:t>  As neither expert had been in a position to inspect either vehicle, I did not find their opinions helpful. They could be right, or they could be wrong. What the parties did at the time is more instructive.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718</w:t>
      </w:r>
      <w:r>
        <w:rPr>
          <w:rFonts w:ascii="arial" w:eastAsia="arial" w:hAnsi="arial" w:cs="arial"/>
          <w:color w:val="000000"/>
          <w:sz w:val="20"/>
          <w:lang w:val="en-US" w:eastAsia="en-US" w:bidi="ar-SA"/>
        </w:rPr>
        <w:t>  On the evidence, it was Mhinder who originally acquired unit #137 for Island Aggregates. Island Aggregates sold it to Custom Pumping for $170,000. Custom Pumping, I accept, spent about $10,000 on repairs and reconditioning. The unit was then inspected and certified, and Custom Pumping leased, then sold it to Gulf Coast for $185,000, taking unit #107 in trade for $25,000. Unit #137 was a newer vehicle with a larger boom.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719</w:t>
      </w:r>
      <w:r>
        <w:rPr>
          <w:rFonts w:ascii="arial" w:eastAsia="arial" w:hAnsi="arial" w:cs="arial"/>
          <w:color w:val="000000"/>
          <w:sz w:val="20"/>
          <w:lang w:val="en-US" w:eastAsia="en-US" w:bidi="ar-SA"/>
        </w:rPr>
        <w:t>  Custom Pumping ultimately sold unit #107 for $5,000, finding that it would be too expensive to repair it. This suggests that unit #107 was worth considerably less than what Custom allowed for trade-in, easily offsetting, I find, any excess in the purchase price given Custom's costs. In short, I find on the evidence that this transaction was reasonable; I am unable to find any unfair prejudice to Mhinder.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720</w:t>
      </w:r>
      <w:r>
        <w:rPr>
          <w:rFonts w:ascii="arial" w:eastAsia="arial" w:hAnsi="arial" w:cs="arial"/>
          <w:color w:val="000000"/>
          <w:sz w:val="20"/>
          <w:lang w:val="en-US" w:eastAsia="en-US" w:bidi="ar-SA"/>
        </w:rPr>
        <w:t>  This claim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12.7.8 </w:t>
      </w:r>
      <w:r>
        <w:rPr>
          <w:rFonts w:ascii="arial" w:eastAsia="arial" w:hAnsi="arial" w:cs="arial"/>
          <w:b/>
          <w:i/>
          <w:color w:val="000000"/>
          <w:sz w:val="20"/>
          <w:lang w:val="en-US" w:eastAsia="en-US" w:bidi="ar-SA"/>
        </w:rPr>
        <w:t>Loss of profit at GCM through Bhora's dealings with family companies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721</w:t>
      </w:r>
      <w:r>
        <w:rPr>
          <w:rFonts w:ascii="arial" w:eastAsia="arial" w:hAnsi="arial" w:cs="arial"/>
          <w:color w:val="000000"/>
          <w:sz w:val="20"/>
          <w:lang w:val="en-US" w:eastAsia="en-US" w:bidi="ar-SA"/>
        </w:rPr>
        <w:t>  This claim alleges loss arising from the transfer of gross profit from GCM to the family companies due to Bhora dealing with those companies on uncommercial terms in order to favour his family at the expense of GCM and Mhinder as beneficiary.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722</w:t>
      </w:r>
      <w:r>
        <w:rPr>
          <w:rFonts w:ascii="arial" w:eastAsia="arial" w:hAnsi="arial" w:cs="arial"/>
          <w:color w:val="000000"/>
          <w:sz w:val="20"/>
          <w:lang w:val="en-US" w:eastAsia="en-US" w:bidi="ar-SA"/>
        </w:rPr>
        <w:t>  These allegations were the subject of expert evidence from Ms. Walters on behalf of Mhinder and from Jaime Fernandez, MBA, CPA, on behalf of Richard Mayer and the family companies.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723</w:t>
      </w:r>
      <w:r>
        <w:rPr>
          <w:rFonts w:ascii="arial" w:eastAsia="arial" w:hAnsi="arial" w:cs="arial"/>
          <w:color w:val="000000"/>
          <w:sz w:val="20"/>
          <w:lang w:val="en-US" w:eastAsia="en-US" w:bidi="ar-SA"/>
        </w:rPr>
        <w:t>  Ms. Walters was asked to provide analysis concerning the "loss of gross profit experienced by [GCM], as a result of the purchases of goods and services from (the family companies)". She reviewed the sales of GCM for the years 2007-2014, noting that sales declined from a high of $2,570,000 in 2008 to $1,700,000 in 2009 and 2010. She considered this decline to be consistent with that experienced by many industries during the recession. Then, in 2011, sales were $1,600,000 and continued to decline to a low of $977,000 in 2014. Reviewing gross margin, she noted that an average gross margin of 38% for the years 2007 to 2011 declined to 32.9% in 2012, 23.9% in 2013 and 20.3% in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724</w:t>
      </w:r>
      <w:r>
        <w:rPr>
          <w:rFonts w:ascii="arial" w:eastAsia="arial" w:hAnsi="arial" w:cs="arial"/>
          <w:color w:val="000000"/>
          <w:sz w:val="20"/>
          <w:lang w:val="en-US" w:eastAsia="en-US" w:bidi="ar-SA"/>
        </w:rPr>
        <w:t>  Ms. Walters went on to observe that purchases of materials, freight costs and contract labour were paid mainly to third parties (e.g. Lehigh cement) in 2007-2011, and were replaced with purchases from family companies in 2012-2014, while wage costs increased in the latter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725</w:t>
      </w:r>
      <w:r>
        <w:rPr>
          <w:rFonts w:ascii="arial" w:eastAsia="arial" w:hAnsi="arial" w:cs="arial"/>
          <w:color w:val="000000"/>
          <w:sz w:val="20"/>
          <w:lang w:val="en-US" w:eastAsia="en-US" w:bidi="ar-SA"/>
        </w:rPr>
        <w:t>  From these observations, Ms. Walters produced two scenarios. Scenario #1 assumed that "expected gross profit" in the years 2012-2014 was equivalent to actual gross profit margin percentage earned in the years 2007 to 2011. Applying this "expected gross margin" to actual sales, she calculated the lost gross profits at $370,382. Scenario #2 applied that same "expected gross margin" to "expected sales" based on the hypothetical that the level of sales in 2011 were maintained in 2012-2014. The loss on this scenario was $996,837.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726</w:t>
      </w:r>
      <w:r>
        <w:rPr>
          <w:rFonts w:ascii="arial" w:eastAsia="arial" w:hAnsi="arial" w:cs="arial"/>
          <w:color w:val="000000"/>
          <w:sz w:val="20"/>
          <w:lang w:val="en-US" w:eastAsia="en-US" w:bidi="ar-SA"/>
        </w:rPr>
        <w:t>  In her supplemental report, Ms. Walters recalculated the loss of gross margin under scenario #1 by removing some fixed costs and also including an estimate of losses for the latter part of 2011, reducing the estimated loss to $350,101.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727</w:t>
      </w:r>
      <w:r>
        <w:rPr>
          <w:rFonts w:ascii="arial" w:eastAsia="arial" w:hAnsi="arial" w:cs="arial"/>
          <w:color w:val="000000"/>
          <w:sz w:val="20"/>
          <w:lang w:val="en-US" w:eastAsia="en-US" w:bidi="ar-SA"/>
        </w:rPr>
        <w:t>  Ms. Walters then turned her attention to her earlier observation that the purchase of goods and services previously made from third parties began to be supplied by the family companies in the fall of 2011, which, she said, impacted how the materials were priced, transported and processed. She reviewed the gross profit earned by the family companies based on their financial statements, then applied that profit margin to the companies' sales to GCM in order to arrive at what, in her view, they earned in gross profit from sales to GCM. This came to a total of $279,468. Ms. Walters then said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indicated above, while GCM suffered losses of gross profit, after late 2011, the defendant companies earned gross profit on products and services sold to GCM.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other words, approximately $279,468 of gross profit previously earned by GCM was moved to the defendant companies in the period after late 2011. The remaining gross profit of $70,633 ($350,101-$279,468) was lost on disbursements to third parties (i.e. BC ferries) or direct labour wages.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728</w:t>
      </w:r>
      <w:r>
        <w:rPr>
          <w:rFonts w:ascii="arial" w:eastAsia="arial" w:hAnsi="arial" w:cs="arial"/>
          <w:color w:val="000000"/>
          <w:sz w:val="20"/>
          <w:lang w:val="en-US" w:eastAsia="en-US" w:bidi="ar-SA"/>
        </w:rPr>
        <w:t>  I am unable to accept this reasoning. While it is obviously true that the family companies earned gross profit on products and services sold to GCM, it is equally obvious that so did the suppliers with whom GCM dealt before late 2011. But Ms. Walters ignores that. It cannot possibly follow that, as she suggests, the gross profit earned by the family companies represents gross profit lost by GCM, as if profit on the supply of products and services to GCM would not otherwise have been earned.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729</w:t>
      </w:r>
      <w:r>
        <w:rPr>
          <w:rFonts w:ascii="arial" w:eastAsia="arial" w:hAnsi="arial" w:cs="arial"/>
          <w:color w:val="000000"/>
          <w:sz w:val="20"/>
          <w:lang w:val="en-US" w:eastAsia="en-US" w:bidi="ar-SA"/>
        </w:rPr>
        <w:t>  I have a number of other difficulties with the manner in which Ms. Walters reached her conclusions, and I reject her evidence. I prefer the analysis and opinion of Mr. Fernandez.</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730</w:t>
      </w:r>
      <w:r>
        <w:rPr>
          <w:rFonts w:ascii="arial" w:eastAsia="arial" w:hAnsi="arial" w:cs="arial"/>
          <w:color w:val="000000"/>
          <w:sz w:val="20"/>
          <w:lang w:val="en-US" w:eastAsia="en-US" w:bidi="ar-SA"/>
        </w:rPr>
        <w:t>  In my view, Ms. Walters' opinions were based largely on assumptions rather than on analysis, and many of her assumptions were not supported by the evidence. She did not purport to carry out a valuation of the business, or any analysis of economic or industrial factors. Thus, she applied a gross profit margin of 37.8%, being the average for the years 2007-2011, to sales for 2012-2014, assuming that the difference was due solely to the change in management and dealings with suppliers. This ignored, among other things, any changes to the industry overall (of which she made no investigation beyond commenting on the effects of the recession in 2009-2010), and the effect of the significant BC Hydro contract over the years 2007-2009.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731</w:t>
      </w:r>
      <w:r>
        <w:rPr>
          <w:rFonts w:ascii="arial" w:eastAsia="arial" w:hAnsi="arial" w:cs="arial"/>
          <w:color w:val="000000"/>
          <w:sz w:val="20"/>
          <w:lang w:val="en-US" w:eastAsia="en-US" w:bidi="ar-SA"/>
        </w:rPr>
        <w:t xml:space="preserve">  On the question of the so-called transfer of gross profit from GCM to the family companies, Ms. Walters made no attempt to compare the profit margins of the family companies with profit margins of arm's length companies, or how the family companies treated arm's length clients in relation to ITCs. In addition, her approach relied on the </w:t>
      </w:r>
      <w:r>
        <w:rPr>
          <w:rFonts w:ascii="arial" w:eastAsia="arial" w:hAnsi="arial" w:cs="arial"/>
          <w:i/>
          <w:color w:val="000000"/>
          <w:sz w:val="20"/>
          <w:lang w:val="en-US" w:eastAsia="en-US" w:bidi="ar-SA"/>
        </w:rPr>
        <w:t>total</w:t>
      </w:r>
      <w:r>
        <w:rPr>
          <w:rFonts w:ascii="arial" w:eastAsia="arial" w:hAnsi="arial" w:cs="arial"/>
          <w:color w:val="000000"/>
          <w:sz w:val="20"/>
          <w:lang w:val="en-US" w:eastAsia="en-US" w:bidi="ar-SA"/>
        </w:rPr>
        <w:t xml:space="preserve"> gross margins of the family companies without taking into account that those companies' dealings with arm's length customers constituted 98% of their sales (as an example, Mack Nanaimo's total sales for 2014 came to $17,000,000; sales to ITCs came to $29,000) and generated higher gross margins than those earned from GCM. As Mr. Fernandez pointed out, in fact the gross margin for the family companies was often lower on sales to GCM because of the need to be competitive.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732</w:t>
      </w:r>
      <w:r>
        <w:rPr>
          <w:rFonts w:ascii="arial" w:eastAsia="arial" w:hAnsi="arial" w:cs="arial"/>
          <w:color w:val="000000"/>
          <w:sz w:val="20"/>
          <w:lang w:val="en-US" w:eastAsia="en-US" w:bidi="ar-SA"/>
        </w:rPr>
        <w:t>  With respect to the impact of labour costs, Ms. Walters attributed part of the declining profit after Bhora took over the management of GCM to the increase in labour costs under his tenure, notwithstanding a reduction in sales. For comparison purposes, she used the years 2009-2010 as representative of the state of affairs under Mhinder's management. But direct wage costs in those years were considerably less than the years both before and after, and Ms. Walters was unaware that the costs for 2009-2010 did not include any amount for Mhinder or Dan Helgesen, both of whom were working hard for GCM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733</w:t>
      </w:r>
      <w:r>
        <w:rPr>
          <w:rFonts w:ascii="arial" w:eastAsia="arial" w:hAnsi="arial" w:cs="arial"/>
          <w:color w:val="000000"/>
          <w:sz w:val="20"/>
          <w:lang w:val="en-US" w:eastAsia="en-US" w:bidi="ar-SA"/>
        </w:rPr>
        <w:t>  Yet It was Mr. Fernandez's opinion, after analysing the sales made by the family companies, that those businesses charged no more for goods and services provided to GCM and other ITCs than they charged their arm's length clients for the same goods and services, and in many instances charged less. I found his analysis persuasive. It was important, because it attacks the underpinning of the suggestion that by dealing with family companies, Bhora was sacrificing profit for GCM and transferring it to the family companies for the benefit of his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734</w:t>
      </w:r>
      <w:r>
        <w:rPr>
          <w:rFonts w:ascii="arial" w:eastAsia="arial" w:hAnsi="arial" w:cs="arial"/>
          <w:color w:val="000000"/>
          <w:sz w:val="20"/>
          <w:lang w:val="en-US" w:eastAsia="en-US" w:bidi="ar-SA"/>
        </w:rPr>
        <w:t>  Ms. Walters responded with a critique of Mr. Fernandez's methodology, opining that it was based on a sample size that was not sufficiently large to be representative of the population in question. A proper statistical approach, in her view, would have involved a sample size that was four times larger, and she suggested that if Mr. Fernandez had employed that approach, "his findings may have been different". In accordance with her instructions, however, Ms. Walters never employed the methodology she said was superior, and so had no different answer to provide; she could not say that Mr. Fernandez's conclusion was incorrect. Her own approach had involved no analysis at all of what the family companies were charging, but moved from the premise that GCM's costs went up after it started dealing with them. But as Mr. Fernandez demonstrated, on a number of occasions the family companies charged a lower rate to the ITCs than they did to their arm's length customers, rather than a premium.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735</w:t>
      </w:r>
      <w:r>
        <w:rPr>
          <w:rFonts w:ascii="arial" w:eastAsia="arial" w:hAnsi="arial" w:cs="arial"/>
          <w:color w:val="000000"/>
          <w:sz w:val="20"/>
          <w:lang w:val="en-US" w:eastAsia="en-US" w:bidi="ar-SA"/>
        </w:rPr>
        <w:t>  I find that Mr. Fernandez's approach was appropriate in the circumstances. It is possible that the methodology advocated by Ms. Walters would have led to a more precise result, but only at a cost of time and money that would have rendered it unpractical; which is, I expect, why she did not pursue it herself. As it is, I accept Mr. Fernandez's conclusion, and find that it accords with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736</w:t>
      </w:r>
      <w:r>
        <w:rPr>
          <w:rFonts w:ascii="arial" w:eastAsia="arial" w:hAnsi="arial" w:cs="arial"/>
          <w:color w:val="000000"/>
          <w:sz w:val="20"/>
          <w:lang w:val="en-US" w:eastAsia="en-US" w:bidi="ar-SA"/>
        </w:rPr>
        <w:t>  In this regard, I note the following.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737</w:t>
      </w:r>
      <w:r>
        <w:rPr>
          <w:rFonts w:ascii="arial" w:eastAsia="arial" w:hAnsi="arial" w:cs="arial"/>
          <w:color w:val="000000"/>
          <w:sz w:val="20"/>
          <w:lang w:val="en-US" w:eastAsia="en-US" w:bidi="ar-SA"/>
        </w:rPr>
        <w:t>  Although Mhinder alleged that Mack Nanaimo provided parts and services not required, there was no evidence of that. I accept Richard's evidence that servicing costs increased after Bhora took over management of GCM because the equipment was in a poor state, often with expired certifications. Mhinder adduced no evidence whatsoever to indicate that work performed by Mack Nanaimo on GCM equipment was unnecessary.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738</w:t>
      </w:r>
      <w:r>
        <w:rPr>
          <w:rFonts w:ascii="arial" w:eastAsia="arial" w:hAnsi="arial" w:cs="arial"/>
          <w:color w:val="000000"/>
          <w:sz w:val="20"/>
          <w:lang w:val="en-US" w:eastAsia="en-US" w:bidi="ar-SA"/>
        </w:rPr>
        <w:t>  Although Richard indicated that the cost of supplying cement powder to Gulf Coast through R &amp; G, which acquired the powder at cost from Lehigh, was no higher than Gulf Coast had paid before, it was evident that this was based on an erroneous calculation of carbon tax refunds and freight subsidies. In fact, the price charged by R &amp; G was higher in the range of $3.00 per ton. But there were advantages to GCM in dealing with R &amp; G as opposed to Lehigh. R &amp; G was more flexible in its delivery schedule; it was prepared to leave its trailers on site for extra storage capacity; and it was willing to extend credit, which Lehigh was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739</w:t>
      </w:r>
      <w:r>
        <w:rPr>
          <w:rFonts w:ascii="arial" w:eastAsia="arial" w:hAnsi="arial" w:cs="arial"/>
          <w:color w:val="000000"/>
          <w:sz w:val="20"/>
          <w:lang w:val="en-US" w:eastAsia="en-US" w:bidi="ar-SA"/>
        </w:rPr>
        <w:t>  I note further that R &amp; G's sales to GCM were higher in the period 2002-2008 than they were in 2012-2014, after dipping considerably in 2009-2011. Obviously Mhinder had no problem dealing with R &amp; G before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740</w:t>
      </w:r>
      <w:r>
        <w:rPr>
          <w:rFonts w:ascii="arial" w:eastAsia="arial" w:hAnsi="arial" w:cs="arial"/>
          <w:color w:val="000000"/>
          <w:sz w:val="20"/>
          <w:lang w:val="en-US" w:eastAsia="en-US" w:bidi="ar-SA"/>
        </w:rPr>
        <w:t>  In these circumstances, I find, it cannot be said that Bhora caused GCM to deal with R &amp; G on uncommercial terms.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741</w:t>
      </w:r>
      <w:r>
        <w:rPr>
          <w:rFonts w:ascii="arial" w:eastAsia="arial" w:hAnsi="arial" w:cs="arial"/>
          <w:color w:val="000000"/>
          <w:sz w:val="20"/>
          <w:lang w:val="en-US" w:eastAsia="en-US" w:bidi="ar-SA"/>
        </w:rPr>
        <w:t>  A similar analysis applies to GCM's dealings with the other family companies. Where slightly higher prices were charged, there were other commercial advantages. Mhinder's allegations do not stand up to a careful review of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742</w:t>
      </w:r>
      <w:r>
        <w:rPr>
          <w:rFonts w:ascii="arial" w:eastAsia="arial" w:hAnsi="arial" w:cs="arial"/>
          <w:color w:val="000000"/>
          <w:sz w:val="20"/>
          <w:lang w:val="en-US" w:eastAsia="en-US" w:bidi="ar-SA"/>
        </w:rPr>
        <w:t>  As I see it, GCM's gross profits began to decline with the end of the BC Hydro contract in 2009, and continued to decline. Demand for concrete on Salt Spring Island fell. By then, the brothers were deep into litigation and cooperation was no longer possible. These factors affected GCM adversely. But on no reading of the evidence is it possible to conclude that Bhora had set out to line the pockets of his wife and children at the expense of the brothers' trust, which is the essence of what Mhinder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743</w:t>
      </w:r>
      <w:r>
        <w:rPr>
          <w:rFonts w:ascii="arial" w:eastAsia="arial" w:hAnsi="arial" w:cs="arial"/>
          <w:color w:val="000000"/>
          <w:sz w:val="20"/>
          <w:lang w:val="en-US" w:eastAsia="en-US" w:bidi="ar-SA"/>
        </w:rPr>
        <w:t>  This claim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12.7.9 </w:t>
      </w:r>
      <w:r>
        <w:rPr>
          <w:rFonts w:ascii="arial" w:eastAsia="arial" w:hAnsi="arial" w:cs="arial"/>
          <w:b/>
          <w:i/>
          <w:color w:val="000000"/>
          <w:sz w:val="20"/>
          <w:lang w:val="en-US" w:eastAsia="en-US" w:bidi="ar-SA"/>
        </w:rPr>
        <w:t>Credit arrangements and interest rates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744</w:t>
      </w:r>
      <w:r>
        <w:rPr>
          <w:rFonts w:ascii="arial" w:eastAsia="arial" w:hAnsi="arial" w:cs="arial"/>
          <w:color w:val="000000"/>
          <w:sz w:val="20"/>
          <w:lang w:val="en-US" w:eastAsia="en-US" w:bidi="ar-SA"/>
        </w:rPr>
        <w:t>  As I mentioned above, one of the advantages that accrued to the ITCs (particularly GCM) from dealing with the family companies was the availability of credit. Lehigh insisted on the payment of accounts within 30 days; the family companies did not. This was particularly advantageous to GCM and other ITCs (and hence to Bhora and Mhinder) because the family companies charged no interest on overdue accounts until late in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745</w:t>
      </w:r>
      <w:r>
        <w:rPr>
          <w:rFonts w:ascii="arial" w:eastAsia="arial" w:hAnsi="arial" w:cs="arial"/>
          <w:color w:val="000000"/>
          <w:sz w:val="20"/>
          <w:lang w:val="en-US" w:eastAsia="en-US" w:bidi="ar-SA"/>
        </w:rPr>
        <w:t>  Bhora, I find, had encountered difficulty keeping up with accounts due to the family companies for some time. GCM in particular fell far behind. Because of the effect of this on his cash flow, Richard stopped making the voluntary principal payments due on the loans from OCL in 2011, though interest-only payments continued as per the BDC postponement agreements discussed in sections 5.6.10.2 and 12.6.3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746</w:t>
      </w:r>
      <w:r>
        <w:rPr>
          <w:rFonts w:ascii="arial" w:eastAsia="arial" w:hAnsi="arial" w:cs="arial"/>
          <w:color w:val="000000"/>
          <w:sz w:val="20"/>
          <w:lang w:val="en-US" w:eastAsia="en-US" w:bidi="ar-SA"/>
        </w:rPr>
        <w:t>  Richard, whose evidence in this regard I accept, then came up with the idea of offsetting the outstanding accounts receivable from the ITCs against what was left of the $300,000 loan from OCL, a concept that was agreeable to Bhora. This would eliminate his interest payments and improve his balance sheet. These trade accounts receivable came to a total of $335,205.38. Richard obtained the necessary permission from the BDC in February 2013; in the result, the $300,000 loan was repaid in full and Richard's companies' trade accounts receivable from the ITCs were substantially reduced.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747</w:t>
      </w:r>
      <w:r>
        <w:rPr>
          <w:rFonts w:ascii="arial" w:eastAsia="arial" w:hAnsi="arial" w:cs="arial"/>
          <w:color w:val="000000"/>
          <w:sz w:val="20"/>
          <w:lang w:val="en-US" w:eastAsia="en-US" w:bidi="ar-SA"/>
        </w:rPr>
        <w:t>  As noted, until this occurred, Richard was paying OCL interest on the $300,000 loan, and continued to pay interest on the $600,000 loan; but the ITCs were not paying interest to Richard's companies on their outstanding accounts. This was to the advantage of Mhinder and Bhora, and the disadvantage of Richard.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748</w:t>
      </w:r>
      <w:r>
        <w:rPr>
          <w:rFonts w:ascii="arial" w:eastAsia="arial" w:hAnsi="arial" w:cs="arial"/>
          <w:color w:val="000000"/>
          <w:sz w:val="20"/>
          <w:lang w:val="en-US" w:eastAsia="en-US" w:bidi="ar-SA"/>
        </w:rPr>
        <w:t>  After this, the ITCs continued to fall behind on their outstanding accounts from the family companies, no doubt taking advantage of the cheap credit. Richard became increasingly frustrated because this impacted his companies' cash flows and balance sheets. He had his own debts to pay. In order to encourage Bhora to keep his accounts up to date, Richard decided late in 2013 to start charging interest on outstanding accounts receivable from the ITCs at the rate of 2% per month. The interest was charged only by Richard's companies. Neither Custom Pumping nor R &amp; G Equipment followed his example.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749</w:t>
      </w:r>
      <w:r>
        <w:rPr>
          <w:rFonts w:ascii="arial" w:eastAsia="arial" w:hAnsi="arial" w:cs="arial"/>
          <w:color w:val="000000"/>
          <w:sz w:val="20"/>
          <w:lang w:val="en-US" w:eastAsia="en-US" w:bidi="ar-SA"/>
        </w:rPr>
        <w:t>  Ultimately, in May of 2015, Richard, on behalf of his companies, and Bhora, on behalf of the ITCs, entered into another contra agreement. It is set out all of the monies owed by the ITCs to Richard's companies, and vice versa. Each was to provide the other with a certified cheque for $735,572.49. The outstanding accounts receivables from the ITCs, including interest, would be paid in full, as would the outstanding debt from Bastion and NCC to OCL on the $600,000 mortgage. The mortgage would be discharged. Outstanding management fees owed by Richard's companies would be covered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750</w:t>
      </w:r>
      <w:r>
        <w:rPr>
          <w:rFonts w:ascii="arial" w:eastAsia="arial" w:hAnsi="arial" w:cs="arial"/>
          <w:color w:val="000000"/>
          <w:sz w:val="20"/>
          <w:lang w:val="en-US" w:eastAsia="en-US" w:bidi="ar-SA"/>
        </w:rPr>
        <w:t>  All of this occurred, of course, in the context of this litigation being well advanced, and Mhinder in essence being frozen out of the administration of the ITCs for the reasons discussed above. Mhinder was neither consulted about this nor advised of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751</w:t>
      </w:r>
      <w:r>
        <w:rPr>
          <w:rFonts w:ascii="arial" w:eastAsia="arial" w:hAnsi="arial" w:cs="arial"/>
          <w:color w:val="000000"/>
          <w:sz w:val="20"/>
          <w:lang w:val="en-US" w:eastAsia="en-US" w:bidi="ar-SA"/>
        </w:rPr>
        <w:t>  Mhinder alleges that this was a cooked-up deal between Richard and Bhora to benefit Richard's companies at the expense of the ITCs. In essence, he asserts that they agreed that Bhora would allow the accounts payable to Richard's companies to grow, unpaid, with interest accruing at an unreasonably high rate of 2% per month (compared to the loan interest Richard was paying in the range of 6%-7% per year), until the amount owing reached a level that would allow the setoff to be made. In this way, Mhinder submits, the debt owed by Richard's companies (Bastion and NCC) was extinguished artificially, to the disadvantage of Mhinder and the ITCs.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752</w:t>
      </w:r>
      <w:r>
        <w:rPr>
          <w:rFonts w:ascii="arial" w:eastAsia="arial" w:hAnsi="arial" w:cs="arial"/>
          <w:color w:val="000000"/>
          <w:sz w:val="20"/>
          <w:lang w:val="en-US" w:eastAsia="en-US" w:bidi="ar-SA"/>
        </w:rPr>
        <w:t>  Mhinder was doubtless in a vulnerable position throughout this time, and it is not surprising that he became concerned. But the evidence does not support his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753</w:t>
      </w:r>
      <w:r>
        <w:rPr>
          <w:rFonts w:ascii="arial" w:eastAsia="arial" w:hAnsi="arial" w:cs="arial"/>
          <w:color w:val="000000"/>
          <w:sz w:val="20"/>
          <w:lang w:val="en-US" w:eastAsia="en-US" w:bidi="ar-SA"/>
        </w:rPr>
        <w:t>  First, the interest rate charged by Richard of 2% per month was, I find, a standard industry rate for outstanding accounts receivable. GCM's invoices specified the same rate for its outstanding receivables. It is, of course, considerably higher than the rate Bastion and NCC were paying on the OCL loans, but those loans were secured. Accounts receivable directly affect cash flow and the bottom line, and amounts owing beyond a set time, such as 30 days, customarily bear interest at much higher rates than secured loans.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754</w:t>
      </w:r>
      <w:r>
        <w:rPr>
          <w:rFonts w:ascii="arial" w:eastAsia="arial" w:hAnsi="arial" w:cs="arial"/>
          <w:color w:val="000000"/>
          <w:sz w:val="20"/>
          <w:lang w:val="en-US" w:eastAsia="en-US" w:bidi="ar-SA"/>
        </w:rPr>
        <w:t>  Second, Richard did not begin charging interest on the outstanding accounts receivable until well into 2013. The ITCs had had the distinct advantage of interest-free credit for a considerable time before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755</w:t>
      </w:r>
      <w:r>
        <w:rPr>
          <w:rFonts w:ascii="arial" w:eastAsia="arial" w:hAnsi="arial" w:cs="arial"/>
          <w:color w:val="000000"/>
          <w:sz w:val="20"/>
          <w:lang w:val="en-US" w:eastAsia="en-US" w:bidi="ar-SA"/>
        </w:rPr>
        <w:t>  Third, given the propensity of the ITCs to exploit that advantage, one normally not commercially available, I find it was reasonable for Richard to start charging interest in 2013, and reasonable for him to charge the rate that he did. The continued success of his businesses required trade accounts to be paid within a reasonable time. The ITCs were not doing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756</w:t>
      </w:r>
      <w:r>
        <w:rPr>
          <w:rFonts w:ascii="arial" w:eastAsia="arial" w:hAnsi="arial" w:cs="arial"/>
          <w:color w:val="000000"/>
          <w:sz w:val="20"/>
          <w:lang w:val="en-US" w:eastAsia="en-US" w:bidi="ar-SA"/>
        </w:rPr>
        <w:t>  Fourth, I am satisfied as discussed above that the accounts receivable had been incurred in relation to commercial transactions between the companies in the ordinary course of their business, and were not some kind of sham.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757</w:t>
      </w:r>
      <w:r>
        <w:rPr>
          <w:rFonts w:ascii="arial" w:eastAsia="arial" w:hAnsi="arial" w:cs="arial"/>
          <w:color w:val="000000"/>
          <w:sz w:val="20"/>
          <w:lang w:val="en-US" w:eastAsia="en-US" w:bidi="ar-SA"/>
        </w:rPr>
        <w:t>  Fifth, I find that these transactions generally benefited the ITCs. They were able to continue business operations because of the extension of cheap credit, and ultimately discharged outstanding debt that had begun to accrue interest at 2% per month at a cost only of offsetting an amount due that was earning a much lower 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758</w:t>
      </w:r>
      <w:r>
        <w:rPr>
          <w:rFonts w:ascii="arial" w:eastAsia="arial" w:hAnsi="arial" w:cs="arial"/>
          <w:color w:val="000000"/>
          <w:sz w:val="20"/>
          <w:lang w:val="en-US" w:eastAsia="en-US" w:bidi="ar-SA"/>
        </w:rPr>
        <w:t>  Far from a conspiracy between Bhora and Richard to benefit Richard's companies to the detriment of the ITCs, I find that this was a resolution of tension between Bhora and Richard arising from the ITCs taking advantage of Richard's willingness to extend credit. Mhinder submits that a transaction such as this would never have been concluded but for the relationship between Bhora and Richard. This is so only to the extent that no supplier acting commercially would have offered interest-free credit for so long, or would have allowed the accounts receivable to grow so large while continuing to supply the debtor. This was not a case of the ITCs rendering assistance to Richard's companies to Mhinder's disadvantage. The assistance went the other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759</w:t>
      </w:r>
      <w:r>
        <w:rPr>
          <w:rFonts w:ascii="arial" w:eastAsia="arial" w:hAnsi="arial" w:cs="arial"/>
          <w:color w:val="000000"/>
          <w:sz w:val="20"/>
          <w:lang w:val="en-US" w:eastAsia="en-US" w:bidi="ar-SA"/>
        </w:rPr>
        <w:t>  This claim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12.7.10 </w:t>
      </w:r>
      <w:r>
        <w:rPr>
          <w:rFonts w:ascii="arial" w:eastAsia="arial" w:hAnsi="arial" w:cs="arial"/>
          <w:b/>
          <w:i/>
          <w:color w:val="000000"/>
          <w:sz w:val="20"/>
          <w:lang w:val="en-US" w:eastAsia="en-US" w:bidi="ar-SA"/>
        </w:rPr>
        <w:t>Unequal Expense Allowances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760</w:t>
      </w:r>
      <w:r>
        <w:rPr>
          <w:rFonts w:ascii="arial" w:eastAsia="arial" w:hAnsi="arial" w:cs="arial"/>
          <w:color w:val="000000"/>
          <w:sz w:val="20"/>
          <w:lang w:val="en-US" w:eastAsia="en-US" w:bidi="ar-SA"/>
        </w:rPr>
        <w:t>  Mhinder has complained that as this litigation developed, Bhora expensed a number of litigation-related expenses to OCL and GCM of a type for which Mhinder received no reimbursement. These include travel expenses, meal expenses and automobile expenses and were reviewed by Ms. Walters in her report of July 13, 2015. But as Ms. Walters acknowledged in cross-examination, her report just quantified the difference, and did not purport to explain it. She did not take into account, for instance, the fact that after October 2011, Mhinder was no longer working for the ITCs, so that it would be expected that Bhora's business expenses chargeable to the ITCs would be considerably higher. As Ms. Walters conceded, it could be analysed in so many different ways; she was asked to look at it in just one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761</w:t>
      </w:r>
      <w:r>
        <w:rPr>
          <w:rFonts w:ascii="arial" w:eastAsia="arial" w:hAnsi="arial" w:cs="arial"/>
          <w:color w:val="000000"/>
          <w:sz w:val="20"/>
          <w:lang w:val="en-US" w:eastAsia="en-US" w:bidi="ar-SA"/>
        </w:rPr>
        <w:t>  Mhinder does not appear to have pursued this claim in his closing argument, and I will say no more about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12.7.11 </w:t>
      </w:r>
      <w:r>
        <w:rPr>
          <w:rFonts w:ascii="arial" w:eastAsia="arial" w:hAnsi="arial" w:cs="arial"/>
          <w:b/>
          <w:i/>
          <w:color w:val="000000"/>
          <w:sz w:val="20"/>
          <w:lang w:val="en-US" w:eastAsia="en-US" w:bidi="ar-SA"/>
        </w:rPr>
        <w:t>The Schnitzer Steel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762</w:t>
      </w:r>
      <w:r>
        <w:rPr>
          <w:rFonts w:ascii="arial" w:eastAsia="arial" w:hAnsi="arial" w:cs="arial"/>
          <w:color w:val="000000"/>
          <w:sz w:val="20"/>
          <w:lang w:val="en-US" w:eastAsia="en-US" w:bidi="ar-SA"/>
        </w:rPr>
        <w:t>  It is with this claim that Mhinder opened his case. He alleges that Bhora and Gina sold scrap steel from property owned by an ITC, Timberland, to Schnitzer Steel for cash in June 2015, and failed to account for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763</w:t>
      </w:r>
      <w:r>
        <w:rPr>
          <w:rFonts w:ascii="arial" w:eastAsia="arial" w:hAnsi="arial" w:cs="arial"/>
          <w:color w:val="000000"/>
          <w:sz w:val="20"/>
          <w:lang w:val="en-US" w:eastAsia="en-US" w:bidi="ar-SA"/>
        </w:rPr>
        <w:t>  The steel was trucked to Schnitzer's facility in two tranches: one for which Schnitzer paid $1,699.25, and a second for which Schnitzer paid $2,147.25.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764</w:t>
      </w:r>
      <w:r>
        <w:rPr>
          <w:rFonts w:ascii="arial" w:eastAsia="arial" w:hAnsi="arial" w:cs="arial"/>
          <w:color w:val="000000"/>
          <w:sz w:val="20"/>
          <w:lang w:val="en-US" w:eastAsia="en-US" w:bidi="ar-SA"/>
        </w:rPr>
        <w:t>  It rapidly became apparent that Mhinder's allegation was incorrect with respect to the first tranche. Schnitzer's records indicate that this steel was delivered by Gina's company, R &amp; G, for which Schnitzer paid R &amp; G cash. Further records demonstrate that shortly after, Gina deposited $1,699.25 to the account of OCL, where it was credited to Timberland.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765</w:t>
      </w:r>
      <w:r>
        <w:rPr>
          <w:rFonts w:ascii="arial" w:eastAsia="arial" w:hAnsi="arial" w:cs="arial"/>
          <w:color w:val="000000"/>
          <w:sz w:val="20"/>
          <w:lang w:val="en-US" w:eastAsia="en-US" w:bidi="ar-SA"/>
        </w:rPr>
        <w:t>  There is no record of a similar deposit of the second amount paid by Schnitzer of $2,147.25. The difficulty is that although the Schnitzer records show R &amp; G as the supplier of this second tranche of scrap, the carrier is listed as "Ryler Holdings Ladysmith". It is the carrier that received the cash. No evidence links that carrier to Bhora and Gina. Gina denied receiving that cash, and I have no reason to doubt her. But even without her evidence, the claim is unsupported and fails for want of proof.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766</w:t>
      </w:r>
      <w:r>
        <w:rPr>
          <w:rFonts w:ascii="arial" w:eastAsia="arial" w:hAnsi="arial" w:cs="arial"/>
          <w:color w:val="000000"/>
          <w:sz w:val="20"/>
          <w:lang w:val="en-US" w:eastAsia="en-US" w:bidi="ar-SA"/>
        </w:rPr>
        <w:t>  This claim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12.7.12 </w:t>
      </w:r>
      <w:r>
        <w:rPr>
          <w:rFonts w:ascii="arial" w:eastAsia="arial" w:hAnsi="arial" w:cs="arial"/>
          <w:b/>
          <w:i/>
          <w:color w:val="000000"/>
          <w:sz w:val="20"/>
          <w:lang w:val="en-US" w:eastAsia="en-US" w:bidi="ar-SA"/>
        </w:rPr>
        <w:t>The General Security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767</w:t>
      </w:r>
      <w:r>
        <w:rPr>
          <w:rFonts w:ascii="arial" w:eastAsia="arial" w:hAnsi="arial" w:cs="arial"/>
          <w:color w:val="000000"/>
          <w:sz w:val="20"/>
          <w:lang w:val="en-US" w:eastAsia="en-US" w:bidi="ar-SA"/>
        </w:rPr>
        <w:t>  On July 15, 2015, GCM granted a General Security Agreement ("GSA") to Island Aggregates, R &amp; G Equipment, and Custom Pumping. This agreement secured obligations then outstanding of $156,673.92 to Island Aggregates, $50,121.80 to R &amp; G, and $65,919 to Custom Pumping, plus any future obligations incurred. The security comprised GCM's equipment (trucks, loaders, forklift, etc.), together with the property on Rainbow Road from which it operated.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768</w:t>
      </w:r>
      <w:r>
        <w:rPr>
          <w:rFonts w:ascii="arial" w:eastAsia="arial" w:hAnsi="arial" w:cs="arial"/>
          <w:color w:val="000000"/>
          <w:sz w:val="20"/>
          <w:lang w:val="en-US" w:eastAsia="en-US" w:bidi="ar-SA"/>
        </w:rPr>
        <w:t>  Mhinder submits that the GSA was inappropriate and should be set aside as another instance of oppression. He maintains that it was granted without his knowledge or consent, and improperly threatens his position in the winding up of the ITCs (specifically GCM) by putting Island Aggregates, R &amp; G and Custom Pumping ahead of him, as creditors, when it comes to distribution. In his submission, this demonstrates yet again Bhora's propensity to acquiesce in whatever his family requested without regard to Mhinder's interests.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769</w:t>
      </w:r>
      <w:r>
        <w:rPr>
          <w:rFonts w:ascii="arial" w:eastAsia="arial" w:hAnsi="arial" w:cs="arial"/>
          <w:color w:val="000000"/>
          <w:sz w:val="20"/>
          <w:lang w:val="en-US" w:eastAsia="en-US" w:bidi="ar-SA"/>
        </w:rPr>
        <w:t>  Mhinder relies in part on evidence given by Bhora at trial under cross-examination. I observe that Bhora has been unwell for some time, and was unwell during the course of this trial. He had a tendency to lose patience and agree with certain suggestions just to get it over with. The evidence Mhinder relies upon includes the following exchange from Mr. Gomery's cross examination of Bhora: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So as far as you were concerned after Mhinder said what he said in October 2011 he was out?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Yes.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And you didn't have to look after his interests anymore?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Well, he--I had to look after the interests of the company.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But not Mhinder's interest?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If he was out, no. You're absolutely right.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And your view was he was out?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Fair enough.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And that's the basis on which you've been proceeding?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Fair enough. Going around in a circle, but that's okay.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770</w:t>
      </w:r>
      <w:r>
        <w:rPr>
          <w:rFonts w:ascii="arial" w:eastAsia="arial" w:hAnsi="arial" w:cs="arial"/>
          <w:color w:val="000000"/>
          <w:sz w:val="20"/>
          <w:lang w:val="en-US" w:eastAsia="en-US" w:bidi="ar-SA"/>
        </w:rPr>
        <w:t>  Contextually, the issue of Mhinder being "out" refers to Bhora's claim, discussed and dismissed above in section 12.6, that Mhinder had left the trust. At the time that the GSA was granted, they were fully engaged in litigatious warfare. But the pertinent point is that Bhora, I find, was in fact looking after the interests of the company in this regard, which was the asset in which Mhinder remained interested, whether or not Bhora acknowledged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771</w:t>
      </w:r>
      <w:r>
        <w:rPr>
          <w:rFonts w:ascii="arial" w:eastAsia="arial" w:hAnsi="arial" w:cs="arial"/>
          <w:color w:val="000000"/>
          <w:sz w:val="20"/>
          <w:lang w:val="en-US" w:eastAsia="en-US" w:bidi="ar-SA"/>
        </w:rPr>
        <w:t>  Was it, then, inappropriate for Bhora to agree to the GSA? What advantage accrued to GCM? The advantage, say Bhora and Richard, was that GCM was able to stay in business until it came time to wind it up. This is because, on the strength of the GSA, the family companies continued to supply GCM on credit, including the supply of an additional pump 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772</w:t>
      </w:r>
      <w:r>
        <w:rPr>
          <w:rFonts w:ascii="arial" w:eastAsia="arial" w:hAnsi="arial" w:cs="arial"/>
          <w:color w:val="000000"/>
          <w:sz w:val="20"/>
          <w:lang w:val="en-US" w:eastAsia="en-US" w:bidi="ar-SA"/>
        </w:rPr>
        <w:t>  Mhinder has advanced a number of claims based on his proposition that the affairs of GCM were conducted in a manner oppressive to his interests as a beneficial owner. I have dismissed all of them. In the result, the evidence does not allow me to conclude that the GSA was detrimental to GCM and its ability to continue in business, or that it was oppressive and unfairly prejudicial to Mhinder. In the absence of a finding of sham supply transactions, which the evidence does not support, it is difficult to see how Mhinder can complain if legitimate creditors are paid what they are due.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773</w:t>
      </w:r>
      <w:r>
        <w:rPr>
          <w:rFonts w:ascii="arial" w:eastAsia="arial" w:hAnsi="arial" w:cs="arial"/>
          <w:color w:val="000000"/>
          <w:sz w:val="20"/>
          <w:lang w:val="en-US" w:eastAsia="en-US" w:bidi="ar-SA"/>
        </w:rPr>
        <w:t>  I decline to set aside the GSA.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 MISCELLANEOUS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13.1 </w:t>
      </w:r>
      <w:r>
        <w:rPr>
          <w:rFonts w:ascii="arial" w:eastAsia="arial" w:hAnsi="arial" w:cs="arial"/>
          <w:b/>
          <w:color w:val="000000"/>
          <w:sz w:val="20"/>
          <w:u w:val="single"/>
          <w:lang w:val="en-US" w:eastAsia="en-US" w:bidi="ar-SA"/>
        </w:rPr>
        <w:t>Cheque Claims against Richard and Rita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774</w:t>
      </w:r>
      <w:r>
        <w:rPr>
          <w:rFonts w:ascii="arial" w:eastAsia="arial" w:hAnsi="arial" w:cs="arial"/>
          <w:color w:val="000000"/>
          <w:sz w:val="20"/>
          <w:lang w:val="en-US" w:eastAsia="en-US" w:bidi="ar-SA"/>
        </w:rPr>
        <w:t>  Mhinder claims against Richard and Rita for monies advanced to them in the form of cheques on Mhinder's account. The total advanced to Richard was $129,000 between January 1995 and April 2000. The total advanced to Rita was $246,000 between October 1993 and September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775</w:t>
      </w:r>
      <w:r>
        <w:rPr>
          <w:rFonts w:ascii="arial" w:eastAsia="arial" w:hAnsi="arial" w:cs="arial"/>
          <w:color w:val="000000"/>
          <w:sz w:val="20"/>
          <w:lang w:val="en-US" w:eastAsia="en-US" w:bidi="ar-SA"/>
        </w:rPr>
        <w:t>  We have already seen that Mhinder chose to pay little attention to administrative matters, and this included his bank account. He gave his chequebook to Mr. Furnemont to manage. And in order to avoid being interrupted in the midst of his work, he pre-signed a number of cheques so that Mr. Furnemont could issue them as required. I accept Mr. Furnemont's evidence that he advised Mhinder whenever he did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776</w:t>
      </w:r>
      <w:r>
        <w:rPr>
          <w:rFonts w:ascii="arial" w:eastAsia="arial" w:hAnsi="arial" w:cs="arial"/>
          <w:color w:val="000000"/>
          <w:sz w:val="20"/>
          <w:lang w:val="en-US" w:eastAsia="en-US" w:bidi="ar-SA"/>
        </w:rPr>
        <w:t>  Some of the cheques cashed by Rita were filled in in her handwriting.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777</w:t>
      </w:r>
      <w:r>
        <w:rPr>
          <w:rFonts w:ascii="arial" w:eastAsia="arial" w:hAnsi="arial" w:cs="arial"/>
          <w:color w:val="000000"/>
          <w:sz w:val="20"/>
          <w:lang w:val="en-US" w:eastAsia="en-US" w:bidi="ar-SA"/>
        </w:rPr>
        <w:t>  Mhinder alleges, in essence, that without his knowledge or consent, his money was transferred to Richard and Rita through pre-signed cheques, facilitated by Mr. Furnemont.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778</w:t>
      </w:r>
      <w:r>
        <w:rPr>
          <w:rFonts w:ascii="arial" w:eastAsia="arial" w:hAnsi="arial" w:cs="arial"/>
          <w:color w:val="000000"/>
          <w:sz w:val="20"/>
          <w:lang w:val="en-US" w:eastAsia="en-US" w:bidi="ar-SA"/>
        </w:rPr>
        <w:t>  I am unable to accept Mhinder's evidence that he neither knew of nor consented to these cheques being issued, although I am prepared to believe that he gave little thought to them after they had been issued, and may well have forgotten all about them. I accept Rita's evidence that any of the cheques issued to her that she had filled in were ones that had not been pre-signed; rather, she obtained Mhinder's signature after filling them in. Moreover, it is clear, and I find, that Mhinder was in receipt of his bank statements, which included cancelled cheques. I reject any suggestion that any or all of Richard, Rita and Mr. Furnemont attempted to defraud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779</w:t>
      </w:r>
      <w:r>
        <w:rPr>
          <w:rFonts w:ascii="arial" w:eastAsia="arial" w:hAnsi="arial" w:cs="arial"/>
          <w:color w:val="000000"/>
          <w:sz w:val="20"/>
          <w:lang w:val="en-US" w:eastAsia="en-US" w:bidi="ar-SA"/>
        </w:rPr>
        <w:t xml:space="preserve">  With respect to all of the cheques issued to Richard, and most of those issued to Rita, it is also evident that any claim on them is time-barred pursuant to the 1996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Mhinder argues that he should nevertheless be entitled to pursue his claims pursuant to a remedial constructive trust on the ground that damages would be an inadequate remedy due to the existence of a limitation defence. The law, he submits, allows him to pursue a post-trial process of tracing in order to pursue proof of the requirement of a direct link to an equitable property right (in Rita's case, Wee Tree) as discussed in the </w:t>
      </w:r>
      <w:r>
        <w:rPr>
          <w:rFonts w:ascii="arial" w:eastAsia="arial" w:hAnsi="arial" w:cs="arial"/>
          <w:i/>
          <w:color w:val="000000"/>
          <w:sz w:val="20"/>
          <w:lang w:val="en-US" w:eastAsia="en-US" w:bidi="ar-SA"/>
        </w:rPr>
        <w:t>BNSF Railway</w:t>
      </w:r>
      <w:r>
        <w:rPr>
          <w:rFonts w:ascii="arial" w:eastAsia="arial" w:hAnsi="arial" w:cs="arial"/>
          <w:color w:val="000000"/>
          <w:sz w:val="20"/>
          <w:lang w:val="en-US" w:eastAsia="en-US" w:bidi="ar-SA"/>
        </w:rPr>
        <w:t xml:space="preserve"> case at paras 64-68 (see paras 135-138 above). That case, of course, dealt with the sufficiency of pleadings, not with findings.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780</w:t>
      </w:r>
      <w:r>
        <w:rPr>
          <w:rFonts w:ascii="arial" w:eastAsia="arial" w:hAnsi="arial" w:cs="arial"/>
          <w:color w:val="000000"/>
          <w:sz w:val="20"/>
          <w:lang w:val="en-US" w:eastAsia="en-US" w:bidi="ar-SA"/>
        </w:rPr>
        <w:t>  I have already rejected Mhinder's claim to an equitable interest in Wee Tree. As I have commented before, there are significant difficulties with Mhinder's position, arising largely out of the manner in which members of the Mayer family exchanged funds. Look at Richard. Mhinder maintains that he advanced cheques totaling $129,000. Yet Richard, as we have seen, advanced Mhinder cheques totaling $395,000. Although Mhinder maintained that these were on account of the $900,000 promissory note, I have rejected that contention (paras 236 and 246-248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781</w:t>
      </w:r>
      <w:r>
        <w:rPr>
          <w:rFonts w:ascii="arial" w:eastAsia="arial" w:hAnsi="arial" w:cs="arial"/>
          <w:color w:val="000000"/>
          <w:sz w:val="20"/>
          <w:lang w:val="en-US" w:eastAsia="en-US" w:bidi="ar-SA"/>
        </w:rPr>
        <w:t>  Turning to Rita, Mhinder's claim is not time-barred with respect to two payments, totaling $76,000, made in 2002 and 2003. Rita testified that she was struggling at that time to keep up with the Accredit mortgage payments on behalf of Front Street Projects, and that she asked Mhinder for assistance. Mhinder made the advances.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782</w:t>
      </w:r>
      <w:r>
        <w:rPr>
          <w:rFonts w:ascii="arial" w:eastAsia="arial" w:hAnsi="arial" w:cs="arial"/>
          <w:color w:val="000000"/>
          <w:sz w:val="20"/>
          <w:lang w:val="en-US" w:eastAsia="en-US" w:bidi="ar-SA"/>
        </w:rPr>
        <w:t>  I accept Rita's evidence. I find that Mhinder was aware of all of these payments at the time they were made, though he kept no track of them. He also received monies from Richard and Rita, and kept no track of them either. There was no attempt to defraud him, nor was there any understanding that these advances were loans that had to be repaid. They were typical of the sort of dealings that frequently occurred among members of the Mayer family, and give rise to no claim. They are quite distinct from interest-bearing loans such as Mhinder's company, MIH, advanced to Front Street Projects, and OCL advanced to Island Aggregates.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783</w:t>
      </w:r>
      <w:r>
        <w:rPr>
          <w:rFonts w:ascii="arial" w:eastAsia="arial" w:hAnsi="arial" w:cs="arial"/>
          <w:color w:val="000000"/>
          <w:sz w:val="20"/>
          <w:lang w:val="en-US" w:eastAsia="en-US" w:bidi="ar-SA"/>
        </w:rPr>
        <w:t>  These claims are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13.2 </w:t>
      </w:r>
      <w:r>
        <w:rPr>
          <w:rFonts w:ascii="arial" w:eastAsia="arial" w:hAnsi="arial" w:cs="arial"/>
          <w:b/>
          <w:color w:val="000000"/>
          <w:sz w:val="20"/>
          <w:u w:val="single"/>
          <w:lang w:val="en-US" w:eastAsia="en-US" w:bidi="ar-SA"/>
        </w:rPr>
        <w:t>Claims against Gina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784</w:t>
      </w:r>
      <w:r>
        <w:rPr>
          <w:rFonts w:ascii="arial" w:eastAsia="arial" w:hAnsi="arial" w:cs="arial"/>
          <w:color w:val="000000"/>
          <w:sz w:val="20"/>
          <w:lang w:val="en-US" w:eastAsia="en-US" w:bidi="ar-SA"/>
        </w:rPr>
        <w:t>  Mhinder advances two claims against Gina.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13.2.1 </w:t>
      </w:r>
      <w:r>
        <w:rPr>
          <w:rFonts w:ascii="arial" w:eastAsia="arial" w:hAnsi="arial" w:cs="arial"/>
          <w:b/>
          <w:i/>
          <w:color w:val="000000"/>
          <w:sz w:val="20"/>
          <w:lang w:val="en-US" w:eastAsia="en-US" w:bidi="ar-SA"/>
        </w:rPr>
        <w:t>The Rents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785</w:t>
      </w:r>
      <w:r>
        <w:rPr>
          <w:rFonts w:ascii="arial" w:eastAsia="arial" w:hAnsi="arial" w:cs="arial"/>
          <w:color w:val="000000"/>
          <w:sz w:val="20"/>
          <w:lang w:val="en-US" w:eastAsia="en-US" w:bidi="ar-SA"/>
        </w:rPr>
        <w:t>  The first arises out of the Gina rents claim, discussed above in section 7.3. I have already determined that Mhinder is entitled to an accounting from Bhora with respect to these rents. Here, Mhinder maintains that Gina is jointly liable to him on the ground that she knowingly assisted Bhora in a breach of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786</w:t>
      </w:r>
      <w:r>
        <w:rPr>
          <w:rFonts w:ascii="arial" w:eastAsia="arial" w:hAnsi="arial" w:cs="arial"/>
          <w:color w:val="000000"/>
          <w:sz w:val="20"/>
          <w:lang w:val="en-US" w:eastAsia="en-US" w:bidi="ar-SA"/>
        </w:rPr>
        <w:t>  There can be no doubt, on the evidence, that Gina was fully aware of the brothers' trust. Moreover, she had been collecting the rents on behalf of the brothers' trust, and submitting the net proceeds to OCL, for many years. For this, she charged and was paid a fee. It is clear that she was fully aware of how things were supposed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787</w:t>
      </w:r>
      <w:r>
        <w:rPr>
          <w:rFonts w:ascii="arial" w:eastAsia="arial" w:hAnsi="arial" w:cs="arial"/>
          <w:color w:val="000000"/>
          <w:sz w:val="20"/>
          <w:lang w:val="en-US" w:eastAsia="en-US" w:bidi="ar-SA"/>
        </w:rPr>
        <w:t>  I have already rejected Gina's evidence that Mhinder knew about Bhora's decision to have her pay the net proceeds into her and Bhora's joint account instead of to OCL, and her evidence that this was in accordance with Mr. Furnemont's advice. In these circumstances, the only reasonable inference is that she knowingly assisted Bhora in paying all the rents to his benefit (and hers) in breach of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788</w:t>
      </w:r>
      <w:r>
        <w:rPr>
          <w:rFonts w:ascii="arial" w:eastAsia="arial" w:hAnsi="arial" w:cs="arial"/>
          <w:color w:val="000000"/>
          <w:sz w:val="20"/>
          <w:lang w:val="en-US" w:eastAsia="en-US" w:bidi="ar-SA"/>
        </w:rPr>
        <w:t>  It follows that Mhinder is entitled to claim against Gina jointly with Bhora in relation to what amounts are found to be owing in this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13.2.2 </w:t>
      </w:r>
      <w:r>
        <w:rPr>
          <w:rFonts w:ascii="arial" w:eastAsia="arial" w:hAnsi="arial" w:cs="arial"/>
          <w:b/>
          <w:i/>
          <w:color w:val="000000"/>
          <w:sz w:val="20"/>
          <w:lang w:val="en-US" w:eastAsia="en-US" w:bidi="ar-SA"/>
        </w:rPr>
        <w:t>The Gabriola Property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789</w:t>
      </w:r>
      <w:r>
        <w:rPr>
          <w:rFonts w:ascii="arial" w:eastAsia="arial" w:hAnsi="arial" w:cs="arial"/>
          <w:color w:val="000000"/>
          <w:sz w:val="20"/>
          <w:lang w:val="en-US" w:eastAsia="en-US" w:bidi="ar-SA"/>
        </w:rPr>
        <w:t>  The second claim relates to property on Gabriola Island that Gina purchased in 1992 for $4,500 and still owns.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790</w:t>
      </w:r>
      <w:r>
        <w:rPr>
          <w:rFonts w:ascii="arial" w:eastAsia="arial" w:hAnsi="arial" w:cs="arial"/>
          <w:color w:val="000000"/>
          <w:sz w:val="20"/>
          <w:lang w:val="en-US" w:eastAsia="en-US" w:bidi="ar-SA"/>
        </w:rPr>
        <w:t>  The evidence establishes that Gina and Mhinder entered into a contract of purchase and sale of the property on February 12, 2002, for a purchase price of $10,000. Mhinder wrote a cheque to Gina for $10,000, which Gina deposited.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791</w:t>
      </w:r>
      <w:r>
        <w:rPr>
          <w:rFonts w:ascii="arial" w:eastAsia="arial" w:hAnsi="arial" w:cs="arial"/>
          <w:color w:val="000000"/>
          <w:sz w:val="20"/>
          <w:lang w:val="en-US" w:eastAsia="en-US" w:bidi="ar-SA"/>
        </w:rPr>
        <w:t>  According to Gina, they later agreed to rescind this transaction, and she returned Mhinder's payment, sending him a cheque drawn on her account for $10,000. According to Mhinder, there was no agreement to rescind the contract, and it had simply escaped his attention that the sale had never been completed. Mhinder denies receiving a cheque from Gina; on the evidence, he never cashed it if he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792</w:t>
      </w:r>
      <w:r>
        <w:rPr>
          <w:rFonts w:ascii="arial" w:eastAsia="arial" w:hAnsi="arial" w:cs="arial"/>
          <w:color w:val="000000"/>
          <w:sz w:val="20"/>
          <w:lang w:val="en-US" w:eastAsia="en-US" w:bidi="ar-SA"/>
        </w:rPr>
        <w:t>  Mhinder acknowledges that it is past time when specific performance could have been ordered, and so seeks the return of his $10,000 with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793</w:t>
      </w:r>
      <w:r>
        <w:rPr>
          <w:rFonts w:ascii="arial" w:eastAsia="arial" w:hAnsi="arial" w:cs="arial"/>
          <w:color w:val="000000"/>
          <w:sz w:val="20"/>
          <w:lang w:val="en-US" w:eastAsia="en-US" w:bidi="ar-SA"/>
        </w:rPr>
        <w:t xml:space="preserve">  On any reading of the evidence, Gina owed Mhinder $10,000, and whether through Mhinder's carelessness or not, that payment has not been made. Gina argues that it would be inequitable to award Mhinder interest given that she attempted to repay the amount, and he simply misplaced her cheque. The fact remains that Gina has had the use of the money; Mhinder has not. Mhinder is entitled to judgment against Gina for $10,000 together with interest under the </w:t>
      </w:r>
      <w:r>
        <w:rPr>
          <w:rFonts w:ascii="arial" w:eastAsia="arial" w:hAnsi="arial" w:cs="arial"/>
          <w:i/>
          <w:color w:val="000000"/>
          <w:sz w:val="20"/>
          <w:lang w:val="en-US" w:eastAsia="en-US" w:bidi="ar-SA"/>
        </w:rPr>
        <w:t>Court Order Interest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79</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13.3 </w:t>
      </w:r>
      <w:r>
        <w:rPr>
          <w:rFonts w:ascii="arial" w:eastAsia="arial" w:hAnsi="arial" w:cs="arial"/>
          <w:b/>
          <w:color w:val="000000"/>
          <w:sz w:val="20"/>
          <w:u w:val="single"/>
          <w:lang w:val="en-US" w:eastAsia="en-US" w:bidi="ar-SA"/>
        </w:rPr>
        <w:t>Claims of Mid-Isle Holdings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794</w:t>
      </w:r>
      <w:r>
        <w:rPr>
          <w:rFonts w:ascii="arial" w:eastAsia="arial" w:hAnsi="arial" w:cs="arial"/>
          <w:color w:val="000000"/>
          <w:sz w:val="20"/>
          <w:lang w:val="en-US" w:eastAsia="en-US" w:bidi="ar-SA"/>
        </w:rPr>
        <w:t>  MIH advances two claims against Richard's companies, the Garco building claim, and the converted containers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13.3.1 </w:t>
      </w:r>
      <w:r>
        <w:rPr>
          <w:rFonts w:ascii="arial" w:eastAsia="arial" w:hAnsi="arial" w:cs="arial"/>
          <w:b/>
          <w:i/>
          <w:color w:val="000000"/>
          <w:sz w:val="20"/>
          <w:lang w:val="en-US" w:eastAsia="en-US" w:bidi="ar-SA"/>
        </w:rPr>
        <w:t>The Garco Building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795</w:t>
      </w:r>
      <w:r>
        <w:rPr>
          <w:rFonts w:ascii="arial" w:eastAsia="arial" w:hAnsi="arial" w:cs="arial"/>
          <w:color w:val="000000"/>
          <w:sz w:val="20"/>
          <w:lang w:val="en-US" w:eastAsia="en-US" w:bidi="ar-SA"/>
        </w:rPr>
        <w:t>  The first relates to one of two very large Garco steel buildings that had been used in the construction of a rapid transit line in the Lower Mainland, and were located in Port Moody. Mhinder had been instrumental in arranging the purchase, through NCC, and then bought one of the buildings from NCC through MIH for cost of $250,000.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796</w:t>
      </w:r>
      <w:r>
        <w:rPr>
          <w:rFonts w:ascii="arial" w:eastAsia="arial" w:hAnsi="arial" w:cs="arial"/>
          <w:color w:val="000000"/>
          <w:sz w:val="20"/>
          <w:lang w:val="en-US" w:eastAsia="en-US" w:bidi="ar-SA"/>
        </w:rPr>
        <w:t>  The buildings were disassembled and transported to Duke Point where they have remained ever since. By the time Mhinder sought to extract MIH's building in 2012, the family was at war.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797</w:t>
      </w:r>
      <w:r>
        <w:rPr>
          <w:rFonts w:ascii="arial" w:eastAsia="arial" w:hAnsi="arial" w:cs="arial"/>
          <w:color w:val="000000"/>
          <w:sz w:val="20"/>
          <w:lang w:val="en-US" w:eastAsia="en-US" w:bidi="ar-SA"/>
        </w:rPr>
        <w:t>  Richard's solicitor originally took the position that the ownership of the item was in dispute and that its removal would amount to both trespass and theft. That was not a justifiable position. The fact is that Richard does not dispute that the building belongs to MIH. The problem, he says, is that the parts of the two buildings are mixed together and need to be sorted out under supervision. Moreover, he contends, Mhinder should pay him for storage and moving costs over the period of approximately eleven years that the building pieces have been left on NCC's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798</w:t>
      </w:r>
      <w:r>
        <w:rPr>
          <w:rFonts w:ascii="arial" w:eastAsia="arial" w:hAnsi="arial" w:cs="arial"/>
          <w:color w:val="000000"/>
          <w:sz w:val="20"/>
          <w:lang w:val="en-US" w:eastAsia="en-US" w:bidi="ar-SA"/>
        </w:rPr>
        <w:t>  I note that neither Richard nor NCC ever asserted any right to storage costs from the time that the buildings were delivered to Duke Point until well after Mhinder announced his intention to take possession of MIH's building. Given that the pieces of the two buildings were mixed together, it seems to me that, effectively, Richard had licensed MIH to maintain its pieces there at least until such time as Richard gave notice that Mhinder should remove them. He never did so. On the contrary, he initially denied Mhinder access altogether, disputing his ownership. In these circumstances, I am unable to discern any proper basis for charging storage.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799</w:t>
      </w:r>
      <w:r>
        <w:rPr>
          <w:rFonts w:ascii="arial" w:eastAsia="arial" w:hAnsi="arial" w:cs="arial"/>
          <w:color w:val="000000"/>
          <w:sz w:val="20"/>
          <w:lang w:val="en-US" w:eastAsia="en-US" w:bidi="ar-SA"/>
        </w:rPr>
        <w:t>  MIH is entitled to its building. The question is how its pieces are to be extricated from those belonging to NCC. Richard proposes that a procedure should be established by which a third party, with the benefit of the plans for the buildings, will supervise the removal of one of them. I agree. If the parties are unable to agree to such a procedure, they are at liberty to apply. NCC is not entitled to storage fees.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13.3.2 </w:t>
      </w:r>
      <w:r>
        <w:rPr>
          <w:rFonts w:ascii="arial" w:eastAsia="arial" w:hAnsi="arial" w:cs="arial"/>
          <w:b/>
          <w:i/>
          <w:color w:val="000000"/>
          <w:sz w:val="20"/>
          <w:lang w:val="en-US" w:eastAsia="en-US" w:bidi="ar-SA"/>
        </w:rPr>
        <w:t>The Converted Containers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800</w:t>
      </w:r>
      <w:r>
        <w:rPr>
          <w:rFonts w:ascii="arial" w:eastAsia="arial" w:hAnsi="arial" w:cs="arial"/>
          <w:color w:val="000000"/>
          <w:sz w:val="20"/>
          <w:lang w:val="en-US" w:eastAsia="en-US" w:bidi="ar-SA"/>
        </w:rPr>
        <w:t>  This relates to what Mhinder alleges is the conversion by Bastion of seven containers and equipment that MIH purchased in 2001 for $29,400. Mhinder maintains that these containers and their contents were stored at Bastion's yard at 1125 Farquhar Street, and were last seen there at the end of 2007. He claims damages for conversion in the amount of what he paid for the containers as a "reasonable though probably modest indication of their value in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801</w:t>
      </w:r>
      <w:r>
        <w:rPr>
          <w:rFonts w:ascii="arial" w:eastAsia="arial" w:hAnsi="arial" w:cs="arial"/>
          <w:color w:val="000000"/>
          <w:sz w:val="20"/>
          <w:lang w:val="en-US" w:eastAsia="en-US" w:bidi="ar-SA"/>
        </w:rPr>
        <w:t>  This claim turns on the sufficiency of Mhinder's evidence. He produced invoices establishing the purchase of the seven containers from SAR Transit in May, July and August 2001 by Arrowsmith Concrete. Two of them are described as containing miscellaneous tools, safety supplies and equipment. He testified that they were originally stored at Duke Point but after a break-in of one of them, "we move them all into 1125 Farquhar Street yard". He was, however, unable to provide any information that would identify his containers, or independently establish their location at 1125 Farquhar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802</w:t>
      </w:r>
      <w:r>
        <w:rPr>
          <w:rFonts w:ascii="arial" w:eastAsia="arial" w:hAnsi="arial" w:cs="arial"/>
          <w:color w:val="000000"/>
          <w:sz w:val="20"/>
          <w:lang w:val="en-US" w:eastAsia="en-US" w:bidi="ar-SA"/>
        </w:rPr>
        <w:t>  As might be expected, Richard's companies have bought numerous containers over the years, and own approximately 26 of them. He was unaware of any containers belonging to Mhinder being stored at 1125 Farquhar Street. He testified about containers at Fry Street to which Mhinder and Kelly were granted access at their request to remove some personal items. According to Richard, Mhinder and Kelly did not assert ownership to the containers themselves, and those containers are presently located at the Spruston Pit.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803</w:t>
      </w:r>
      <w:r>
        <w:rPr>
          <w:rFonts w:ascii="arial" w:eastAsia="arial" w:hAnsi="arial" w:cs="arial"/>
          <w:color w:val="000000"/>
          <w:sz w:val="20"/>
          <w:lang w:val="en-US" w:eastAsia="en-US" w:bidi="ar-SA"/>
        </w:rPr>
        <w:t>  The question therefore boils down to whether I can accept Mhinder's testimony as establishing, on a balance of probabilities, that he stored Arrowsmith's containers at 1125 Farquhar Street, and that they disappeared. In this particular instance, I find I can. Mhinder's evidence about these containers was free of embellishment and in accord not only with the receipts he produced, but the course of dealings between the parties. He clearly bought the containers, and there is no other explanation for their disappearance. Mhinder himself is not in a position to locate them because he has been denied access to the properties where they might be located.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804</w:t>
      </w:r>
      <w:r>
        <w:rPr>
          <w:rFonts w:ascii="arial" w:eastAsia="arial" w:hAnsi="arial" w:cs="arial"/>
          <w:color w:val="000000"/>
          <w:sz w:val="20"/>
          <w:lang w:val="en-US" w:eastAsia="en-US" w:bidi="ar-SA"/>
        </w:rPr>
        <w:t>  In these circumstances, Mhinder is entitled to judgment. I accept that the purchase price is a reasonable estimate of the value of these containers, but they are depreciating assets, and allowance should be made for storage from 2007 on, when Mhinder left his employment with Island Aggregates and shifted his focus to Salt Spring Island. I allow $12,000 as a reasonable amount for storage, leaving a net award of $17,400. To offset the depreciation of the containers and their contents, I allow no pre-judgment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13.4 </w:t>
      </w:r>
      <w:r>
        <w:rPr>
          <w:rFonts w:ascii="arial" w:eastAsia="arial" w:hAnsi="arial" w:cs="arial"/>
          <w:b/>
          <w:color w:val="000000"/>
          <w:sz w:val="20"/>
          <w:u w:val="single"/>
          <w:lang w:val="en-US" w:eastAsia="en-US" w:bidi="ar-SA"/>
        </w:rPr>
        <w:t>Claim of Island Aggregates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805</w:t>
      </w:r>
      <w:r>
        <w:rPr>
          <w:rFonts w:ascii="arial" w:eastAsia="arial" w:hAnsi="arial" w:cs="arial"/>
          <w:color w:val="000000"/>
          <w:sz w:val="20"/>
          <w:lang w:val="en-US" w:eastAsia="en-US" w:bidi="ar-SA"/>
        </w:rPr>
        <w:t>  By counterclaim, Island Aggregates claims against Mhinder and MIH in relation to a silo that it claims it owns, but was misappropriated by MIH and Mhinder. Mhinder disputes Island Aggregates' ownership, and that is the real issue here. Mhinder acknowledges that if Island Aggregates is the owner, he must return the silo and account for $28,000 in revenue MIH received for renting the silo out. I conclude that Island Aggregates is indeed the owner.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806</w:t>
      </w:r>
      <w:r>
        <w:rPr>
          <w:rFonts w:ascii="arial" w:eastAsia="arial" w:hAnsi="arial" w:cs="arial"/>
          <w:color w:val="000000"/>
          <w:sz w:val="20"/>
          <w:lang w:val="en-US" w:eastAsia="en-US" w:bidi="ar-SA"/>
        </w:rPr>
        <w:t>  For a period of time, the silo was leased to GAIA Contractors for the storage of cement as part of a Nanaimo construction project. It was stored at Timberlands Road, and required attention to bring it into a working condition. In March 2006, R &amp; G billed Island Aggregates to move the silo to Fry Street for this purpose. Island Aggregates billed GAIA for rent beginning in April 2006, and for moving the silo to Vancouver in August 2006. Then, we see that in May 2009 MIH billed GAIA for leasing, transportation and mobilization of the silo. MIH continued to invoice GAIA through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807</w:t>
      </w:r>
      <w:r>
        <w:rPr>
          <w:rFonts w:ascii="arial" w:eastAsia="arial" w:hAnsi="arial" w:cs="arial"/>
          <w:color w:val="000000"/>
          <w:sz w:val="20"/>
          <w:lang w:val="en-US" w:eastAsia="en-US" w:bidi="ar-SA"/>
        </w:rPr>
        <w:t>  At some point between 2007 and 2009, the silo turned up on Gulf Coast's property on Salt Spring Island.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808</w:t>
      </w:r>
      <w:r>
        <w:rPr>
          <w:rFonts w:ascii="arial" w:eastAsia="arial" w:hAnsi="arial" w:cs="arial"/>
          <w:color w:val="000000"/>
          <w:sz w:val="20"/>
          <w:lang w:val="en-US" w:eastAsia="en-US" w:bidi="ar-SA"/>
        </w:rPr>
        <w:t>  According to Mhinder, he originally acquired the silo along with another in about 1985 from the Nanaimo Regional District. They were effluent silos at the district's sewer treatment plant that the district no longer used. One went into use at Arrowsmith Concrete in 1989 while the second sat at Timberlands Road. Then when GAIA needed a silo, Mhinder was there to provide it. He intended to lease it to GAIA through MIH, but, Mhinder testified: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Marc said, "no, Mhindy, you can't put it under Mid-Isle Holdings because Mid-Isle Holdings now doesn't have a PST number. You can't do that." He said will put it under Island Aggregates. So the silo went down there. It went under Island Aggregates. Island Aggregates got paid for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809</w:t>
      </w:r>
      <w:r>
        <w:rPr>
          <w:rFonts w:ascii="arial" w:eastAsia="arial" w:hAnsi="arial" w:cs="arial"/>
          <w:color w:val="000000"/>
          <w:sz w:val="20"/>
          <w:lang w:val="en-US" w:eastAsia="en-US" w:bidi="ar-SA"/>
        </w:rPr>
        <w:t>  Mhinder went on to explain that when GAIA asked for it to be moved to Vancouver, he agreed to that, sent the silo to Vancouver, and then billed GAIA through MIH. He did not explain the silo's sojourn at GCM.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810</w:t>
      </w:r>
      <w:r>
        <w:rPr>
          <w:rFonts w:ascii="arial" w:eastAsia="arial" w:hAnsi="arial" w:cs="arial"/>
          <w:color w:val="000000"/>
          <w:sz w:val="20"/>
          <w:lang w:val="en-US" w:eastAsia="en-US" w:bidi="ar-SA"/>
        </w:rPr>
        <w:t>  Mhinder's explanation for how it came to be that Island Aggregates billed GAIA instead of MIH does not hold up. Mr. Furnemont denied telling Mhinder that MIH could not be the lessor because it did not have a PST number. In fact, Mr. Furnemont pointed out, MIH still had the PST number that had been assigned to its predecessor, Arrowsmith Concrete. I accept Mr. Furnemont's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811</w:t>
      </w:r>
      <w:r>
        <w:rPr>
          <w:rFonts w:ascii="arial" w:eastAsia="arial" w:hAnsi="arial" w:cs="arial"/>
          <w:color w:val="000000"/>
          <w:sz w:val="20"/>
          <w:lang w:val="en-US" w:eastAsia="en-US" w:bidi="ar-SA"/>
        </w:rPr>
        <w:t>  According to Richard, he purchased the silo through Island Aggregates from OCL along with other equipment stored at Timberland Road. Given the course of dealings thereafter, and the supporting evidence of Bhora, I accept Richard's evidence in this regard. It is consistent with the steps he was taking at that time to acquire equipment in relation to his new ready-mix plant at 1125 Cedar Road. What neither party was able satisfactorily to explain is how the silo came back to GCM in about 2007 or 2008. Nevertheless, it clearly did. That brought it under Mhinder's control, since he had assumed the management of GCM in 2007. What then happened, I find, is that Mhinder was able through his many connections to take advantage of an opportunity to lease it out again, and did so in the name of MIH in May 2009. But it was not his to 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812</w:t>
      </w:r>
      <w:r>
        <w:rPr>
          <w:rFonts w:ascii="arial" w:eastAsia="arial" w:hAnsi="arial" w:cs="arial"/>
          <w:color w:val="000000"/>
          <w:sz w:val="20"/>
          <w:lang w:val="en-US" w:eastAsia="en-US" w:bidi="ar-SA"/>
        </w:rPr>
        <w:t>  Mhinder's evidence about the silo's origins is, I find, a revisionist history. Very likely he did have a hand in acquiring the two silos from Nanaimo Regional District, but on behalf of OCL, not Arrowsmith. He may well have taken one to Coombs for use with the Arrowsmith plant, but the other silo, the one in question, remained with other OCL equipment at Timberland Road until purchased by Island Aggregates. This is consistent with the flurry of invoicing dealing with the silo's transport, repair and the initial rental to GAIA. The rest was opportunism on Mhinder's part. There is no documentary connection between the silo and MIH before May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813</w:t>
      </w:r>
      <w:r>
        <w:rPr>
          <w:rFonts w:ascii="arial" w:eastAsia="arial" w:hAnsi="arial" w:cs="arial"/>
          <w:color w:val="000000"/>
          <w:sz w:val="20"/>
          <w:lang w:val="en-US" w:eastAsia="en-US" w:bidi="ar-SA"/>
        </w:rPr>
        <w:t>  Island Aggregates is entitled to judgment on its counterclaim. Mhinder must return the silo, and account for the rental MIH received.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13.5 </w:t>
      </w:r>
      <w:r>
        <w:rPr>
          <w:rFonts w:ascii="arial" w:eastAsia="arial" w:hAnsi="arial" w:cs="arial"/>
          <w:b/>
          <w:color w:val="000000"/>
          <w:sz w:val="20"/>
          <w:u w:val="single"/>
          <w:lang w:val="en-US" w:eastAsia="en-US" w:bidi="ar-SA"/>
        </w:rPr>
        <w:t>Claim of R &amp; 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814</w:t>
      </w:r>
      <w:r>
        <w:rPr>
          <w:rFonts w:ascii="arial" w:eastAsia="arial" w:hAnsi="arial" w:cs="arial"/>
          <w:color w:val="000000"/>
          <w:sz w:val="20"/>
          <w:lang w:val="en-US" w:eastAsia="en-US" w:bidi="ar-SA"/>
        </w:rPr>
        <w:t>  This relates to a 16-foot fibreglass boat that R &amp; G bought with a 60 hp Yamaha outboard engine and trailer for $2000 in 1989.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815</w:t>
      </w:r>
      <w:r>
        <w:rPr>
          <w:rFonts w:ascii="arial" w:eastAsia="arial" w:hAnsi="arial" w:cs="arial"/>
          <w:color w:val="000000"/>
          <w:sz w:val="20"/>
          <w:lang w:val="en-US" w:eastAsia="en-US" w:bidi="ar-SA"/>
        </w:rPr>
        <w:t>  The boat and trailer were last seen on property belonging to Kelly and Mhinder, although the Yamaha outboard has been replaced by a Johnson outboard. According to Kelly, it sits there still. There is no evidence about how the change in engines came about.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816</w:t>
      </w:r>
      <w:r>
        <w:rPr>
          <w:rFonts w:ascii="arial" w:eastAsia="arial" w:hAnsi="arial" w:cs="arial"/>
          <w:color w:val="000000"/>
          <w:sz w:val="20"/>
          <w:lang w:val="en-US" w:eastAsia="en-US" w:bidi="ar-SA"/>
        </w:rPr>
        <w:t>  R &amp; G is entitled to an order requiring Mhinder and Kelly to return the boat, trailer and Johnson engine.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13.6 </w:t>
      </w:r>
      <w:r>
        <w:rPr>
          <w:rFonts w:ascii="arial" w:eastAsia="arial" w:hAnsi="arial" w:cs="arial"/>
          <w:b/>
          <w:color w:val="000000"/>
          <w:sz w:val="20"/>
          <w:u w:val="single"/>
          <w:lang w:val="en-US" w:eastAsia="en-US" w:bidi="ar-SA"/>
        </w:rPr>
        <w:t>Abuse of Process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817</w:t>
      </w:r>
      <w:r>
        <w:rPr>
          <w:rFonts w:ascii="arial" w:eastAsia="arial" w:hAnsi="arial" w:cs="arial"/>
          <w:color w:val="000000"/>
          <w:sz w:val="20"/>
          <w:lang w:val="en-US" w:eastAsia="en-US" w:bidi="ar-SA"/>
        </w:rPr>
        <w:t>  Richard, Rita, Gina and their companies claim damages from Mhinder for the tort of abuse of process. If they are minded to pursue this claim in view of these reasons for judgment, then the matter should be argued along with their claim for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 CONCLUSION AND 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818</w:t>
      </w:r>
      <w:r>
        <w:rPr>
          <w:rFonts w:ascii="arial" w:eastAsia="arial" w:hAnsi="arial" w:cs="arial"/>
          <w:color w:val="000000"/>
          <w:sz w:val="20"/>
          <w:lang w:val="en-US" w:eastAsia="en-US" w:bidi="ar-SA"/>
        </w:rPr>
        <w:t>  What follows is a summary of my conclusions in the order in which I have addressed them in my Reasons (so far as is possible). Reference should be made to the 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819</w:t>
      </w:r>
      <w:r>
        <w:rPr>
          <w:rFonts w:ascii="arial" w:eastAsia="arial" w:hAnsi="arial" w:cs="arial"/>
          <w:color w:val="000000"/>
          <w:sz w:val="20"/>
          <w:lang w:val="en-US" w:eastAsia="en-US" w:bidi="ar-SA"/>
        </w:rPr>
        <w:t>  </w:t>
      </w:r>
      <w:r>
        <w:rPr>
          <w:rFonts w:ascii="arial" w:eastAsia="arial" w:hAnsi="arial" w:cs="arial"/>
          <w:i/>
          <w:color w:val="000000"/>
          <w:sz w:val="20"/>
          <w:u w:val="single"/>
          <w:lang w:val="en-US" w:eastAsia="en-US" w:bidi="ar-SA"/>
        </w:rPr>
        <w:t>The New Family Trust Claims</w:t>
      </w:r>
      <w:r>
        <w:rPr>
          <w:rFonts w:ascii="arial" w:eastAsia="arial" w:hAnsi="arial" w:cs="arial"/>
          <w:color w:val="000000"/>
          <w:sz w:val="20"/>
          <w:lang w:val="en-US" w:eastAsia="en-US" w:bidi="ar-SA"/>
        </w:rPr>
        <w:t>. Mhinder's claims to a beneficial interest in the family companies and properties, whether by way of an intentional or constructive trust, are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820</w:t>
      </w:r>
      <w:r>
        <w:rPr>
          <w:rFonts w:ascii="arial" w:eastAsia="arial" w:hAnsi="arial" w:cs="arial"/>
          <w:color w:val="000000"/>
          <w:sz w:val="20"/>
          <w:lang w:val="en-US" w:eastAsia="en-US" w:bidi="ar-SA"/>
        </w:rPr>
        <w:t>  </w:t>
      </w:r>
      <w:r>
        <w:rPr>
          <w:rFonts w:ascii="arial" w:eastAsia="arial" w:hAnsi="arial" w:cs="arial"/>
          <w:i/>
          <w:color w:val="000000"/>
          <w:sz w:val="20"/>
          <w:u w:val="single"/>
          <w:lang w:val="en-US" w:eastAsia="en-US" w:bidi="ar-SA"/>
        </w:rPr>
        <w:t>The $900,000 Promissory Note Claim</w:t>
      </w:r>
      <w:r>
        <w:rPr>
          <w:rFonts w:ascii="arial" w:eastAsia="arial" w:hAnsi="arial" w:cs="arial"/>
          <w:color w:val="000000"/>
          <w:sz w:val="20"/>
          <w:lang w:val="en-US" w:eastAsia="en-US" w:bidi="ar-SA"/>
        </w:rPr>
        <w:t>. Mhinder's claim against Richard on Richard's $900,000 promissory note from the Lehigh sale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821</w:t>
      </w:r>
      <w:r>
        <w:rPr>
          <w:rFonts w:ascii="arial" w:eastAsia="arial" w:hAnsi="arial" w:cs="arial"/>
          <w:color w:val="000000"/>
          <w:sz w:val="20"/>
          <w:lang w:val="en-US" w:eastAsia="en-US" w:bidi="ar-SA"/>
        </w:rPr>
        <w:t>  </w:t>
      </w:r>
      <w:r>
        <w:rPr>
          <w:rFonts w:ascii="arial" w:eastAsia="arial" w:hAnsi="arial" w:cs="arial"/>
          <w:i/>
          <w:color w:val="000000"/>
          <w:sz w:val="20"/>
          <w:u w:val="single"/>
          <w:lang w:val="en-US" w:eastAsia="en-US" w:bidi="ar-SA"/>
        </w:rPr>
        <w:t>The Disputed Trust Companies Claim</w:t>
      </w:r>
      <w:r>
        <w:rPr>
          <w:rFonts w:ascii="arial" w:eastAsia="arial" w:hAnsi="arial" w:cs="arial"/>
          <w:color w:val="000000"/>
          <w:sz w:val="20"/>
          <w:lang w:val="en-US" w:eastAsia="en-US" w:bidi="ar-SA"/>
        </w:rPr>
        <w:t>. Bhora's claim that Mhinder's shares in the DTCs are assets of the brothers' trust is dismissed. Mhinder is the sole legal and beneficial owner of the DTCs.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822</w:t>
      </w:r>
      <w:r>
        <w:rPr>
          <w:rFonts w:ascii="arial" w:eastAsia="arial" w:hAnsi="arial" w:cs="arial"/>
          <w:color w:val="000000"/>
          <w:sz w:val="20"/>
          <w:lang w:val="en-US" w:eastAsia="en-US" w:bidi="ar-SA"/>
        </w:rPr>
        <w:t>  </w:t>
      </w:r>
      <w:r>
        <w:rPr>
          <w:rFonts w:ascii="arial" w:eastAsia="arial" w:hAnsi="arial" w:cs="arial"/>
          <w:i/>
          <w:color w:val="000000"/>
          <w:sz w:val="20"/>
          <w:u w:val="single"/>
          <w:lang w:val="en-US" w:eastAsia="en-US" w:bidi="ar-SA"/>
        </w:rPr>
        <w:t>The Equality Claim to 2007</w:t>
      </w:r>
      <w:r>
        <w:rPr>
          <w:rFonts w:ascii="arial" w:eastAsia="arial" w:hAnsi="arial" w:cs="arial"/>
          <w:color w:val="000000"/>
          <w:sz w:val="20"/>
          <w:lang w:val="en-US" w:eastAsia="en-US" w:bidi="ar-SA"/>
        </w:rPr>
        <w:t>. Mhinder's claim against Bhora for an accounting for inequality in draws from the brothers' trust over the years 1991-2006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823</w:t>
      </w:r>
      <w:r>
        <w:rPr>
          <w:rFonts w:ascii="arial" w:eastAsia="arial" w:hAnsi="arial" w:cs="arial"/>
          <w:color w:val="000000"/>
          <w:sz w:val="20"/>
          <w:lang w:val="en-US" w:eastAsia="en-US" w:bidi="ar-SA"/>
        </w:rPr>
        <w:t>  </w:t>
      </w:r>
      <w:r>
        <w:rPr>
          <w:rFonts w:ascii="arial" w:eastAsia="arial" w:hAnsi="arial" w:cs="arial"/>
          <w:i/>
          <w:color w:val="000000"/>
          <w:sz w:val="20"/>
          <w:u w:val="single"/>
          <w:lang w:val="en-US" w:eastAsia="en-US" w:bidi="ar-SA"/>
        </w:rPr>
        <w:t>The Gina Rents Claim</w:t>
      </w:r>
      <w:r>
        <w:rPr>
          <w:rFonts w:ascii="arial" w:eastAsia="arial" w:hAnsi="arial" w:cs="arial"/>
          <w:color w:val="000000"/>
          <w:sz w:val="20"/>
          <w:lang w:val="en-US" w:eastAsia="en-US" w:bidi="ar-SA"/>
        </w:rPr>
        <w:t>. Mhinder is entitled to an accounting from Bhora for all of the rents collected by Gina in relation to the trust properties over the years 2001-2006 that were paid into Bhora's and Gina's joint account. This accounting shall be referred to the Registrar if the parties are unable to 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824</w:t>
      </w:r>
      <w:r>
        <w:rPr>
          <w:rFonts w:ascii="arial" w:eastAsia="arial" w:hAnsi="arial" w:cs="arial"/>
          <w:color w:val="000000"/>
          <w:sz w:val="20"/>
          <w:lang w:val="en-US" w:eastAsia="en-US" w:bidi="ar-SA"/>
        </w:rPr>
        <w:t>  </w:t>
      </w:r>
      <w:r>
        <w:rPr>
          <w:rFonts w:ascii="arial" w:eastAsia="arial" w:hAnsi="arial" w:cs="arial"/>
          <w:i/>
          <w:color w:val="000000"/>
          <w:sz w:val="20"/>
          <w:u w:val="single"/>
          <w:lang w:val="en-US" w:eastAsia="en-US" w:bidi="ar-SA"/>
        </w:rPr>
        <w:t>The Claims Relating to D &amp; A Crushing</w:t>
      </w:r>
      <w:r>
        <w:rPr>
          <w:rFonts w:ascii="arial" w:eastAsia="arial" w:hAnsi="arial" w:cs="arial"/>
          <w:color w:val="000000"/>
          <w:sz w:val="20"/>
          <w:lang w:val="en-US" w:eastAsia="en-US" w:bidi="ar-SA"/>
        </w:rPr>
        <w:t>. The beneficial owner of the shares in D &amp; A is Richard. Kelly shall transfer her shares in D &amp; A to Richard forthwith, and is to be removed as a director of D &amp; A. Richard or his nominee shall be appointed as a director of D &amp; A in place of Kelly. Richard has leave to apply for any necessary ancillary orders. I decline at this time to order Kelly to repay D &amp; A for monies paid to her after May 1, 2007, but Kelly shall account to Richard for her handling of funds on behalf of D &amp; A, including those contributed by her, and this shall be referred to the Registrar if necessary. Thereafter, there will be liberty to apply.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825</w:t>
      </w:r>
      <w:r>
        <w:rPr>
          <w:rFonts w:ascii="arial" w:eastAsia="arial" w:hAnsi="arial" w:cs="arial"/>
          <w:color w:val="000000"/>
          <w:sz w:val="20"/>
          <w:lang w:val="en-US" w:eastAsia="en-US" w:bidi="ar-SA"/>
        </w:rPr>
        <w:t>  All of the claims of D &amp; A are stayed until further order of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826</w:t>
      </w:r>
      <w:r>
        <w:rPr>
          <w:rFonts w:ascii="arial" w:eastAsia="arial" w:hAnsi="arial" w:cs="arial"/>
          <w:color w:val="000000"/>
          <w:sz w:val="20"/>
          <w:lang w:val="en-US" w:eastAsia="en-US" w:bidi="ar-SA"/>
        </w:rPr>
        <w:t>  </w:t>
      </w:r>
      <w:r>
        <w:rPr>
          <w:rFonts w:ascii="arial" w:eastAsia="arial" w:hAnsi="arial" w:cs="arial"/>
          <w:i/>
          <w:color w:val="000000"/>
          <w:sz w:val="20"/>
          <w:u w:val="single"/>
          <w:lang w:val="en-US" w:eastAsia="en-US" w:bidi="ar-SA"/>
        </w:rPr>
        <w:t>The Trust Properties Claim</w:t>
      </w:r>
      <w:r>
        <w:rPr>
          <w:rFonts w:ascii="arial" w:eastAsia="arial" w:hAnsi="arial" w:cs="arial"/>
          <w:color w:val="000000"/>
          <w:sz w:val="20"/>
          <w:lang w:val="en-US" w:eastAsia="en-US" w:bidi="ar-SA"/>
        </w:rPr>
        <w:t>. The properties described as "Mhinder Mayer's Personal Properties" are all legally and beneficially owned by Mhinder. The property on Rainbow Road is legally and beneficially owned by Bhora and Gina.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827</w:t>
      </w:r>
      <w:r>
        <w:rPr>
          <w:rFonts w:ascii="arial" w:eastAsia="arial" w:hAnsi="arial" w:cs="arial"/>
          <w:color w:val="000000"/>
          <w:sz w:val="20"/>
          <w:lang w:val="en-US" w:eastAsia="en-US" w:bidi="ar-SA"/>
        </w:rPr>
        <w:t>  With respect to the properties described as "Additional Mhinder Trust Properties", the lot on Colvilleton Trail and the Water Lot Lease on Protection Island are excluded from the brothers' trust by the "personal homes" exception. The Green Horn Place property appears to have been held outside the brothers' trust, but is moot in any event. The Elk Street, Reid Road and 1737 Northfield Road properties were not excluded from the brothers' trust. Mhinder should account to Bhora for his dealings with the Elk Street and Northfield Road properties. The Reid Road property should be added to the list of properties to be sold in the winding up, with Kelly having the option to purchase the property at its fair market value before it is listed for 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828</w:t>
      </w:r>
      <w:r>
        <w:rPr>
          <w:rFonts w:ascii="arial" w:eastAsia="arial" w:hAnsi="arial" w:cs="arial"/>
          <w:color w:val="000000"/>
          <w:sz w:val="20"/>
          <w:lang w:val="en-US" w:eastAsia="en-US" w:bidi="ar-SA"/>
        </w:rPr>
        <w:t>  </w:t>
      </w:r>
      <w:r>
        <w:rPr>
          <w:rFonts w:ascii="arial" w:eastAsia="arial" w:hAnsi="arial" w:cs="arial"/>
          <w:i/>
          <w:color w:val="000000"/>
          <w:sz w:val="20"/>
          <w:u w:val="single"/>
          <w:lang w:val="en-US" w:eastAsia="en-US" w:bidi="ar-SA"/>
        </w:rPr>
        <w:t>The Accredit Mortgage claim</w:t>
      </w:r>
      <w:r>
        <w:rPr>
          <w:rFonts w:ascii="arial" w:eastAsia="arial" w:hAnsi="arial" w:cs="arial"/>
          <w:color w:val="000000"/>
          <w:sz w:val="20"/>
          <w:lang w:val="en-US" w:eastAsia="en-US" w:bidi="ar-SA"/>
        </w:rPr>
        <w:t>. Mhinder's claim for contribution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829</w:t>
      </w:r>
      <w:r>
        <w:rPr>
          <w:rFonts w:ascii="arial" w:eastAsia="arial" w:hAnsi="arial" w:cs="arial"/>
          <w:color w:val="000000"/>
          <w:sz w:val="20"/>
          <w:lang w:val="en-US" w:eastAsia="en-US" w:bidi="ar-SA"/>
        </w:rPr>
        <w:t>  </w:t>
      </w:r>
      <w:r>
        <w:rPr>
          <w:rFonts w:ascii="arial" w:eastAsia="arial" w:hAnsi="arial" w:cs="arial"/>
          <w:i/>
          <w:color w:val="000000"/>
          <w:sz w:val="20"/>
          <w:u w:val="single"/>
          <w:lang w:val="en-US" w:eastAsia="en-US" w:bidi="ar-SA"/>
        </w:rPr>
        <w:t>The Claim against Marc Furnemont</w:t>
      </w:r>
      <w:r>
        <w:rPr>
          <w:rFonts w:ascii="arial" w:eastAsia="arial" w:hAnsi="arial" w:cs="arial"/>
          <w:color w:val="000000"/>
          <w:sz w:val="20"/>
          <w:lang w:val="en-US" w:eastAsia="en-US" w:bidi="ar-SA"/>
        </w:rPr>
        <w:t xml:space="preserve">. Mhinder's claim against Marc Furnemont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830</w:t>
      </w:r>
      <w:r>
        <w:rPr>
          <w:rFonts w:ascii="arial" w:eastAsia="arial" w:hAnsi="arial" w:cs="arial"/>
          <w:color w:val="000000"/>
          <w:sz w:val="20"/>
          <w:lang w:val="en-US" w:eastAsia="en-US" w:bidi="ar-SA"/>
        </w:rPr>
        <w:t>  </w:t>
      </w:r>
      <w:r>
        <w:rPr>
          <w:rFonts w:ascii="arial" w:eastAsia="arial" w:hAnsi="arial" w:cs="arial"/>
          <w:i/>
          <w:color w:val="000000"/>
          <w:sz w:val="20"/>
          <w:u w:val="single"/>
          <w:lang w:val="en-US" w:eastAsia="en-US" w:bidi="ar-SA"/>
        </w:rPr>
        <w:t>The Gulf Coast Materials and Oppression Claims</w:t>
      </w:r>
      <w:r>
        <w:rPr>
          <w:rFonts w:ascii="arial" w:eastAsia="arial" w:hAnsi="arial" w:cs="arial"/>
          <w:color w:val="000000"/>
          <w:sz w:val="20"/>
          <w:lang w:val="en-US" w:eastAsia="en-US" w:bidi="ar-SA"/>
        </w:rPr>
        <w:t>. Mhinder's claims against Bhora arising out of Bhora's takeover of the management of GCM are dismissed. Mhinder must account for cash taken, for pumping revenue earned through MIH after November 26, 2009, and for the use of GCM employees in the provision of MIH pumping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831</w:t>
      </w:r>
      <w:r>
        <w:rPr>
          <w:rFonts w:ascii="arial" w:eastAsia="arial" w:hAnsi="arial" w:cs="arial"/>
          <w:color w:val="000000"/>
          <w:sz w:val="20"/>
          <w:lang w:val="en-US" w:eastAsia="en-US" w:bidi="ar-SA"/>
        </w:rPr>
        <w:t>  Mhinder's claims against family members for knowing receipt of trust property are dismissed. His claims arising out of the alleged oppressive dealings by Bhora with family companies are also dismissed. These include the claims in relation to the Canac Kitchens loan, OCL's loans to Bastion and NCC, the 2009 postponement agreements, salary paid by GCM to Rita, rental of extra office space at 265 Fry Street, OCL's loan of $300,000 to Island Aggregates, GCM's purchase of a pump truck from Custom Pumping, loss of profit at GCM after 2011, credit arrangements and interest rates charged, unequal expense allowances, the Schnitzer Steel payments, and the General Security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832</w:t>
      </w:r>
      <w:r>
        <w:rPr>
          <w:rFonts w:ascii="arial" w:eastAsia="arial" w:hAnsi="arial" w:cs="arial"/>
          <w:color w:val="000000"/>
          <w:sz w:val="20"/>
          <w:lang w:val="en-US" w:eastAsia="en-US" w:bidi="ar-SA"/>
        </w:rPr>
        <w:t>  </w:t>
      </w:r>
      <w:r>
        <w:rPr>
          <w:rFonts w:ascii="arial" w:eastAsia="arial" w:hAnsi="arial" w:cs="arial"/>
          <w:i/>
          <w:color w:val="000000"/>
          <w:sz w:val="20"/>
          <w:u w:val="single"/>
          <w:lang w:val="en-US" w:eastAsia="en-US" w:bidi="ar-SA"/>
        </w:rPr>
        <w:t>Whether Mhinder Left the Brothers' Trust</w:t>
      </w:r>
      <w:r>
        <w:rPr>
          <w:rFonts w:ascii="arial" w:eastAsia="arial" w:hAnsi="arial" w:cs="arial"/>
          <w:color w:val="000000"/>
          <w:sz w:val="20"/>
          <w:lang w:val="en-US" w:eastAsia="en-US" w:bidi="ar-SA"/>
        </w:rPr>
        <w:t>. Bhora's claim that Mhinder left the brothers' trust is dismissed. Mhinder remains a beneficiary.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833</w:t>
      </w:r>
      <w:r>
        <w:rPr>
          <w:rFonts w:ascii="arial" w:eastAsia="arial" w:hAnsi="arial" w:cs="arial"/>
          <w:color w:val="000000"/>
          <w:sz w:val="20"/>
          <w:lang w:val="en-US" w:eastAsia="en-US" w:bidi="ar-SA"/>
        </w:rPr>
        <w:t>  </w:t>
      </w:r>
      <w:r>
        <w:rPr>
          <w:rFonts w:ascii="arial" w:eastAsia="arial" w:hAnsi="arial" w:cs="arial"/>
          <w:i/>
          <w:color w:val="000000"/>
          <w:sz w:val="20"/>
          <w:u w:val="single"/>
          <w:lang w:val="en-US" w:eastAsia="en-US" w:bidi="ar-SA"/>
        </w:rPr>
        <w:t>Cheque Claims against Richard and Rita</w:t>
      </w:r>
      <w:r>
        <w:rPr>
          <w:rFonts w:ascii="arial" w:eastAsia="arial" w:hAnsi="arial" w:cs="arial"/>
          <w:color w:val="000000"/>
          <w:sz w:val="20"/>
          <w:lang w:val="en-US" w:eastAsia="en-US" w:bidi="ar-SA"/>
        </w:rPr>
        <w:t>. These claims are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834</w:t>
      </w:r>
      <w:r>
        <w:rPr>
          <w:rFonts w:ascii="arial" w:eastAsia="arial" w:hAnsi="arial" w:cs="arial"/>
          <w:color w:val="000000"/>
          <w:sz w:val="20"/>
          <w:lang w:val="en-US" w:eastAsia="en-US" w:bidi="ar-SA"/>
        </w:rPr>
        <w:t>  </w:t>
      </w:r>
      <w:r>
        <w:rPr>
          <w:rFonts w:ascii="arial" w:eastAsia="arial" w:hAnsi="arial" w:cs="arial"/>
          <w:i/>
          <w:color w:val="000000"/>
          <w:sz w:val="20"/>
          <w:u w:val="single"/>
          <w:lang w:val="en-US" w:eastAsia="en-US" w:bidi="ar-SA"/>
        </w:rPr>
        <w:t>Claims against Gina</w:t>
      </w:r>
      <w:r>
        <w:rPr>
          <w:rFonts w:ascii="arial" w:eastAsia="arial" w:hAnsi="arial" w:cs="arial"/>
          <w:color w:val="000000"/>
          <w:sz w:val="20"/>
          <w:lang w:val="en-US" w:eastAsia="en-US" w:bidi="ar-SA"/>
        </w:rPr>
        <w:t xml:space="preserve">. Mhinder's claim against Gina personally in relation to the Gina rents claim for knowing assistance is allowed. Gina is jointly liable with Bhora to account to Mhinder for the rents collected in relation to the trust properties from 2001-2006 that were paid into her and Bhora's personal account. Mhinder's claim against Gina in relation to the Gabriola Island property is allowed and Mhinder is entitled to judgment against Gina in the amount of $10,000 plus interest pursuant to the </w:t>
      </w:r>
      <w:r>
        <w:rPr>
          <w:rFonts w:ascii="arial" w:eastAsia="arial" w:hAnsi="arial" w:cs="arial"/>
          <w:i/>
          <w:color w:val="000000"/>
          <w:sz w:val="20"/>
          <w:lang w:val="en-US" w:eastAsia="en-US" w:bidi="ar-SA"/>
        </w:rPr>
        <w:t>Court Order Interest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835</w:t>
      </w:r>
      <w:r>
        <w:rPr>
          <w:rFonts w:ascii="arial" w:eastAsia="arial" w:hAnsi="arial" w:cs="arial"/>
          <w:color w:val="000000"/>
          <w:sz w:val="20"/>
          <w:lang w:val="en-US" w:eastAsia="en-US" w:bidi="ar-SA"/>
        </w:rPr>
        <w:t>  </w:t>
      </w:r>
      <w:r>
        <w:rPr>
          <w:rFonts w:ascii="arial" w:eastAsia="arial" w:hAnsi="arial" w:cs="arial"/>
          <w:i/>
          <w:color w:val="000000"/>
          <w:sz w:val="20"/>
          <w:u w:val="single"/>
          <w:lang w:val="en-US" w:eastAsia="en-US" w:bidi="ar-SA"/>
        </w:rPr>
        <w:t>Claims of Mid-Isle Holdings</w:t>
      </w:r>
      <w:r>
        <w:rPr>
          <w:rFonts w:ascii="arial" w:eastAsia="arial" w:hAnsi="arial" w:cs="arial"/>
          <w:color w:val="000000"/>
          <w:sz w:val="20"/>
          <w:lang w:val="en-US" w:eastAsia="en-US" w:bidi="ar-SA"/>
        </w:rPr>
        <w:t>. With respect to the Garco building claim, the parties are to agree on a procedure by which a third party, with the benefit of the plans for the buildings, will supervise the removal of MIH's building. If they are unable to agree on a procedure, they are at liberty to apply. NCC is not entitled to storage fees.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836</w:t>
      </w:r>
      <w:r>
        <w:rPr>
          <w:rFonts w:ascii="arial" w:eastAsia="arial" w:hAnsi="arial" w:cs="arial"/>
          <w:color w:val="000000"/>
          <w:sz w:val="20"/>
          <w:lang w:val="en-US" w:eastAsia="en-US" w:bidi="ar-SA"/>
        </w:rPr>
        <w:t>  With respect to the converted containers claim, MIH is awarded damages of $29,400 against Bastion Management, against which I set off $12,000 for reasonable storage costs, yielding a net award to MIH of $17,400. MIH is not entitled to prejudgment interest on that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837</w:t>
      </w:r>
      <w:r>
        <w:rPr>
          <w:rFonts w:ascii="arial" w:eastAsia="arial" w:hAnsi="arial" w:cs="arial"/>
          <w:color w:val="000000"/>
          <w:sz w:val="20"/>
          <w:lang w:val="en-US" w:eastAsia="en-US" w:bidi="ar-SA"/>
        </w:rPr>
        <w:t>  </w:t>
      </w:r>
      <w:r>
        <w:rPr>
          <w:rFonts w:ascii="arial" w:eastAsia="arial" w:hAnsi="arial" w:cs="arial"/>
          <w:i/>
          <w:color w:val="000000"/>
          <w:sz w:val="20"/>
          <w:u w:val="single"/>
          <w:lang w:val="en-US" w:eastAsia="en-US" w:bidi="ar-SA"/>
        </w:rPr>
        <w:t>The Claim of Island Aggregates</w:t>
      </w:r>
      <w:r>
        <w:rPr>
          <w:rFonts w:ascii="arial" w:eastAsia="arial" w:hAnsi="arial" w:cs="arial"/>
          <w:color w:val="000000"/>
          <w:sz w:val="20"/>
          <w:lang w:val="en-US" w:eastAsia="en-US" w:bidi="ar-SA"/>
        </w:rPr>
        <w:t>. Island Aggregates' claim against Mhinder and MIH in relation to the silo is allowed. Mhinder/MIH must return the silo and account to Island Aggregates for revenue received for renting the silo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838</w:t>
      </w:r>
      <w:r>
        <w:rPr>
          <w:rFonts w:ascii="arial" w:eastAsia="arial" w:hAnsi="arial" w:cs="arial"/>
          <w:color w:val="000000"/>
          <w:sz w:val="20"/>
          <w:lang w:val="en-US" w:eastAsia="en-US" w:bidi="ar-SA"/>
        </w:rPr>
        <w:t>  </w:t>
      </w:r>
      <w:r>
        <w:rPr>
          <w:rFonts w:ascii="arial" w:eastAsia="arial" w:hAnsi="arial" w:cs="arial"/>
          <w:i/>
          <w:color w:val="000000"/>
          <w:sz w:val="20"/>
          <w:u w:val="single"/>
          <w:lang w:val="en-US" w:eastAsia="en-US" w:bidi="ar-SA"/>
        </w:rPr>
        <w:t>The Claim of R &amp; G</w:t>
      </w:r>
      <w:r>
        <w:rPr>
          <w:rFonts w:ascii="arial" w:eastAsia="arial" w:hAnsi="arial" w:cs="arial"/>
          <w:color w:val="000000"/>
          <w:sz w:val="20"/>
          <w:lang w:val="en-US" w:eastAsia="en-US" w:bidi="ar-SA"/>
        </w:rPr>
        <w:t>. This claim is allowed. Mhinder must return to R &amp; G forthwith its 16-foot fibreglass boat, trailer and Johnson engine.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839</w:t>
      </w:r>
      <w:r>
        <w:rPr>
          <w:rFonts w:ascii="arial" w:eastAsia="arial" w:hAnsi="arial" w:cs="arial"/>
          <w:color w:val="000000"/>
          <w:sz w:val="20"/>
          <w:lang w:val="en-US" w:eastAsia="en-US" w:bidi="ar-SA"/>
        </w:rPr>
        <w:t>  </w:t>
      </w:r>
      <w:r>
        <w:rPr>
          <w:rFonts w:ascii="arial" w:eastAsia="arial" w:hAnsi="arial" w:cs="arial"/>
          <w:i/>
          <w:color w:val="000000"/>
          <w:sz w:val="20"/>
          <w:u w:val="single"/>
          <w:lang w:val="en-US" w:eastAsia="en-US" w:bidi="ar-SA"/>
        </w:rPr>
        <w:t>The Abuse of Process Claim</w:t>
      </w:r>
      <w:r>
        <w:rPr>
          <w:rFonts w:ascii="arial" w:eastAsia="arial" w:hAnsi="arial" w:cs="arial"/>
          <w:color w:val="000000"/>
          <w:sz w:val="20"/>
          <w:lang w:val="en-US" w:eastAsia="en-US" w:bidi="ar-SA"/>
        </w:rPr>
        <w:t>. The claim of Richard, Rita, Gina and their companies against Mhinder for damages for the tort of abuse of process must await further submissions if they are inclined to pursue it after reviewing these Reasons for Judgment. They are at liberty to apply.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840</w:t>
      </w:r>
      <w:r>
        <w:rPr>
          <w:rFonts w:ascii="arial" w:eastAsia="arial" w:hAnsi="arial" w:cs="arial"/>
          <w:color w:val="000000"/>
          <w:sz w:val="20"/>
          <w:lang w:val="en-US" w:eastAsia="en-US" w:bidi="ar-SA"/>
        </w:rPr>
        <w:t>  </w:t>
      </w:r>
      <w:r>
        <w:rPr>
          <w:rFonts w:ascii="arial" w:eastAsia="arial" w:hAnsi="arial" w:cs="arial"/>
          <w:i/>
          <w:color w:val="000000"/>
          <w:sz w:val="20"/>
          <w:u w:val="single"/>
          <w:lang w:val="en-US" w:eastAsia="en-US" w:bidi="ar-SA"/>
        </w:rPr>
        <w:t>Costs</w:t>
      </w:r>
      <w:r>
        <w:rPr>
          <w:rFonts w:ascii="arial" w:eastAsia="arial" w:hAnsi="arial" w:cs="arial"/>
          <w:color w:val="000000"/>
          <w:sz w:val="20"/>
          <w:lang w:val="en-US" w:eastAsia="en-US" w:bidi="ar-SA"/>
        </w:rPr>
        <w:t>. Richard, Rita, Gina and their companies have advanced a claim for special costs. The plaintiffs seek leave to address the issue of costs and potential indemnification following the release of these Reasons for Judgment. I am of course unaware of what discussions the parties may have had concerning the potential settlement of this matter. In all of the circumstances, it would be inappropriate to make any order for costs at this time. The parties are at liberty to apply.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841</w:t>
      </w:r>
      <w:r>
        <w:rPr>
          <w:rFonts w:ascii="arial" w:eastAsia="arial" w:hAnsi="arial" w:cs="arial"/>
          <w:color w:val="000000"/>
          <w:sz w:val="20"/>
          <w:lang w:val="en-US" w:eastAsia="en-US" w:bidi="ar-SA"/>
        </w:rPr>
        <w:t>  </w:t>
      </w:r>
      <w:r>
        <w:rPr>
          <w:rFonts w:ascii="arial" w:eastAsia="arial" w:hAnsi="arial" w:cs="arial"/>
          <w:i/>
          <w:color w:val="000000"/>
          <w:sz w:val="20"/>
          <w:u w:val="single"/>
          <w:lang w:val="en-US" w:eastAsia="en-US" w:bidi="ar-SA"/>
        </w:rPr>
        <w:t>A Concluding Word</w:t>
      </w:r>
      <w:r>
        <w:rPr>
          <w:rFonts w:ascii="arial" w:eastAsia="arial" w:hAnsi="arial" w:cs="arial"/>
          <w:color w:val="000000"/>
          <w:sz w:val="20"/>
          <w:lang w:val="en-US" w:eastAsia="en-US" w:bidi="ar-SA"/>
        </w:rPr>
        <w:t xml:space="preserve">. As Mr. Gomery aptly put it, "This is complicated litigation with many moving parts". I have done my best to resolve the many complex issues raised by the parties in the face of some significant evidentiary difficulties. It is possible that one or more of the parties will consider that a moving part has gone missing, and, of necessity, I have left some matters outstanding as discussed above. With respect to these, the parties are at liberty to apply, and no doubt this litigation, begun over a decade ago, could continue for some time yet, consuming increasingly scarce resources. Nevertheless, with the resolution of these issues that have driven the members of this family apart, it is my hope that they will be able to summon such goodwill as may yet remain in order to find a means to bring their dispute to a final conclusion now. To Mhinder in particular, I say that your claims, developed fully since </w:t>
      </w:r>
      <w:r>
        <w:rPr>
          <w:rFonts w:ascii="arial" w:eastAsia="arial" w:hAnsi="arial" w:cs="arial"/>
          <w:i/>
          <w:color w:val="000000"/>
          <w:sz w:val="20"/>
          <w:lang w:val="en-US" w:eastAsia="en-US" w:bidi="ar-SA"/>
        </w:rPr>
        <w:t>Mayer CA</w:t>
      </w:r>
      <w:r>
        <w:rPr>
          <w:rFonts w:ascii="arial" w:eastAsia="arial" w:hAnsi="arial" w:cs="arial"/>
          <w:color w:val="000000"/>
          <w:sz w:val="20"/>
          <w:lang w:val="en-US" w:eastAsia="en-US" w:bidi="ar-SA"/>
        </w:rPr>
        <w:t>, were advanced as thoroughly and persuasively as could be. This is the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J.C. GRAUER J.</w:t>
      </w:r>
      <w:r>
        <w:rPr>
          <w:rFonts w:ascii="arial" w:eastAsia="arial" w:hAnsi="arial" w:cs="arial"/>
          <w:sz w:val="20"/>
          <w:lang w:val="en-US" w:eastAsia="en-US" w:bidi="ar-SA"/>
        </w:rPr>
        <w:cr/>
      </w:r>
    </w:p>
    <w:p>
      <w:pPr>
        <w:spacing w:line="260" w:lineRule="atLeast"/>
        <w:ind w:left="2520"/>
        <w:rPr>
          <w:rFonts w:ascii="arial" w:eastAsia="arial" w:hAnsi="arial" w:cs="arial"/>
          <w:sz w:val="20"/>
          <w:lang w:val="en-US" w:eastAsia="en-US" w:bidi="ar-SA"/>
        </w:rPr>
      </w:pP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SCHEDULE OF CORPORATE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A. </w:t>
      </w:r>
      <w:r>
        <w:rPr>
          <w:rFonts w:ascii="arial" w:eastAsia="arial" w:hAnsi="arial" w:cs="arial"/>
          <w:b/>
          <w:color w:val="000000"/>
          <w:sz w:val="20"/>
          <w:u w:val="single"/>
          <w:lang w:val="en-US" w:eastAsia="en-US" w:bidi="ar-SA"/>
        </w:rPr>
        <w:t>The Identified Trust Companies (ITCs)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All parties acknowledge that the shares of these corporations are assets of the brothers' trust:</w:t>
      </w:r>
      <w:r>
        <w:rPr>
          <w:rFonts w:ascii="arial" w:eastAsia="arial" w:hAnsi="arial" w:cs="arial"/>
          <w:sz w:val="20"/>
          <w:lang w:val="en-US" w:eastAsia="en-US" w:bidi="ar-SA"/>
        </w:rPr>
        <w:cr/>
      </w:r>
    </w:p>
    <w:p>
      <w:pPr>
        <w:numPr>
          <w:numId w:val="81"/>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Osborne Contracting Ltd ("OCL")</w:t>
      </w:r>
    </w:p>
    <w:p>
      <w:pPr>
        <w:numPr>
          <w:numId w:val="8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Osborne Industries Ltd</w:t>
      </w:r>
    </w:p>
    <w:p>
      <w:pPr>
        <w:numPr>
          <w:numId w:val="8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Holman Transport Ltd</w:t>
      </w:r>
    </w:p>
    <w:p>
      <w:pPr>
        <w:numPr>
          <w:numId w:val="8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Gulf Coast Materials Ltd ("GCM")</w:t>
      </w:r>
    </w:p>
    <w:p>
      <w:pPr>
        <w:numPr>
          <w:numId w:val="8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Mayer Truck &amp; Equipment Ltd</w:t>
      </w:r>
    </w:p>
    <w:p>
      <w:pPr>
        <w:numPr>
          <w:numId w:val="10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Timberland Investments Ltd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B. </w:t>
      </w:r>
      <w:r>
        <w:rPr>
          <w:rFonts w:ascii="arial" w:eastAsia="arial" w:hAnsi="arial" w:cs="arial"/>
          <w:b/>
          <w:color w:val="000000"/>
          <w:sz w:val="20"/>
          <w:u w:val="single"/>
          <w:lang w:val="en-US" w:eastAsia="en-US" w:bidi="ar-SA"/>
        </w:rPr>
        <w:t>The Disputed Trust Companies (DTCs)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shares of these corporations are registered solely in the name of Mhinder Mayer, who asserts both legal and beneficial ownership. Bhora Mayer alleges that although these shares are in Mhinder's name, the DTCs are assets of the brothers' trust just like the ITCs.</w:t>
      </w:r>
      <w:r>
        <w:rPr>
          <w:rFonts w:ascii="arial" w:eastAsia="arial" w:hAnsi="arial" w:cs="arial"/>
          <w:sz w:val="20"/>
          <w:lang w:val="en-US" w:eastAsia="en-US" w:bidi="ar-SA"/>
        </w:rPr>
        <w:cr/>
      </w:r>
    </w:p>
    <w:p>
      <w:pPr>
        <w:numPr>
          <w:numId w:val="10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C.A.R. Aviation Ltd</w:t>
      </w:r>
    </w:p>
    <w:p>
      <w:pPr>
        <w:numPr>
          <w:numId w:val="1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Island Structures Ltd</w:t>
      </w:r>
    </w:p>
    <w:p>
      <w:pPr>
        <w:numPr>
          <w:numId w:val="1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Mid-Isle Holdings Ltd ("MIH"), formerly Arrowsmith Concrete Ltd</w:t>
      </w:r>
    </w:p>
    <w:p>
      <w:pPr>
        <w:numPr>
          <w:numId w:val="1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Chemainus Ventures Ltd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C. </w:t>
      </w:r>
      <w:r>
        <w:rPr>
          <w:rFonts w:ascii="arial" w:eastAsia="arial" w:hAnsi="arial" w:cs="arial"/>
          <w:b/>
          <w:color w:val="000000"/>
          <w:sz w:val="20"/>
          <w:u w:val="single"/>
          <w:lang w:val="en-US" w:eastAsia="en-US" w:bidi="ar-SA"/>
        </w:rPr>
        <w:t>The Family Companies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parties agree that these are not assets of the brothers' trust. The shares of these corporations are registered in the names of, respectively, Bhora's wife, Gina Mayer, and his children, Richard Mayer and Rita Webb. Those family members assert both legal and beneficial ownership, with which Bhora agrees. Mhinder alleges that Richard and Rita hold the shares of their respective companies in trust for Bhora and him pursuant to a new family trust (evidenced by acknowledgments of trust signed by Richard and Rita), or alternatively, pursuant to a constructive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Mhinder further alleges that in managing the ITCs, particularly GCM, Bhora dealt with these family companies on terms that were uncommercial, to the benefit of his family and the detriment of GCM and other ITCs (and therefore to the detriment of Mhinder as a beneficiary of the brothers' trust):</w:t>
      </w:r>
      <w:r>
        <w:rPr>
          <w:rFonts w:ascii="arial" w:eastAsia="arial" w:hAnsi="arial" w:cs="arial"/>
          <w:sz w:val="20"/>
          <w:lang w:val="en-US" w:eastAsia="en-US" w:bidi="ar-SA"/>
        </w:rPr>
        <w:cr/>
      </w:r>
    </w:p>
    <w:p>
      <w:pPr>
        <w:numPr>
          <w:numId w:val="1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 &amp; G Equipment Ltd (Gina)</w:t>
      </w:r>
    </w:p>
    <w:p>
      <w:pPr>
        <w:numPr>
          <w:numId w:val="1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Aqua Pod Flotations Ltd (Gina)</w:t>
      </w:r>
    </w:p>
    <w:p>
      <w:pPr>
        <w:numPr>
          <w:numId w:val="1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Archer Holdings Ltd (Rita)</w:t>
      </w:r>
    </w:p>
    <w:p>
      <w:pPr>
        <w:numPr>
          <w:numId w:val="1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Custom Pumping Ltd (Rita)</w:t>
      </w:r>
    </w:p>
    <w:p>
      <w:pPr>
        <w:numPr>
          <w:numId w:val="1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Front Street Projects Ltd (Rita)</w:t>
      </w:r>
    </w:p>
    <w:p>
      <w:pPr>
        <w:numPr>
          <w:numId w:val="1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Island Aggregates Ltd, formerly Nanaimo Concrete Ltd (Richard)</w:t>
      </w:r>
    </w:p>
    <w:p>
      <w:pPr>
        <w:numPr>
          <w:numId w:val="1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Mack Sales &amp; Service of Nanaimo Ltd ("Mack Nanaimo") (Richard)</w:t>
      </w:r>
    </w:p>
    <w:p>
      <w:pPr>
        <w:numPr>
          <w:numId w:val="1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Bastion Management Ltd (Richard)</w:t>
      </w:r>
    </w:p>
    <w:p>
      <w:pPr>
        <w:numPr>
          <w:numId w:val="1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New Concrete Concept Ltd ("NCC") (Richard - subsidiary of Bastion Management)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D. </w:t>
      </w:r>
      <w:r>
        <w:rPr>
          <w:rFonts w:ascii="arial" w:eastAsia="arial" w:hAnsi="arial" w:cs="arial"/>
          <w:b/>
          <w:color w:val="000000"/>
          <w:sz w:val="20"/>
          <w:u w:val="single"/>
          <w:lang w:val="en-US" w:eastAsia="en-US" w:bidi="ar-SA"/>
        </w:rPr>
        <w:t>D &amp; A Crushing Ltd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shares of this corporation were originally registered in the name of Dan Allarie (hence the initials), and are presently registered in the name of Kelly Mayer (Mhinder's wife). It was never part of the brothers' trust. Kelly does not assert beneficial ownership. Bhora and his son Richard claim that Kelly holds the shares in trust for Richard pursuant to either an intentional trust or a substantive constructive trust, while Mhinder contends that the beneficial interest belongs to him and Bhora pursuant to an acknowledgement of trust signed by Kelly.</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00" style="position:absolute;z-index:25180262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59"/>
          <w:headerReference w:type="default" r:id="rId860"/>
          <w:footerReference w:type="even" r:id="rId861"/>
          <w:footerReference w:type="default" r:id="rId862"/>
          <w:headerReference w:type="first" r:id="rId863"/>
          <w:footerReference w:type="first" r:id="rId86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65" w:history="1">
        <w:r>
          <w:rPr>
            <w:rFonts w:ascii="arial" w:eastAsia="arial" w:hAnsi="arial" w:cs="arial"/>
            <w:b/>
            <w:bCs/>
            <w:i/>
            <w:color w:val="0077CC"/>
            <w:kern w:val="32"/>
            <w:sz w:val="28"/>
            <w:szCs w:val="32"/>
            <w:u w:val="single"/>
            <w:shd w:val="clear" w:color="auto" w:fill="FFFFFF"/>
            <w:lang w:val="en-US" w:eastAsia="en-US" w:bidi="ar-SA"/>
          </w:rPr>
          <w:t>Munoz v. Singh, [2014] B.C.J. No. 583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S.K. Ballance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December 17-21, 2012 and April 5,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3,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Dockets: M093866, M112250, M114292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[2014] B.C.J. No. 583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2014 BCSC 567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Sheila Munoz, Plaintiff, and Alvin A. Singh, Defendant And between Sheila Munoz, Plaintiff, and Pierre A. Dechaine, Defendant And between Sheila Munoz, Plaintiff, and Thi A. Le,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(199 paras.)</w:t>
      </w:r>
    </w:p>
    <w:p>
      <w:pPr>
        <w:jc w:val="both"/>
        <w:rPr>
          <w:rFonts w:ascii="arial" w:eastAsia="arial" w:hAnsi="arial" w:cs="arial"/>
          <w:sz w:val="20"/>
          <w:lang w:val="en-US" w:eastAsia="en-US" w:bidi="ar-SA"/>
        </w:rPr>
      </w:pPr>
      <w:bookmarkStart w:id="214" w:name="Counsel_41"/>
      <w:bookmarkEnd w:id="21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01" style="position:absolute;z-index:2517012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G. Fahey.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all Defendants: C.L. Stewart.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15" w:name="Judgment_41"/>
      <w:bookmarkEnd w:id="215"/>
      <w:r>
        <w:pict>
          <v:line id="_x0000_s1202" style="position:absolute;z-index:25175244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16" w:name="S.K. BALLANCE J."/>
            <w:bookmarkEnd w:id="216"/>
            <w:r>
              <w:rPr>
                <w:rFonts w:ascii="arial" w:eastAsia="arial" w:hAnsi="arial" w:cs="arial"/>
                <w:b/>
                <w:color w:val="000000"/>
                <w:sz w:val="30"/>
                <w:lang w:val="en-US" w:eastAsia="en-US" w:bidi="ar-SA"/>
              </w:rPr>
              <w:t>S.K. BALLANCE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These three actions being heard together arise from three motor vehicle accidents involving the plaintiff, Sheila Munoz, that respectively took place on September 9, 2007, June 15, 2009 and June 21, 2011. I will sometimes refer to the accidents collectively, and at other times separately as the "First Accident", the "Second Accident" and the "Third Accident". Liability for the accidents has been admitted by each of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That the accidents caused injury to Ms. Munoz is not in dispute. The contentious issues are the nature, severity and future functional effect of her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In 1995, when Ms. Munoz was a teenager, she and her family moved to Canada from the Philippines. While still in high school, she took a part-time job with McDonald's Restaurant to enable her to contribute extra income to her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Ms. Munoz was interested in the hospitality industry and was impressed with the career opportunities offered at McDonald's. After graduating from high school in 1999 with solid grades, she elected to remain with McDonald's and began to work on a full-time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From the start, Ms. Munoz distinguished herself as a devoted and hard-working employee who went "the extra mile" in her job. She moved up the ranks with relative dispatch, being promoted to a salaried manager, then to second assistant manager, and eventually to first assistant manager. She logged an estimated ten additional hours of unpaid work every week because she believed that level of devotion was required in order to succeed. In 2004, Ms. Munoz was promoted to a full restaurant manager. She excelled in that position and was rated as a "top performer" based on the reviews of her crew and assistant managers, the business results achieved at the restaurant under her management and through on-site evaluations. She was also recognized as "Manager of the Year" in her area. That was a proud accomplishment for Ms. Munoz and marked a high point in her career.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Ms. Munoz met her future husband, Dexter Munoz, when they were both working at McDonald's. They were married in June 2007. After their wedding, Mr. Munoz joined his new wife in the townhome where she resided with her parents and brother.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At the time of trial, Mr. Munoz worked the graveyard shift sorting mail and packages for a courier company. He is paid an hourly wage that totals an annual salary of $42,000 "more or less". As a restaurant manager, Ms. Munoz receives what she described as "good benefits" and earns a larger annual salary of over $50,000.</w:t>
      </w:r>
      <w:r>
        <w:rPr>
          <w:rFonts w:ascii="arial" w:eastAsia="arial" w:hAnsi="arial" w:cs="arial"/>
          <w:sz w:val="20"/>
          <w:lang w:val="en-US" w:eastAsia="en-US" w:bidi="ar-SA"/>
        </w:rPr>
        <w:cr/>
      </w:r>
    </w:p>
    <w:p>
      <w:pPr>
        <w:numPr>
          <w:numId w:val="134"/>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First Accident (September 9, 2007) and Aftermath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First Accident occurred in the pre-dawn hours as Ms. Munoz and her passenger were en route to work an early shift at McDonald's. Ms. Munoz was seven months pregnant at the time. She was stopped at the intersection of Main Street and Terminal Avenue when her car was rear-ended by the vehicle driven by the defendant, Alvin Singh. She did not hear an impact. Although she felt her car move, Ms. Munoz was not sure there had been an accident until she looked behind and realized that her car had been hit. Her description of the relatively minor force of the collision was consistent with Mr. Singh's testimony.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Not surprisingly, Ms. Munoz's immediate and only thought was for the well-being of her unborn child. She called the police because Mr. Singh would not produce his driver's license. Afterward, she continued along to work; however, she left her job early that day because she had a headache.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Within days of the First Accident, Ms. Munoz's obstetrician reassured her there was no cause for concern for the welfare of her baby.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 accept Ms. Munoz's testimony, credibly supported by her husband, that shortly after the First Accident she started to feel low back pain and began to have frequent headaches, prompting an appointment with her family physician, Dr. Edgardo Wee. She told Dr. Wee that her biggest concern was for her baby. Because she was pregnant, Ms. Munoz did not feel comfortable taking medication to reduce her pain, an entirely understandable concern. She asked what sort of therapy she might safely do in light of her pregnancy. Dr. Wee referred her to a physiotherapist who provided her with a heating pad and administered some massage; her pregnancy precluded more intensive manual 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evidence establishes that prior to the First Accident, Ms. Munoz's health had been excellent. She had planned to work until close to her due date in November 2007, and on account of her pregnancy, had been performing less physically demanding work duties than usual. Ms. Munoz continued to work after the First Accident. However, due to its ill-effects, she used some holiday time in order to start her maternity leave a few weeks earlier than she had intended.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After her daughter, Kamylle, was born on November 11, 2007, Ms. Munoz noticed a worsening of her symptoms. Her back pain intensified and travelled upward into her shoulders and neck. She endured more frequent headaches, which were sometimes quite severe. She could not recall for certain whether she had experienced symptoms in her shoulders and neck prior to her daughter's birth; however, she had a clear recollection of those afflictions after Kamylle's arrival. Ms. Munoz also experienced some fleeting numbness and tingling sensations in her right leg. She was not able to pinpoint precisely when it was after the First Accident that those symptoms initially emerged.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Cradling her infant daughter aggravated Ms. Munoz's back pain and she was not able to lift or carry her daughter as much as she liked. As well, the evidence shows that she had to refrain from doing her usual household chores such as carrying the laundry, vacuuming and even grocery shopping because they aggravated her symptoms. I accept that on the occasions when she forged ahead and performed those tasks despite her misgivings, she would frequently have to lie down afterward and take Advil to manage the pain. Her husband assumed a greater share of the burden of everyday chores and in attending to Kamylle's needs.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Ms. Munoz returned to physiotherapy a few months after her daughter's birth and, over the span of approximately 20 sessions, received treatment for her low back and neck symptoms, and was given stretching exercises to do on her own. While the physiotherapy temporarily helped to relieve the symptoms, they would always recur a few days later. Ms. Munoz became discouraged by the lack of lasting beneficial effect of those sessions. Rather than continuing on with that modality, she asked Dr. Wee about other treatment options and it was decided she would enrol in an active rehabilitation program at Karp Rehabilitation ("Karp").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the spring of 2008, and while still on maternity leave, Ms. Munoz attended Karp twice per week over a period of approximately two months. Her lower back was her primary area of concern, and her neck, upper back and shoulder regions were secondary. A rehabilitation trainer customized an exercise and strengthening routine, which eventually incorporated free weights, to strengthen Ms. Munoz's back and leg and instructed her on stretching to ease her pain. She was able to walk and eventually run a little on a treadmill.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Ms. Munoz found the Karp program therapeutic and felt that it brought her relief, making her more flexible and stronger overall. At the completion of the program, her back pain had become more intermittent and less severe than when she had started.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Ms. Munoz's maternity leave came to an end in mid-October 2008. Instead of returning to work at that time, she opted to take four additional weeks of holiday. She resumed her full-time managerial position on December 1,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Ms. Munoz's duties as a restaurant manager include scheduling the shifts of employees and other managers, developing and training all staff, controlling and ordering inventory and building restaurant sales and profits. If the restaurant runs low on a product, it is her responsibility to drive the company car to another location and borrow whatever is required. The expectation of her physical involvement in the inventory process includes taking the deliveries off the truck and storing them inside the freezer or cooler, and ensuring that the front counter is properly restocked every three to four hours. To be an effective manager, Ms. Munoz must be highly proficient in the operation of all workstations. Part of her job is to regularly "shadow" new employees, providing them with feedback and direction as they carry out their tasks. She typically works from 8:00 a.m. until 6:00 p.m.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Ms. Munoz also explained the importance of cleanliness in her function as manager. Approximately twice per hour, she patrols the premises to ensure that the entire restaurant, including the dining area, patio and washrooms, is clean. Before the First Accident, she would collect garbage as necessary, sweep and mop as required, and occasionally scrub toilets.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 accept Ms. Munoz's evidence that her managerial role requires her to spend about half of her time doing administrative-type tasks at a desk, and the other half performing duties that take her away from her desk, such as assisting at the fry station, bagging food items, working the production line, and filling orders. At peak times, she directs "all hands on deck", and all staff, herself included, are expected to be on the floor to serve customers.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her capacity as a manager, Ms. Munoz is not subject to any specific policy regarding sick days. Whenever she needs time off for illness, she simply communicates with the area consultant. I find that before the First Accident, she had seldom taken a sick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evidence satisfies me that in addition to experiencing limitations around the house and with respect to caring for her daughter, certain of Ms. Munoz's job duties exacerbated the adverse repercussions of the First Accident. As a coping strategy, she delegated some of the more physically demanding tasks to her shift managers and employees. For example, she had them move supplies, reach the stock on the high shelves, and do cleaning tasks that she would have done herself before the First Accident. However, there was no getting around filling in at the front counter or working on the production line at the busy times or when employees were absent. Ms. Munoz found those repetitive activities "very tough" and straining.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Before the First Accident, Ms. Munoz easily and competently performed all manner of the job tasks that presented her with difficulties afterward. In the aftermath, workdays typically left her exhausted, sore and frequently with a headache. She would arrive home as a fatigued and sometimes irritable wife and mother who needed to lie down at the expense of spending quality time with her husband and daughter.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Ms. Munoz saw Dr. Wee five more times in 2008 with respect to her accident-related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 accept Ms. Munoz's testimony, corroborated by her husband, that before the pregnancy she was able to run for at least 30 minutes with no difficulty and regularly attended a fitness facility where she would work out twice per week, for approximately one to two hours each time. Even with the benefits of the rehabilitation program at Karp, her back pain continued to restrict her ability to run and exercise. Despite her genuine desire to resume the kind of fitness routine and level of recreational activity that she had enjoyed before the First Accident, the injuries induced by the First Accident precluded her from doing so. I would make the point that her limitations in these respects were due mainly to her low back pain and not because being a new mother placed greater demands on her free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Baby Theovanna and Ms. Munoz have been close friends since 1997. In the early years of their friendship they were together "24/7", going dancing, attending social functions and "hanging out". They saw less of one other after each met their future spouses in 2004. However, they still managed to visit at least once a month thereafter.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Ms. Theovanna testified that when she saw Ms. Munoz after the First Accident, she could see that her friend was not able to pick up her infant daughter and recalled that Ms. Munoz complained of being in pain, especially her low back, and said that she would get an ache in her back when she put the baby to bed.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about May 2009, Ms. Theovanna encouraged Ms. Munoz to give kickboxing a try. She testified that although Ms. Munoz was hesitant, she agreed to attend a few classes but was unable to keep up with the pace, had to take frequent breaks and did not participate fully as she was not able to do the push-ups or the high kicks.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 find that although Ms. Munoz's symptoms had improved, they had not resolved and were ongoing at the time of the Second Accident.</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Second Accident (June 15, 2009) and Aftermath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traffic was stop-and-go and moving slowly as Ms. Munoz travelled along Highway 1 on June 15, 2009. She was stopped and waiting for the car ahead to resume moving when she looked in her rear-view mirror and saw a car "coming on strong, like he wasn't stopping". The oncoming car, driven by the defendant Pierre Deshaine, rear-ended Ms. Munoz's car, causing her to shift forward in her seat. She recalled that the impact was "big" compared to the force of the First Accident, and that it made a loud bang.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According to Mr. Deshaine, the collision was minor and not serious. He had his foot on the brake as he approached Ms. Munoz's car but does not recall the speed he was moving when the cars collided. He claimed to have only nudged Ms. Munoz's car. There was little to no damage to his vehicle beyond perhaps a bent license plate. In cross-examination, he agreed that seven days after the Second Accident, he prepared a statement in which he described the impact as a small "thump", rather than the "nudge" he characterized it as at trial. Additionally, Mr. Deshaine agreed that upon impact his seatbelt tightened and that unrestrained items laying on one of his seats fell to the floor of his car, and conceded that one of those items may have been his briefcase.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Mr. Deshaine admitted that his memory of the incident was better at the time he composed his statement than it was years later at trial. Despite his insistence that there was no difference between a nudge and a thump, I find that there is a distinction in that the former implies far gentler contact than does the latter. Moreover and in any event, I conclude that Mr. Deshaine's vehicle hit Ms. Munoz's car with sufficient force to make a loud sound and to push her forward in her seat, causing items on his passenger seat to fall to the car floor.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Ms. Munoz testified that by the time she arrived home, she had a terrible headache. She saw Dr. Wee the day after the Second Accident reporting symptoms of neck soreness, right shoulder and arm pain, and upper and lower back pain. Within a few days, or at most a week, she began to feel back pain that was considerably more intense than the back pain she was trying to learn to live with after the First Accident. She had several subsequent appointments with Dr. Wee in connection with her injuries throughout the remainder of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addition to experiencing increasing pain concentrated in the same areas that had been hurt in the First Accident, Ms. Munoz says she also felt increased numbness, tingling and pain radiating down her right leg. As time passed, she began to have those sensations in her left leg as well. Ms. Munoz was cross-examined about the discomfort she claimed to feel in her lower extremities after the Second Accident. The exchange was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can you describe your leg symptoms after this incident?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After the third incident I can't remember. They just --- I mean, the biggest part of my leg was the numbness and tingling. It was more constant after the second accident. And then it became less frequent. Then the third accident happened. I guess --- I don't think it was anything different from the second one. It comes and goes, you know. Sometimes it's there; sometimes it's not there.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it's a numbness and tingling in what leg?</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right, for the most part.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What about pain?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Pain, it's hard to --- it's not --- it doesn't really hurt. But just, I guess, the pain starts from like, the lower --- the right lower back down to my buttocks and then pain all the way radiating down so just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more of this numbness and tingling and kind of like it's just --- I don't know. It's hard to put it. I don't think it's more of a pain. It's more of a numbness.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closing submissions, defence counsel interpreted Ms. Munoz's testimony to mean that pain was not one of the symptoms she experienced in her lower extremities. In my view, that does not fairly capture the nuanced tenor of Ms. Munoz's evidence given at that time or the totality of her evidence on the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As will be discussed, Dr. Wee did not record any complaints of numbness, tingling or pain in Ms. Munoz's lower extremities during her appointments in 2008 or 2009, and at times he charted "no sciatica".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 accept Ms. Munoz's evidence that as a result of her injuries she only missed a few days from work "here and there", and was sometimes late for her shifts. She persuasively explained that, despite her worsened symptoms, she was motivated to keep performing in her job for fear of being perceived as "slacking off". As a coping mechanism in the sense of making her symptoms more endurable, rather than take her four weeks annual holiday as a block, she took short breaks throughout the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Ms. Munoz found that working at the intense pace demanded at the peak hours particularly aggravated her back symptoms. As the manager, she had some control over scheduling and was able to scale back her allotment of shift work at the busiest times. I am satisfied she continued to delegate inventory duties to her assistant managers and other physical tasks to her work crew as best she could. Still, she struggled to discharge her routine work duties.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Mr. Munoz gave credible testimony about his wife's declining state after the Second Accident. I accept his evidence that she complained to him of pain "mostly every day", and that she often required a nap for at least an hour after arriving home from work. He testified, and I accept, that her mood became flat and volatile.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Sare Ismail was also a strong witness for Ms. Munoz. She has a been a swing manager at McDonald's for approximately 22 years and began working under Ms. Munoz before the Second Accident. Their shifts overlapped approximately three to five days per week over a span of roughly three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Ms. Ismail corroborated Ms. Munoz's account of the job responsibilities expected of a McDonald's restaurant manager. She credibly recalled that Ms. Munoz would ask other employees for assistance in performing her job duties and, after the Second Accident especially, that she regularly complained of pain while at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Ms. Ismail recounted that when they began working together, Ms. Munoz would show up late for work relatively frequently, often telephoning in advance to say that she was in pain and would be late. Ms. Ismail personally received those calls "lots of times". According to her, Ms. Munoz's tardiness improved over time but after the Second Accident, it "started all over again".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Ms. Ismail noticed that after Ms. Munoz has been sitting at her desk for approximately 20 minutes, she would get up and walk around, and that when she had been working in the kitchen, she complained of pain and discomfort within two hours or less.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Ms. Ismail has worked with "more than several" McDonald's restaurant managers in her career and her overall perception was that Ms. Munoz was a good manager. However, on the heels of making that statement, she proceeded to outline a number of shortcomings. First, in Ms. Ismail's view, Ms. Munoz lacks the requisite level of "hustle" at her job. She also said that other restaurant managers do not ask their subordinate employees to assist with their managerial duties, except when they are pregnant. In contrast, said Ms. Ismail, after the Second Accident in particular, Ms. Munoz required help with tasks almost daily such as retrieving supplies from her car, cleaning the washrooms and collecting the garbage. She remarked that relying on others to perform the manager's duties took those employees away from their regular stations and created a coverage issue that affected the smooth operation of the restaurant.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Ms. Ismail was a wholly credible witness and I accept her evidence without exception.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An MRI scan of Ms. Munoz's thoracic and lumbar spine was taken on July 30, 2010 (the "2010 MRI"). It reported mild narrowing and desiccation of the L4-5 disc and a broad-based disc bulge at the L4-5 level, extending to a greater extent on the right with displacement and compression of the right L5 nerve root. The impression noted for the thoracic spine was a disc bulge at T4-5.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Ms. Munoz followed up with Dr. Wee in June 2010. On his referral, she tried massage therapy for between one and two months. It enhanced her flexibility and alleviated her symptoms somewhat; however, the positive effects were short lived.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In early August 2010, Ms. Munoz switched to a chiropractor, Dr. Satra Minhas, who practiced in the same clinic as the massage therapist. On the clinic intake form, Ms. Munoz referred to the Second Accident and ticked the boxes that indicated she experienced neck pain, headaches, tight shoulder muscles, mid and low back pain, a pinched nerve in her back, and pain and "pins and needles" in her legs.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Dr. Minhas testified at trial. She recounted that, at the in-take appointment, Ms. Munoz reported pain in her mid-back, low back, neck and into her right leg. In the course of roughly 23 or 24 sessions over the span of ten months, Dr. Minhas primarily treated those areas of complaint, as well as Ms. Munoz's headaches. Although she did not have the results of the 2010 MRI, Dr. Minhas chose not to adjust Ms. Munoz's lumbar back due to her concern there may be a disc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Over time, Ms. Munoz enjoyed some symptomatic relief from Dr. Minhas's treatments and found they helped her cope with the pain. Even so, her pain and other symptoms lingered and did not resolve.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At some stage, after the Second Accident, Ms. Munoz re-tried kickboxing but was not able to do the manoeuvers.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Ms. Munoz returned to Dr. Wee on August 23, 2010. For the first time, he charted her subjective complaints of symptoms associated with sciatica. In terms of objective findings at that appointment, Ms. Munoz was able to do full straight leg raises without restriction. Through the evidence of Dr. D.G. Werry, the medical expert called by the defendants, it was established that the straight leg test is a clinical test designed to detect lumbar nerve root impingement.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On June 3, 2011, Ms. Munoz saw Dr. Cochien at a local walk-in clinic. She complained that symptoms "shoots down her legs", alternating between her left and right. Ms. Munoz testified that at that time she was experiencing tingling, numbness and pain, seemingly originating in her lower back and radiating from there down into her legs.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Although still symptomatic, Ms. Munoz had been gradually improving when the Third Accident occurred.</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Third Accident (June 21, 2011) and Aftermath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On a summer afternoon in the parking lot in front of the McDonald's managed by Ms. Munoz, the defendant, Thi Le, reversed her minivan into the front end of Ms. Munoz's stationary vehicle. Ms. Munoz did not hear noise of a collision and does not recall whether her body or her vehicle moved upon impact. Ms. Le testified that she was backing up very slowly when she hit Ms. Munoz's vehicle and that the collision was "very light." She believed her vehicle sustained no damage and she did not notice any on Ms. Munoz's car. The evidence establishes that the force of the Third Accident was the most minor of the three accidents at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Immediately after the Third Accident, Ms. Munoz carried on to work and saw Dr. Wee the following day, reporting a sore neck and ongoing low back pain from her previous accidents. The following day she returned to Dr. Minhas for treatment and had many follow-up chiropractic sessions thereafter. I accept Dr. Minhas's evidence that, after the Third Accident, Ms. Munoz's sensations of numbness and tingling or "pins and needles" in her legs became more frequent and generally appeared to be worse in their intensity and duration. She also explained that Ms. Munoz's overall condition improved or worsened depending on her activities, and that her work was especially "tough on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Ms. Munoz's perception was that the Third Accident had aggravated her headaches, and neck, shoulder and back symptoms, as well as the numbness and tingling in both of her legs. She testified that, in the aftermath, her chief problem was with her low back and the numbness and tingling that radiated into her buttocks and down her legs and occasionally down into her feet.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Ms. Munoz had a second MRI scan of her thoracic and lumbar spine on July 7, 2011 (the "2011 MRI"). Her L4-5 disc bulge was reported to be slightly more pronounced than had been shown in the prior imaging of the 2010 MRI. The bulge was noted to have slight contact with the traversing L5 nerve roots, without dorsal displacement and, as before, was slightly worse on the right side. Mild bilateral neural foraminal narrowing at the L5 level caused by the disc bulge was also reported.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When Ms. Munoz next saw Dr. Wee on August 12, 2011, approximately seven weeks after the Third Accident, she complained of symptoms associated with sciatica and requested a referral to active rehabilitation. On that occasion, she was again able to perform the straight leg raising test without restriction or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At some point, Dr. Minhas suggested to Ms. Munoz that she see a kinesiologist. In pursuance of that advice, in late December 2011 or thereabouts, Ms. Munoz began the first of approximately 20 sessions with Brian Jones, a kinesiologist. For a period of approximately three to four months, they met at a gym once per week where, under his direction and with his guidance, Ms. Munoz exercised, stretched and did strengthening movements. She found Mr. Jones's rehabilitation program especially helpful.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Ms. Munoz's last appointment with Dr. Wee was on December 19, 2011 at which time he charted recurrent low back pain and "no sciatica". Dr. Wee agreed that the latter notation meant that Ms. Munoz was not exhibiting symptoms consistent with sciatica on that particular day. This evidence is important and I will return to it later in my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On February 7, 2012, Ms. Munoz underwent a comprehensive functional/work capacity evaluation conducted by Dominic Shew, an occupational therapist/functional capacity evaluator over the span of seven hours. The day after that session in Mr. Shew's follow-up, Ms. Munoz reported awakening with terrible pain in her lower back, legs and thighs and a somewhat less sore upper back. She had trouble getting out of bed and walking due to the pain and took aspirin several times before, during, and after her shifts.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By this stage, Ms. Munoz had come to lose confidence in Dr. Wee's care, and felt frustrated that she was always the one who had to suggest courses of treatment that she might follow. When her symptoms had not significantly subsided two days after Mr. Shew's testing, instead of consulting Dr. Wee, she returned to Dr. Cochien's walk-in clinic and was seen there by Dr. Gurdeep Parhar. Dr. Parhar advised her to continue with Mr. Jones.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A third MRI was taken of Ms. Munoz's lumbar spine on August 29, 2012 (the "2012 MRI"). In addition to reporting the L4-5 disc narrowing, it noted mild bilateral facet arthropathy and ligamentum flavum hypertrophy. The disc bulge at that level resulted in mild central canal encroachment and mild encroachment on both traversing L5 nerve roots.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In about October 2012, Ms. Munoz was transferred to the McDonald's Restaurant in Kerrisdale as the restaurant manager. Ms. Ismail and Ms. Munoz described it as a larger and busier location. I find that the move to Kerrisdale has required Ms. Munoz to put in more work hours than had been necessary at her former restaurant. I also find that her administrative duties have increased slightly at the Kerrisdale location and that the prolonged sitting, among other activities, aggravates her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evidence establishes that Ms. Munoz was enjoying a gradual improvement of her symptoms in the latter part of 2012. However, in the summer that year, she and her family moved into a new townhome without her mother (her father had passed away in 2009) and the move caused a flare-up of her symptoms. Then, in the late fall, she endured a prolonged and significant flare-up coinciding with her transfer to the busier Kerrisdale operation. During the latter episode, her shoulders were sore, she had headaches three to four times per week, her low back caused her pain, and the sensations and discomfort in her lower extremities had re-emerged. Ms. Munoz's sense was that recent flare had produced symptoms that were as intense as they had been after the Second Accident. I accept her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 am satisfied that Ms. Munoz performs the stretches and exercises that she learned from Karp and from Mr. Jones as often as her schedule reasonably allows, and typically with greater frequency during bouts of intense pain. Defence counsel endeavoured to show any inconsistency between Ms. Munoz's trial evidence on this matter and her discovery testimony given in August 2010. I am satisfied there is no testimonial inconsistency of any importance.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Ms. Munoz legitimately worries about her future employment and whether she can continue in her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Maintaining her full-time job has taken a heavy toll on the quality of Ms. Munoz's personal life and continues to do so. Her symptoms have caused her fatigue, interfered with sexual intimacy and made her prone to mood swings and irritability. She is unable to fully interact with her daughter as much as she wants to or in the ways that she would like and she is precluded from being the wife and mother she wishes to be. She feels as though pain has overtaken her life and desperately wants to "be back to normal".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 am satisfied that Ms. Munoz and her husband had a relatively definite plan to have two children. They have reconsidered that part of their future together because Ms. Munoz is worried about her physical ability to endure another pregnancy and raise two children in light of the adverse effects of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EXPERT EVIDENCE</w:t>
      </w:r>
      <w:r>
        <w:rPr>
          <w:rFonts w:ascii="arial" w:eastAsia="arial" w:hAnsi="arial" w:cs="arial"/>
          <w:sz w:val="20"/>
          <w:lang w:val="en-US" w:eastAsia="en-US" w:bidi="ar-SA"/>
        </w:rPr>
        <w:cr/>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Dr. Edgardo Wee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Dr. Wee was called by Ms. Munoz as a witness in his capacity as her treating family doctor and as an expert in the practice of family medicine.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Although Dr. Wee's written opinion is dated June 24, 2011, it does not refer to any of Ms. Munoz's appointments with him after June 16, 2009. At one stage, he attributed Ms. Munoz's back injury and the state of her spine as revealed on the 2010 MRI to the First Accident and agreed that his written report was somewhat limited in its scope to the effects of the First Accident. However, when he was subsequently directed to the fact that the 2010 MRI had been done after the Second Accident, he opined that the first two accidents had contributed to Ms. Munoz's back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In Dr. Wee's opinion, Ms. Munoz had been partially disabled since the first two accidents. At trial, he clarified the nature of her disability by stating that she would definitely benefit from avoiding heavy lifting and repetitive bending as part of her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In cross-examination, defence counsel explored the notation of "no sciatica" made by Dr. Wee throughout his medical records. He explained that he would not have asked Ms. Munoz whether she had sciatica </w:t>
      </w:r>
      <w:r>
        <w:rPr>
          <w:rFonts w:ascii="arial" w:eastAsia="arial" w:hAnsi="arial" w:cs="arial"/>
          <w:i/>
          <w:color w:val="000000"/>
          <w:sz w:val="20"/>
          <w:lang w:val="en-US" w:eastAsia="en-US" w:bidi="ar-SA"/>
        </w:rPr>
        <w:t>per se</w:t>
      </w:r>
      <w:r>
        <w:rPr>
          <w:rFonts w:ascii="arial" w:eastAsia="arial" w:hAnsi="arial" w:cs="arial"/>
          <w:color w:val="000000"/>
          <w:sz w:val="20"/>
          <w:lang w:val="en-US" w:eastAsia="en-US" w:bidi="ar-SA"/>
        </w:rPr>
        <w:t xml:space="preserve"> but rather, using ordinary language, would have asked her whether she had symptoms associated with sciatica, such as numbness and radiating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Dr. Wee's report is, to some extent, founded on an incomplete medical picture of Ms. Munoz which was not sufficiently supplemented or rectified by his evidence at trial. This shortcoming detracted somewhat from the quality of his opinion in the overall weighing of the expert medical evidence.</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Dr. Fadi Tarazi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Dr. Tarazi, an experienced orthopedic surgeon, was called as an expert witness on Ms. Munoz's behalf. He performed his initial independent assessment of Ms. Munoz on September 15, 2010, which was after the Second Accident but before the Third Accident. He reassessed her on September 28, 2012, following the Third Accident. By then, he had been provided with a copy of Dr. Werry's expert report dated May 31, 2011, and some additional medical records. Dr. Tarazi produced two expert 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Dr. Tarazi explained that the intervertebral disc is a semi-fluid mass (cartilage) which can cause pain and functional limitations when injured. This type of pain - called discogenic pain - arises from the disc itself and can manifest locally in the back and refer into the buttocks and legs. Dr. Tarazi clarified that disc bulges in the lumbar spine typically produce discogenic back pain but do not invariably give rise to nerve or neurogenic pain, even where there is nerve compression or impingement. Thus, a person suffering from neurogenic pain stemming from a disc bulge will probably also experience discogenic pain, whereas an individual with discogenic pain may or may not have neurogenic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Dr. Tarazi emphasized that the patient's subjective reports of symptoms suggestive of nerve impingement and neurogenic pain, correlated with available MRI findings, are an essential component of the diagnostic process. Ms. Munoz told Dr. Tarazi that after the First Accident she experienced pain in her right leg and thigh and numbness radiating down her right leg. She also reported that following the Second Accident, the frequency and severity of those symptoms intensified and manifested in both her legs, more pronounced on the right 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Dr. Tarazi testified that nerve impingement caused by a disc protrusion is often brought on by an individual's activities. For that reason, objective signs of such impingement or compression may not be elicited on a clinical examination where the patient is not partaking in the aggravating activities. He elaborated on this point in his first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Although the [2010 MRI] scan only demonstrated the compression on the right L5 nerve root it is important to note that the MRI scans are done in the supine position when the intervertebral disc pressure is minimized. When the patient bends forward this pressure is increased and therefore any disc bulges or herniations can potentially increase in size and impinge further on the nerve roots causing radicular pain. In Ms. Munoz's case it is likely that this L4-5 disc bulge is also impinging on the left L5 nerve root during activity causing her left leg pain and numbness. The compression is mostly on the right side and that is why most of her leg symptoms are on the right side. Her clinical presentation including the pain and numbness in both legs and difficulty with physical activity is consistent with probable bilateral L5 neural element impingement with activity.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In terms of causation relative to the First Accident, Dr. Tarazi opined that it:</w:t>
      </w:r>
      <w:r>
        <w:rPr>
          <w:rFonts w:ascii="arial" w:eastAsia="arial" w:hAnsi="arial" w:cs="arial"/>
          <w:sz w:val="20"/>
          <w:lang w:val="en-US" w:eastAsia="en-US" w:bidi="ar-SA"/>
        </w:rPr>
        <w:cr/>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most likely caused neck and back soft tissue strains, which have resulted in neck and back pain;</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likely caused the L4-5 disc bulge that has been compressing Ms. Munoz's right L5 nerve root, resulting in back pain;</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likely aggravated the pre-existing disc desiccation/spondylosis at the T4-5 level and the pre-existing T4-5 disc bulge, resulting in back pain; and</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likely aggravated the pre-existing disc desiccation/spondylosis at the L4-5 level, resulting in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Part of the reasoning for Dr. Tarazi's opinion, that the First Accident had likely caused the L4-5 disc bulge that was compressing Ms. Munoz's right L5 nerve root, was that it was quite unusual for a female of Ms. Munoz's young age to have a lumbar spine disc bulge with compression on the nerve root in the absence of a significant injury. He was also influenced by the fact that she had never worked in a physically laborious job, and that her disc desiccation/spondylosis at that time was not very severe. Also relevant to Dr. Tarazi's opinion was that, even if the First Accident was not of significant force, a rear-end collision would likely have caused a flexion/distraction injury to Ms. Munoz's lumbar spine and that the mechanics of such an injury was capable of producing a disc protrusion of the lumbar spine. He noted that the same collision was considerably less likely to have caused the disc bulge in Ms. Munoz's thoracic spine because it is anatomically protected by the ribs and hence more able to withstand a flexion/distraction injury. In Dr. Tarazi's view, those factors, together with the onset of symptoms as reported to him by Ms. Munoz, indicated that her disc bulge was most likely not due to a degenerative process but rather had come about as a result of 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Dr. Tarazi opined that even had Ms. Munoz's disc bulge been present before the First Accident, it was asymptomatic, and the First Accident aggravated it to the point that it caused pain as well as the radicular symptoms in her lower extremities.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Dr. Tarazi also made the important point that the hormonal changes tied to Ms. Munoz's pregnancy likely resulted in her ligaments being weakened and lax throughout her body. He noted that any pain connected to such ligamentous laxity generally resolves for women after they give birth and finish nursing. The fact that Ms. Munoz's low back pain had persisted long after childbirth further bolstered his opinion that her ongoing back pain was almost entirely causally related to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Dr. Tarazi believes that Ms. Munoz's T4-5 disc bulge likely pre-dated the First Accident, and he concluded it was not contributing to her overall symptomology in any significant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As to the Second Accident, Dr. Tarazi opined that it aggravated Ms. Munoz's earlier neck and back conditions. More specifically, it is his view that the Second Accident most likely aggravated the L4-5 disc bulge to a point where the right L5 nerve root compression increased, thereby worsening Ms. Munoz's right leg pain and numbness, in addition to causing new left leg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When Ms. Munoz saw Dr. Tarazi on September 28, 2012, after the Third Accident, she stated that her neck and back pain and the symptoms that radiated down into her lower extremities had been temporarily aggravated by the Third Accident but were gradually improving. Dr. Tarazi understood from Ms. Munoz that she estimated that on a good day her condition had improved by about 80% in comparison to her pain after the Second Accident, which was the worst pain she had ever experienced.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In Dr. Tarazi's opinion, the Third Accident most likely caused soft tissue injuries to Ms. Munoz's neck and lower back, in addition to aggravating the disc desiccation/spondylosis in her thoracic and lumbar spine, and aggravating her lumbar disc bulge.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To Dr. Tarazi's mind, it is more likely than not that Ms. Munoz has suffered discogenic back pain in addition to neurogenic pain stemming from the compression or irritation of her L5 nerve root by her protruding lumbar disc. As well, he concluded that her headaches were probably triggered by the chronicity of her neck and back pain. It is his view that the accidents have served to increase the rate of progression of Ms. Munoz's pre-existing lumbar disc desiccation/spondylosis which has further compounded her ongoing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Ms. Munoz was involved in a motor vehicle accident in 2000 as well as a minor incident in late 2009 that involved no personal injury. It is common ground among the medical experts that those accidents are of no consequence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In both of his reports, Dr. Tarazi recommended Ms. Munoz continue to receive conservative treatment for her symptoms. He endorsed her participation in a comprehensive rehabilitation program, and that she have ongoing guidance provided by a physiotherapist or kinesiologist. He also suggested an exercise program to help with her posture and improve her strength and core functioning. Dr. Tarazi favoured Ms. Munoz performing the exercises in a gymnasium setting with proper exercise equipment and a gym pass.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Dr. Tarazi acknowledged that while such treatments may not significantly improve Ms. Munoz's pain or function, they would help prevent flare-ups of her symptoms. In his initial report, he opined that in the likely event she had a flare-up of pain then, despite having received such treatments, she would still be completely disabled from all forms of employment for about four to six weeks. To manage those acute episodes, he recommended Ms. Munoz take anti-inflammatory medication and a short course of narcotic medications. Fortunately for Ms. Munoz, those concentrated periods of disability have not come to pass.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Dr. Tarazi opined that with further conservative therapy, Ms. Munoz's neck pain would likely continue to improve over the next two years. He foresaw that during this time of recuperation, her neck pain would likely be aggravated by heavy lifting and sudden movements of her neck, as well as by impact activities such as running and jumping.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To Dr. Tarazi, the most grim prognosis concerned Ms. Munoz's lumbar spine. Although surgical intervention was not warranted at present, he pointed out that the 2011 MRI confirmed that her lumbar disc bulge had increased in size since the 2010 MRI and that progression of the disc bulge would generally translate into greater pain in Ms. Munoz's legs and a heightened risk of her requiring lumbar spine discectomy surgery. Dr. Tarazi explained that surgery of that kind necessitates a recovery time of about two years, and that patients are unlikely to ever be able to return to heavy, laborious jobs.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At the same time, however, Dr. Tarazi acknowledged the difficulty in accurately prognosticating the future need for operative intervention in respect of Ms. Munoz's lumbar disc condition. He linked this aspect of his prognosis to the nature of Ms. Munoz's future activities. In broad terms, he opined that Ms. Munoz's pain is related to certain activities and therefore, as a general proposition, the more she engages in those aggravating activities, the more she will experience pain. If she restricted her physical activities to light or moderate levels, his view is that her risk of requiring any surgery, although still present, would be relatively low. If, on the other hand, she were to engage in higher levels of physical activity such as medium or highly physically strenuous activities or repetitive work, he thought she would most likely require surgery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Although Dr. Tarazi maintained his opinion relative to the potential future need for lumbar spine discectomy surgery, it is fair to say that, in his second report and at trial, he offered a less pessimistic prognosis.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In Dr. Tarazi's view, Ms. Munoz is able to perform most of her job duties as a restaurant manager. He opined that she can continue to do her job so long as she maintains her habit of taking frequent breaks to alleviate her pain, alternates between sitting and standing positions, and avoids heavy lifting and similar straining manoeuvres. He suggests Ms. Munoz be restricted to light or moderately strenuous jobs, and avoid heavy lifting and quick or repetitive movements of her torso. He opined these restrictions would most likely apply on a permanent basis, whether or not Ms. Munoz required surgery. He projected that if she were to change careers in the future, she would most likely be permanently limited to performing light or medium level jobs that would not involve any significant lifting, squatting, kneeling or impact activities such as running or jumping.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Dr. Tarazi also predicted that Ms. Munoz will continue to need help with domestic chores. He stated that if she did not have the help at home, she would need to hire others to perform domestic tasks on a permanent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As to recreational pursuits, Dr. Tarazi opined that Ms. Munoz would likely be able to get back to riding her bicycle and could resume her annual outdoor camping trip within twelve months of his initial assessment. However, he considered it unlikely that she would be able to resume running or do jumping activities on a regular basis in the future.</w:t>
      </w:r>
      <w:r>
        <w:rPr>
          <w:rFonts w:ascii="arial" w:eastAsia="arial" w:hAnsi="arial" w:cs="arial"/>
          <w:sz w:val="20"/>
          <w:lang w:val="en-US" w:eastAsia="en-US" w:bidi="ar-SA"/>
        </w:rPr>
        <w:cr/>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Dr. Donald G. Werry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The defence called Dr. Werry to give expert medical opinion evidence. He is an experienced orthopedic surgeon whose established clinical practice includes treating patients suffering from musculoskeletal trauma, as well as performing surgical joint replacements of the hip and knee. Dr. Werry performed two independent assessments of Ms. Munoz, which form the foundation of his reports dated May 31, 2011 and September 14, 2012, respectively.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Dr. Werry opined that the First Accident probably resulted in soft tissue injury in the form of muscle strain and possibly mild ligament sprain in Ms. Munoz's neck and upper and lower back. He stated that her low back pain may also have had a component of discogenic pain, which may be accompanied by referred pain primarily to the upper part of her lower extremities.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Dr. Werry shared Dr. Tarazi's view that Ms. Munoz's headaches were probably due to the pain and stiffness of her neck muscles. He also agreed with Dr. Tarazi's observation that the natural anatomic changes that occur during the late stages of pregnancy may have increased Ms. Munoz's susceptibility to sustaining a low back strain at the time of the First Accident. He added that the weakness of her abdominal muscles arising from her pregnancy was a further aggravating factor for her post-accident low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It is Dr. Werry's view that the changes in Ms. Munoz's thoracic and lumbar spine are probably degenerative in nature as opposed to being caused by trauma (i.e. the accidents). To the extent that his opinion is to the effect that the disc bulge in Ms. Munoz's lumbar spine is degenerative and not the result of trauma, it marked a central point of divergence from Dr. Tarazi's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Dr. Werry regarded the Second Accident as more severe than the first. It clearly was. He opined that the Second Accident probably caused neck and back muscle strain and ligament sprain that served to reactivate or aggravate Ms. Munoz's injuries stemming from the First Accident. Based on the description of Ms. Munoz's symptoms, combined with the fact that she had missed only occasional shifts at work as a result of the Second Accident, Dr. Werry concluded the severity of her soft tissue injuries caused by the Second Accident were probably mild to moderate.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In his second report, Dr. Werry reiterated his view that it was unlikely that the Second Accident had produced significant acute injury to Ms. Munoz's lumbar disc. He reasoned that, had that occurred, she probably would have experienced significant low back pain and spasm and resultant disability, and lost substantial time from work. That said however, Dr. Werry conceded that the First Accident may have activated symptoms of a previously asymptomatic thoracic and lumbar spine degenerative disease and contributed to Ms. Munoz's pain. He went on to opine that the Second Accident may have activated or aggravated symptoms arising from that degenerative lumbar disc, also causing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Dr. Werry's view is that the Third Accident probably aggravated Ms. Munoz's underlying degenerative process and caused mild soft tissue injury to her low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Drs. Tarazi and Werry disagreed about whether Ms. Munoz's disc bulge caused her sciatica, defined by Dr. Werry as lower extremity pain and symptoms that are classic signs of lumbar nerve root compression/irritation.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Dr. Werry testified that the diagnosis of sciatica was often not straightforward and that the symptoms may arise shortly after an acute, severe onset of back pain or may have far more mild and subtle presentation. He also agreed that such symptoms come and go, such that on one day a physical examination, including straight leg testing, may prove normal and elicit no signs and on another may reveal abnormalities. He agreed further that lumbar neurogenic pain, particularly L4-5 symptoms, can be triggered with activity, and that forward bending can cause further nerve impingement and aggravate pain levels.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Throughout his written reports and testimony, Dr. Werry emphasized that the MRI imaging of Ms. Munoz's lumbar spine, and specifically her disc bulge and its relationship to the L4-5 nerve roots, must be interpreted in light of her clinical history and clinical examinations. He agreed this would encompass Ms. Munoz's subjective complaints. His basic point, and one agreed to by Dr. Tarazi, was that compression or irritation of the nerve root does not invariably give rise to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In his reasoning, Dr. Werry was influenced by what he deemed to be a lack of documented lower extremity symptoms or physical examination signs to suggest lumbar nerve root irritation, as well as the fact that Dr. Wee had repeatedly charted "no sciatica". After Dr. Werry carried out his initial physical examination of Ms. Munoz, she told him she felt symptoms in her low back and lower extremities, and radiating pain down her lateral thigh and leg. He admitted he was not surprised by that. In his second report, he mentioned that Ms. Munoz had experienced symptoms radiating into her right and left lower extremities in 2011 and perhaps earlier. While on the one hand he allowed the possibility that those symptoms were due to mild irritation of Ms. Munoz's lumbar nerve roots, on the other, he appeared to discount the likelihood because, on his reading, the medical records did not indicate that her lower extremity symptoms were connected to any lumbar nerve root compression/limitation.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On Dr. Werry's analysis, the prospect of any surgical intervention to treat Ms. Munoz's lumbar disc bulge was, accordingly, highly unlikely. His rationale was that surgery is generally only indicated where the associated nerve root compression causes unremitting or worsening significant symptoms and signs, such as severe lower extremity pain, muscle weakness, loss of reflexes and sensation, and bladder dysfunction, which were not present in Ms. Munoz's case. As well, Dr. Werry remarked that general statistics show that lumbar disc protrusions - even those that cause lumbar nerve root deficits - often resolve over time without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In cross-examination, Dr. Werry was reminded that, in his own physical examination of Ms. Munoz on May 31, 2011, he had elicited left lower extremity symptoms when conducting a test involving her rising from a full squat position. He was also confronted with the following relatively extensive documentary evidence of Ms. Munoz's subjective complaints and some findings of lower extremity symptoms, none of which he had mentioned in his report:</w:t>
      </w:r>
      <w:r>
        <w:rPr>
          <w:rFonts w:ascii="arial" w:eastAsia="arial" w:hAnsi="arial" w:cs="arial"/>
          <w:sz w:val="20"/>
          <w:lang w:val="en-US" w:eastAsia="en-US" w:bidi="ar-SA"/>
        </w:rPr>
        <w:cr/>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right leg feels numb: August 4, 2010 - Dr. Minhas's patient history intake;</w:t>
      </w:r>
    </w:p>
    <w:p>
      <w:pPr>
        <w:numPr>
          <w:numId w:val="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left sciatica: August 23, 2010 - charted by Dr. Wee;</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right leg numbness: January 7, 2011 - charted by Dr. Minhas;</w:t>
      </w:r>
    </w:p>
    <w:p>
      <w:pPr>
        <w:numPr>
          <w:numId w:val="1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shoots down legs, right or left alternate: June 3, 2011 - charted by Dr. Cochien (mistakenly referred to as Dr. Parhar's records by plaintiff's counsel in the cross-examination of Dr. Werry);</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low back pains with right sciatica: August 12, 2011</w:t>
      </w:r>
    </w:p>
    <w:p>
      <w:pPr>
        <w:numPr>
          <w:numId w:val="1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charted by Dr. Wee;</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complaints of right lateral thigh, lateral calf - numb/tingly, dull ache ... right leg pain ... pain right leg &amp; lower back ... L4/L5 disc bulge. Reduce exertion, aggravation: September 13, 2011 - Dr. Minhas's initial report to ICBC; and</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right leg pain ...leg symptoms on examination and testing .... right leg numb/tingling and decreased deep tendon reflexes in right leg on neurologic examination and testing ..... and motor weakness right leg +4/+5: October 28, 2011 - Dr. Minhas's progress report to ICBC.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Dr. Werry agreed that a number of the above notations had potential significance relative to a diagnosis of sciatica. He also agreed that numbness or tingling in the foot, which I find Ms. Munoz experienced after the Third Accident, and possibly earlier, can be a classic sign of sciatica.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In cross-examination, Dr. Werry ultimately elevated the possibility of nerve root involvement in Ms. Munoz's case, to a "strong possibility", all the while cautioning that it was not a "certainty" that the MRI scans accounted wholly or mostly for her reported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Dr. Werry testified that degenerative disc disease is a permanent condition where the symptoms typically wax and wane and, in Ms. Munoz's case, will probably give rise to ongoing problems in the future. He confirmed that the degenerative changes in her spine, including the lumbar disc protrusion, have the potential of causing a neurological deficit in the future. He further confirmed that if she has actually been experiencing nerve root irritation, that would act as a compounding problem superimposed on her discogenic pain and other symptoms associated with her degenerative disc.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No doubt influenced by his conclusion that Ms. Munoz was not experiencing symptoms linked to nerve compression/irritation, Dr. Werry forecasted a rosier picture of her future than had Dr. Tarazi. He considered the prognosis for her neck pain to be good provided that she maintained good posture. He also acknowledged that Ms. Munoz may continue to experience intermittent mid back pain. He stated that she could minimize those symptoms by maintaining a regular exercise and stretching program, utilizing proper lifting techniques, and avoiding heavy lifting, much as she had been doing since 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As for Ms. Munoz's low back, Dr. Werry's view was that she may continue to have such pain, particularly with any future pregnancies, but that it was not "inevitable" that she would experience a worsening of her low back pain in the future. He was not surprised that, as recently as December 2011, the repetitious movements required in "working the line" seemed to cause Ms. Munoz real discomfort. However, he regarded Ms. Munoz's report that she had not experienced lower extremity symptoms for the first six months or so of 2012 as a promising indicator for her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Dr. Werry observed that prolonged sitting was an aggravating factor for Ms. Munoz's low back pain and was to be avoided. He considered it likely that she would experience periodic flares of low back pain with heavy lifting or other heavy physical activity, and that those activities should likewise be avoided in favour of lighter and modified duties along the lines Dr. Minhas had recommended in her report to ICBC. In cross-examination, he agreed that she should continue with modified duties at work. He also agreed that chiropractic care and massage therapy would provide symptomatic relief of pain to Ms. Munoz when she experienced an aggravation of her symptoms. Dr. Werry also advocated a self-directed regimen of stretching and some exercise activity to promote her aerobic fitness. He agreed that Ms. Munoz may have to take analgesics and anti-inflammatories in conjunction with such treatments in order to cope with episodic flares of her symptoms. As mentioned, however, he thought it unlikely that she would require more invasive therapies such as injections or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Dr. Werry predicted that Ms. Munoz should be capable of continuing her career as a restaurant manager so long as she maintains her current good health and avoids heavy lifting and intense physical activity.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Dr. Werry's treatment of the medical records as they concerned the documented subjective complaints and findings of Ms. Munoz's sciatica-like symptoms struck me as highly selective and even unbalanced. The rationales he purported to offer for failing to address those complaints and findings in his overall analysis were unsatisfactory. Although I do not reject Dr. Werry's opinions across the board, his omissions leave the impression of partiality and cast a compromising cloud over the quality of his opinions.</w:t>
      </w:r>
      <w:r>
        <w:rPr>
          <w:rFonts w:ascii="arial" w:eastAsia="arial" w:hAnsi="arial" w:cs="arial"/>
          <w:sz w:val="20"/>
          <w:lang w:val="en-US" w:eastAsia="en-US" w:bidi="ar-SA"/>
        </w:rPr>
        <w:cr/>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Dominic Shew, Occupational Therapist/ Functional Capacity Evaluator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As mentioned, Mr. Shew conducted a one-day assessment of Ms. Munoz on February 7, 2012. His functional/work capacity evaluation report dated February 14, 2012 was tendered as an expert report as part of Ms. Munoz's case. The defendants did not require Mr. Shew to attend for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Mr. Shew assessed Ms. Munoz's physical and functional abilities and limitations in relation to the demands of her occupation as defined by the National Occupational Classification ("NOC") and Dictionary of Occupational Titles (DOT), and commented on her ability to perform productive, competitive employment as a restaurant manager. He found that Ms. Munoz provided high levels of physical effort on testing, and that her subjective reports of abilities and limitations were generally consistent with his assessment findings.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Ms. Munoz demonstrated the basic strength to safely perform her line of work. However, Mr. Shew noted that she had difficulties, and reported an increase in her symptoms, when manoeuvering heavier loads, indicating she would continue to benefit from assistance with the more physically demanding tasks in order to remain safe and productive in her job. The physical test results also showed that tasks requiring heavier demands should be performed only occasionally.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Ms. Munoz demonstrated restrictions in tolerating tasks that necessitated overhead reaching, bending and stooping, and squatting, suggesting that she is not well-suited to work that requires those physical demands on a frequent basis. However, because her present position typically requires that she perform such demands for shorter periods only, Mr. Shew anticipated that Ms. Munoz would be able to safely manage brief periods of activity requiring such demands.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Mr. Shew reported on demonstrated limitations to her toleration of tasks that required work-intensive static positioning of the spine while repetitively reaching in front and to the sides of her body in a seated position, such as that encountered when performing computer or paperwork. For that reason, he concluded Ms. Munoz will continue to require the flexibility to change positions at work to manage her symptoms and to remain functional when performing those kinds of tasks over extended periods.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Mr. Shew concluded that overall Ms. Munoz is likely safe and able to continue gainfully with her current work on a part and full time basis. He cautioned, however, that because of her difficulties in managing the repetitive body positions, she requires the ability to change positions and take breaks throughout her shift. He made the point that the decline in her speed and function over the course of the one day evaluation suggested that if tasks requiring low level positions, overhead reaching and computer work are required on a more frequent basis, there would likely be a further reduction in her productivity as her work day or work week progresses.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Mr. Shew credits Ms. Munoz's ability to continue to work despite her ongoing difficulties as being likely due to the flexibility available to her in her current management position, which allows her to change positions from sitting to standing throughout her shift, and to delegate the more physically demanding duties to others. His view is that if Ms. Munoz were to change occupations or if her job demands were to change or her accommodations at work removed, she would likely have difficulty achieving and maintaining expectations in terms of productivity in a more structured and competitive work environment. Mr. Shew further opined that her ability to compete for certain jobs is likely reduced due to her decreased ability to complete and sustain heavier and more physically demanding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In the result, his evaluation is that her overall capacity in an open job market has been reduced due to her ongoing limitations.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Mr. Shew's clinical observations and test results indicate that Ms. Munoz is capable of doing light to moderate homemaking chores, such as cleaning countertops and dusting, so long as she paces herself appropriately throughout the day and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Mr. Shew recommended that Ms. Munoz wear appropriate supportive and orthopaedic footwear. He also endorsed the provision of an ergonomic assessment to identify the most appropriate ergonomic equipment and modifications to Ms. Munoz's workstation, as well as to provide suggestions regarding her body mechanics to best manage her symptoms and maintain her productivity.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OVERVIEW OF THE PARTIES' POSITIONS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Ms. Munoz asserts that in addition to soft tissue injuries to her neck, shoulder and back, the accidents caused a disc protrusion in her lumbar spine and activated a previously asymptomatic degenerative spinal condition. She says the lumbar disc bulge injury has resulted in nerve root compression/irritation that causes tingling, numbness and pain in her lower extremities and into her feet. Her position is that any future pregnancy will significantly aggravate her symptoms and, beyond that, she is likely to be plagued by episodic flare-ups and the associated functional limitations they pose indefinitely, and may require surgery which would completely disable her from work for about two years. Ms. Munoz seeks an award for non-pecuniary loss, future cost of care/housekeeping services or loss of housekeeping capacity, and the loss of future earning capacity. The latter head of damages is the most contentious. The parties have agreed to the amount of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The defendants concede that Ms. Munoz sustained mild soft tissue injuries to her neck, shoulder and back as a result of the accidents. They reject the contention that she has suffered any symptoms of nerve irritation associated with her lumbar disc bulge specifically, or from the accidents more generally. Alternatively, the defendants say that, to the extent she has experienced such symptoms, the onset of them did not coincide with any of the accidents and were not caused by them and, in any event, are minor in their impact on her functionality. They assert Ms. Munoz has suffered no impairment of her earning capacity nor shown there is a substantial possibility that any diminishment of her earning capacity would result in a pecuniary loss. Drawing on Dr. Werry's opinion, they assert that that her prognosis is far brighter than as predicted by Dr. Tarazi, and that she will continue on a path of recovery and will not require back surgery in the future due to the ill-effects of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CAUSATION</w:t>
      </w:r>
      <w:r>
        <w:rPr>
          <w:rFonts w:ascii="arial" w:eastAsia="arial" w:hAnsi="arial" w:cs="arial"/>
          <w:sz w:val="20"/>
          <w:lang w:val="en-US" w:eastAsia="en-US" w:bidi="ar-SA"/>
        </w:rPr>
        <w:cr/>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Basic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xml:space="preserve">  The primary test used in determining causation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the "but for" test. The plaintiff bears the onus of proving, on a balance of probabilities, that "but for" the defendant's negligent act or omission, the injury would not have occurred: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505"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Blackwater v. Plint</w:t>
      </w:r>
      <w:r>
        <w:rPr>
          <w:rFonts w:ascii="arial" w:eastAsia="arial" w:hAnsi="arial" w:cs="arial"/>
          <w:color w:val="000000"/>
          <w:sz w:val="20"/>
          <w:lang w:val="en-US" w:eastAsia="en-US" w:bidi="ar-SA"/>
        </w:rPr>
        <w:t xml:space="preserve">, </w:t>
      </w:r>
      <w:hyperlink r:id="rId506" w:history="1">
        <w:r>
          <w:rPr>
            <w:rFonts w:ascii="arial" w:eastAsia="arial" w:hAnsi="arial" w:cs="arial"/>
            <w:i/>
            <w:color w:val="0077CC"/>
            <w:sz w:val="20"/>
            <w:u w:val="single"/>
            <w:shd w:val="clear" w:color="auto" w:fill="FFFFFF"/>
            <w:lang w:val="en-US" w:eastAsia="en-US" w:bidi="ar-SA"/>
          </w:rPr>
          <w:t>2005 SCC 58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Blackwater</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Clements v. Clements</w:t>
      </w:r>
      <w:r>
        <w:rPr>
          <w:rFonts w:ascii="arial" w:eastAsia="arial" w:hAnsi="arial" w:cs="arial"/>
          <w:color w:val="000000"/>
          <w:sz w:val="20"/>
          <w:lang w:val="en-US" w:eastAsia="en-US" w:bidi="ar-SA"/>
        </w:rPr>
        <w:t xml:space="preserve">, </w:t>
      </w:r>
      <w:hyperlink r:id="rId607" w:history="1">
        <w:r>
          <w:rPr>
            <w:rFonts w:ascii="arial" w:eastAsia="arial" w:hAnsi="arial" w:cs="arial"/>
            <w:i/>
            <w:color w:val="0077CC"/>
            <w:sz w:val="20"/>
            <w:u w:val="single"/>
            <w:shd w:val="clear" w:color="auto" w:fill="FFFFFF"/>
            <w:lang w:val="en-US" w:eastAsia="en-US" w:bidi="ar-SA"/>
          </w:rPr>
          <w:t>2012 SCC 32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Clements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Ediger</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Guardian ad litem of) v. Johnston</w:t>
      </w:r>
      <w:r>
        <w:rPr>
          <w:rFonts w:ascii="arial" w:eastAsia="arial" w:hAnsi="arial" w:cs="arial"/>
          <w:color w:val="000000"/>
          <w:sz w:val="20"/>
          <w:lang w:val="en-US" w:eastAsia="en-US" w:bidi="ar-SA"/>
        </w:rPr>
        <w:t xml:space="preserve">, </w:t>
      </w:r>
      <w:hyperlink r:id="rId866" w:history="1">
        <w:r>
          <w:rPr>
            <w:rFonts w:ascii="arial" w:eastAsia="arial" w:hAnsi="arial" w:cs="arial"/>
            <w:i/>
            <w:color w:val="0077CC"/>
            <w:sz w:val="20"/>
            <w:u w:val="single"/>
            <w:shd w:val="clear" w:color="auto" w:fill="FFFFFF"/>
            <w:lang w:val="en-US" w:eastAsia="en-US" w:bidi="ar-SA"/>
          </w:rPr>
          <w:t>2013 SCC 18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Ediger</w:t>
      </w:r>
      <w:r>
        <w:rPr>
          <w:rFonts w:ascii="arial" w:eastAsia="arial" w:hAnsi="arial" w:cs="arial"/>
          <w:color w:val="000000"/>
          <w:sz w:val="20"/>
          <w:lang w:val="en-US" w:eastAsia="en-US" w:bidi="ar-SA"/>
        </w:rPr>
        <w:t xml:space="preserve">]. Inherent in the test is the requirement that the injury would not have happened without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Clements</w:t>
      </w:r>
      <w:r>
        <w:rPr>
          <w:rFonts w:ascii="arial" w:eastAsia="arial" w:hAnsi="arial" w:cs="arial"/>
          <w:color w:val="000000"/>
          <w:sz w:val="20"/>
          <w:lang w:val="en-US" w:eastAsia="en-US" w:bidi="ar-SA"/>
        </w:rPr>
        <w:t xml:space="preserve"> at para. 8; </w:t>
      </w:r>
      <w:r>
        <w:rPr>
          <w:rFonts w:ascii="arial" w:eastAsia="arial" w:hAnsi="arial" w:cs="arial"/>
          <w:i/>
          <w:color w:val="000000"/>
          <w:sz w:val="20"/>
          <w:lang w:val="en-US" w:eastAsia="en-US" w:bidi="ar-SA"/>
        </w:rPr>
        <w:t>Ediger</w:t>
      </w:r>
      <w:r>
        <w:rPr>
          <w:rFonts w:ascii="arial" w:eastAsia="arial" w:hAnsi="arial" w:cs="arial"/>
          <w:color w:val="000000"/>
          <w:sz w:val="20"/>
          <w:lang w:val="en-US" w:eastAsia="en-US" w:bidi="ar-SA"/>
        </w:rPr>
        <w:t xml:space="preserve"> at para. 28.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xml:space="preserve">  The plaintiff need not establish that a defendant's wrongful conduct is the sole cause of his injury. So long as a substantial connection between the harm and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beyond the "</w:t>
      </w:r>
      <w:r>
        <w:rPr>
          <w:rFonts w:ascii="arial" w:eastAsia="arial" w:hAnsi="arial" w:cs="arial"/>
          <w:i/>
          <w:color w:val="000000"/>
          <w:sz w:val="20"/>
          <w:lang w:val="en-US" w:eastAsia="en-US" w:bidi="ar-SA"/>
        </w:rPr>
        <w:t>de minimus</w:t>
      </w:r>
      <w:r>
        <w:rPr>
          <w:rFonts w:ascii="arial" w:eastAsia="arial" w:hAnsi="arial" w:cs="arial"/>
          <w:color w:val="000000"/>
          <w:sz w:val="20"/>
          <w:lang w:val="en-US" w:eastAsia="en-US" w:bidi="ar-SA"/>
        </w:rPr>
        <w:t xml:space="preserve">" range is established, the defendant will be fully liable for the harm suffered by a plaintiff, even if other causal factors, which the defendants are not responsible for, were at play in producing that harm: </w:t>
      </w:r>
      <w:r>
        <w:rPr>
          <w:rFonts w:ascii="arial" w:eastAsia="arial" w:hAnsi="arial" w:cs="arial"/>
          <w:i/>
          <w:color w:val="000000"/>
          <w:sz w:val="20"/>
          <w:lang w:val="en-US" w:eastAsia="en-US" w:bidi="ar-SA"/>
        </w:rPr>
        <w:t>Farrant v. Laktin</w:t>
      </w:r>
      <w:r>
        <w:rPr>
          <w:rFonts w:ascii="arial" w:eastAsia="arial" w:hAnsi="arial" w:cs="arial"/>
          <w:color w:val="000000"/>
          <w:sz w:val="20"/>
          <w:lang w:val="en-US" w:eastAsia="en-US" w:bidi="ar-SA"/>
        </w:rPr>
        <w:t xml:space="preserve">, </w:t>
      </w:r>
      <w:hyperlink r:id="rId867" w:history="1">
        <w:r>
          <w:rPr>
            <w:rFonts w:ascii="arial" w:eastAsia="arial" w:hAnsi="arial" w:cs="arial"/>
            <w:i/>
            <w:color w:val="0077CC"/>
            <w:sz w:val="20"/>
            <w:u w:val="single"/>
            <w:shd w:val="clear" w:color="auto" w:fill="FFFFFF"/>
            <w:lang w:val="en-US" w:eastAsia="en-US" w:bidi="ar-SA"/>
          </w:rPr>
          <w:t>2011 BCCA 336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504" w:history="1">
        <w:r>
          <w:rPr>
            <w:rFonts w:ascii="arial" w:eastAsia="arial" w:hAnsi="arial" w:cs="arial"/>
            <w:i/>
            <w:color w:val="0077CC"/>
            <w:sz w:val="20"/>
            <w:u w:val="single"/>
            <w:shd w:val="clear" w:color="auto" w:fill="FFFFFF"/>
            <w:lang w:val="en-US" w:eastAsia="en-US" w:bidi="ar-SA"/>
          </w:rPr>
          <w:t>2007 SCC 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xml:space="preserve">  The law has long recognized that plaintiffs frequently encounter substantial practical difficulties in proving causation. In the seminal decision of </w:t>
      </w:r>
      <w:r>
        <w:rPr>
          <w:rFonts w:ascii="arial" w:eastAsia="arial" w:hAnsi="arial" w:cs="arial"/>
          <w:i/>
          <w:color w:val="000000"/>
          <w:sz w:val="20"/>
          <w:lang w:val="en-US" w:eastAsia="en-US" w:bidi="ar-SA"/>
        </w:rPr>
        <w:t>Snell v. Farrell</w:t>
      </w:r>
      <w:r>
        <w:rPr>
          <w:rFonts w:ascii="arial" w:eastAsia="arial" w:hAnsi="arial" w:cs="arial"/>
          <w:color w:val="000000"/>
          <w:sz w:val="20"/>
          <w:lang w:val="en-US" w:eastAsia="en-US" w:bidi="ar-SA"/>
        </w:rPr>
        <w:t xml:space="preserve">, </w:t>
      </w:r>
      <w:hyperlink r:id="rId608" w:history="1">
        <w:r>
          <w:rPr>
            <w:rFonts w:ascii="arial" w:eastAsia="arial" w:hAnsi="arial" w:cs="arial"/>
            <w:i/>
            <w:color w:val="0077CC"/>
            <w:sz w:val="20"/>
            <w:u w:val="single"/>
            <w:shd w:val="clear" w:color="auto" w:fill="FFFFFF"/>
            <w:lang w:val="en-US" w:eastAsia="en-US" w:bidi="ar-SA"/>
          </w:rPr>
          <w:t>[1990] 2 S.C.R. 311</w:t>
        </w:r>
      </w:hyperlink>
      <w:r>
        <w:rPr>
          <w:rFonts w:ascii="arial" w:eastAsia="arial" w:hAnsi="arial" w:cs="arial"/>
          <w:color w:val="000000"/>
          <w:sz w:val="20"/>
          <w:lang w:val="en-US" w:eastAsia="en-US" w:bidi="ar-SA"/>
        </w:rPr>
        <w:t>, the Supreme Court of Canada held that the causation test does not demand scientific precision and is not to be applied too rigidly. Causation is a practical question of fact which can best be answered by ordinary common sense.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xml:space="preserve">  The concepts of etiology in the medical sphere and causation at law are not synonymous. The reason is that the "but for" test need only be proved on a balance of probabilities, in contrast to the more rigorous standard that endeavours to approach the level of scientific certainty familiar to the medical field: </w:t>
      </w:r>
      <w:r>
        <w:rPr>
          <w:rFonts w:ascii="arial" w:eastAsia="arial" w:hAnsi="arial" w:cs="arial"/>
          <w:i/>
          <w:color w:val="000000"/>
          <w:sz w:val="20"/>
          <w:lang w:val="en-US" w:eastAsia="en-US" w:bidi="ar-SA"/>
        </w:rPr>
        <w:t>Midgley v. Nguyen</w:t>
      </w:r>
      <w:r>
        <w:rPr>
          <w:rFonts w:ascii="arial" w:eastAsia="arial" w:hAnsi="arial" w:cs="arial"/>
          <w:color w:val="000000"/>
          <w:sz w:val="20"/>
          <w:lang w:val="en-US" w:eastAsia="en-US" w:bidi="ar-SA"/>
        </w:rPr>
        <w:t xml:space="preserve">, </w:t>
      </w:r>
      <w:hyperlink r:id="rId868" w:history="1">
        <w:r>
          <w:rPr>
            <w:rFonts w:ascii="arial" w:eastAsia="arial" w:hAnsi="arial" w:cs="arial"/>
            <w:i/>
            <w:color w:val="0077CC"/>
            <w:sz w:val="20"/>
            <w:u w:val="single"/>
            <w:shd w:val="clear" w:color="auto" w:fill="FFFFFF"/>
            <w:lang w:val="en-US" w:eastAsia="en-US" w:bidi="ar-SA"/>
          </w:rPr>
          <w:t>2013 BCSC 693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Midgley</w:t>
      </w:r>
      <w:r>
        <w:rPr>
          <w:rFonts w:ascii="arial" w:eastAsia="arial" w:hAnsi="arial" w:cs="arial"/>
          <w:color w:val="000000"/>
          <w:sz w:val="20"/>
          <w:lang w:val="en-US" w:eastAsia="en-US" w:bidi="ar-SA"/>
        </w:rPr>
        <w:t>], at para. 172.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xml:space="preserve">  In light of the fact that Ms. Munoz was involved in three accidents, a further issue arises as to whether the injuries she sustained are divisible or indivisible as between the three collisions. The determination is a question of fact and is relevant to the question of causation, as well as to damages: </w:t>
      </w:r>
      <w:r>
        <w:rPr>
          <w:rFonts w:ascii="arial" w:eastAsia="arial" w:hAnsi="arial" w:cs="arial"/>
          <w:i/>
          <w:color w:val="000000"/>
          <w:sz w:val="20"/>
          <w:lang w:val="en-US" w:eastAsia="en-US" w:bidi="ar-SA"/>
        </w:rPr>
        <w:t>Moore v. Kyba</w:t>
      </w:r>
      <w:r>
        <w:rPr>
          <w:rFonts w:ascii="arial" w:eastAsia="arial" w:hAnsi="arial" w:cs="arial"/>
          <w:color w:val="000000"/>
          <w:sz w:val="20"/>
          <w:lang w:val="en-US" w:eastAsia="en-US" w:bidi="ar-SA"/>
        </w:rPr>
        <w:t xml:space="preserve">, </w:t>
      </w:r>
      <w:hyperlink r:id="rId617" w:history="1">
        <w:r>
          <w:rPr>
            <w:rFonts w:ascii="arial" w:eastAsia="arial" w:hAnsi="arial" w:cs="arial"/>
            <w:i/>
            <w:color w:val="0077CC"/>
            <w:sz w:val="20"/>
            <w:u w:val="single"/>
            <w:shd w:val="clear" w:color="auto" w:fill="FFFFFF"/>
            <w:lang w:val="en-US" w:eastAsia="en-US" w:bidi="ar-SA"/>
          </w:rPr>
          <w:t>2012 BCCA 361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Moore</w:t>
      </w:r>
      <w:r>
        <w:rPr>
          <w:rFonts w:ascii="arial" w:eastAsia="arial" w:hAnsi="arial" w:cs="arial"/>
          <w:color w:val="000000"/>
          <w:sz w:val="20"/>
          <w:lang w:val="en-US" w:eastAsia="en-US" w:bidi="ar-SA"/>
        </w:rPr>
        <w:t xml:space="preserve">] at paras. 36 and 37. Divisible injuries are those capable of being separated and having their damages assessed independently. Indivisible injuries are those that cannot be separated out and have liability attributed to the constituent causes and their damages assessed independently: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Bradley v. Groves</w:t>
      </w:r>
      <w:r>
        <w:rPr>
          <w:rFonts w:ascii="arial" w:eastAsia="arial" w:hAnsi="arial" w:cs="arial"/>
          <w:color w:val="000000"/>
          <w:sz w:val="20"/>
          <w:lang w:val="en-US" w:eastAsia="en-US" w:bidi="ar-SA"/>
        </w:rPr>
        <w:t xml:space="preserve">, </w:t>
      </w:r>
      <w:hyperlink r:id="rId618" w:history="1">
        <w:r>
          <w:rPr>
            <w:rFonts w:ascii="arial" w:eastAsia="arial" w:hAnsi="arial" w:cs="arial"/>
            <w:i/>
            <w:color w:val="0077CC"/>
            <w:sz w:val="20"/>
            <w:u w:val="single"/>
            <w:shd w:val="clear" w:color="auto" w:fill="FFFFFF"/>
            <w:lang w:val="en-US" w:eastAsia="en-US" w:bidi="ar-SA"/>
          </w:rPr>
          <w:t>2010 BCCA 361</w:t>
        </w:r>
      </w:hyperlink>
      <w:r>
        <w:rPr>
          <w:rFonts w:ascii="arial" w:eastAsia="arial" w:hAnsi="arial" w:cs="arial"/>
          <w:color w:val="000000"/>
          <w:sz w:val="20"/>
          <w:lang w:val="en-US" w:eastAsia="en-US" w:bidi="ar-SA"/>
        </w:rPr>
        <w:t xml:space="preserve"> at para. 20; </w:t>
      </w:r>
      <w:r>
        <w:rPr>
          <w:rFonts w:ascii="arial" w:eastAsia="arial" w:hAnsi="arial" w:cs="arial"/>
          <w:i/>
          <w:color w:val="000000"/>
          <w:sz w:val="20"/>
          <w:lang w:val="en-US" w:eastAsia="en-US" w:bidi="ar-SA"/>
        </w:rPr>
        <w:t>Blackwater</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xml:space="preserve">  At the causation stage, the determination of the plaintiff's injury or injuries as divisible or indivisible is relevant to the question of what a particular defendant is liable for. In assessing damages, the characterization is relevant to the amount of compensation the plaintiff is entitled to receive from a defendant: </w:t>
      </w:r>
      <w:r>
        <w:rPr>
          <w:rFonts w:ascii="arial" w:eastAsia="arial" w:hAnsi="arial" w:cs="arial"/>
          <w:i/>
          <w:color w:val="000000"/>
          <w:sz w:val="20"/>
          <w:lang w:val="en-US" w:eastAsia="en-US" w:bidi="ar-SA"/>
        </w:rPr>
        <w:t>Moore</w:t>
      </w:r>
      <w:r>
        <w:rPr>
          <w:rFonts w:ascii="arial" w:eastAsia="arial" w:hAnsi="arial" w:cs="arial"/>
          <w:color w:val="000000"/>
          <w:sz w:val="20"/>
          <w:lang w:val="en-US" w:eastAsia="en-US" w:bidi="ar-SA"/>
        </w:rPr>
        <w:t>, at paras. 37 and 41.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In the case at hand, the evidence amply establishes that the injuries flowing from the Second and Third Accidents merged with the residual injuries of the First Accident and with each other to create a single injury that is not attributable to one particular defendant and cannot be distinguished from one another. No cogent arguments were made by either side to the contrary. Moreover, I understood defence counsel to concede in closing argument that Ms. Munoz's injuries were indivisible.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xml:space="preserve">  The main purpose of defence counsel calling the defendants to testify at trial was to support a finding that all three accidents were relatively minor in nature and, implicit in that, the notion that the injuries sustained by Ms. Munoz were likewise minor. This Court has repeatedly observed that such reasoning is dubious in the absence of cogent evidence that weaves those core propositions together: </w:t>
      </w:r>
      <w:r>
        <w:rPr>
          <w:rFonts w:ascii="arial" w:eastAsia="arial" w:hAnsi="arial" w:cs="arial"/>
          <w:i/>
          <w:color w:val="000000"/>
          <w:sz w:val="20"/>
          <w:lang w:val="en-US" w:eastAsia="en-US" w:bidi="ar-SA"/>
        </w:rPr>
        <w:t>Gordon v. Palmer</w:t>
      </w:r>
      <w:r>
        <w:rPr>
          <w:rFonts w:ascii="arial" w:eastAsia="arial" w:hAnsi="arial" w:cs="arial"/>
          <w:color w:val="000000"/>
          <w:sz w:val="20"/>
          <w:lang w:val="en-US" w:eastAsia="en-US" w:bidi="ar-SA"/>
        </w:rPr>
        <w:t xml:space="preserve"> </w:t>
      </w:r>
      <w:hyperlink r:id="rId869" w:history="1">
        <w:r>
          <w:rPr>
            <w:rFonts w:ascii="arial" w:eastAsia="arial" w:hAnsi="arial" w:cs="arial"/>
            <w:i/>
            <w:color w:val="0077CC"/>
            <w:sz w:val="20"/>
            <w:u w:val="single"/>
            <w:shd w:val="clear" w:color="auto" w:fill="FFFFFF"/>
            <w:lang w:val="en-US" w:eastAsia="en-US" w:bidi="ar-SA"/>
          </w:rPr>
          <w:t>(1993), 78 B.C.L.R. (2d) 236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Sooch v. Snell</w:t>
      </w:r>
      <w:r>
        <w:rPr>
          <w:rFonts w:ascii="arial" w:eastAsia="arial" w:hAnsi="arial" w:cs="arial"/>
          <w:color w:val="000000"/>
          <w:sz w:val="20"/>
          <w:lang w:val="en-US" w:eastAsia="en-US" w:bidi="ar-SA"/>
        </w:rPr>
        <w:t xml:space="preserve">, </w:t>
      </w:r>
      <w:hyperlink r:id="rId870" w:history="1">
        <w:r>
          <w:rPr>
            <w:rFonts w:ascii="arial" w:eastAsia="arial" w:hAnsi="arial" w:cs="arial"/>
            <w:i/>
            <w:color w:val="0077CC"/>
            <w:sz w:val="20"/>
            <w:u w:val="single"/>
            <w:shd w:val="clear" w:color="auto" w:fill="FFFFFF"/>
            <w:lang w:val="en-US" w:eastAsia="en-US" w:bidi="ar-SA"/>
          </w:rPr>
          <w:t>2012 BCSC 696</w:t>
        </w:r>
      </w:hyperlink>
      <w:r>
        <w:rPr>
          <w:rFonts w:ascii="arial" w:eastAsia="arial" w:hAnsi="arial" w:cs="arial"/>
          <w:color w:val="000000"/>
          <w:sz w:val="20"/>
          <w:lang w:val="en-US" w:eastAsia="en-US" w:bidi="ar-SA"/>
        </w:rPr>
        <w:t xml:space="preserve">. As Dley J. instructively remarked in </w:t>
      </w:r>
      <w:r>
        <w:rPr>
          <w:rFonts w:ascii="arial" w:eastAsia="arial" w:hAnsi="arial" w:cs="arial"/>
          <w:i/>
          <w:color w:val="000000"/>
          <w:sz w:val="20"/>
          <w:lang w:val="en-US" w:eastAsia="en-US" w:bidi="ar-SA"/>
        </w:rPr>
        <w:t>Tarzwell v. Ewashina</w:t>
      </w:r>
      <w:r>
        <w:rPr>
          <w:rFonts w:ascii="arial" w:eastAsia="arial" w:hAnsi="arial" w:cs="arial"/>
          <w:color w:val="000000"/>
          <w:sz w:val="20"/>
          <w:lang w:val="en-US" w:eastAsia="en-US" w:bidi="ar-SA"/>
        </w:rPr>
        <w:t xml:space="preserve">, </w:t>
      </w:r>
      <w:hyperlink r:id="rId871" w:history="1">
        <w:r>
          <w:rPr>
            <w:rFonts w:ascii="arial" w:eastAsia="arial" w:hAnsi="arial" w:cs="arial"/>
            <w:i/>
            <w:color w:val="0077CC"/>
            <w:sz w:val="20"/>
            <w:u w:val="single"/>
            <w:shd w:val="clear" w:color="auto" w:fill="FFFFFF"/>
            <w:lang w:val="en-US" w:eastAsia="en-US" w:bidi="ar-SA"/>
          </w:rPr>
          <w:t>2011 BCSC 1464</w:t>
        </w:r>
      </w:hyperlink>
      <w:r>
        <w:rPr>
          <w:rFonts w:ascii="arial" w:eastAsia="arial" w:hAnsi="arial" w:cs="arial"/>
          <w:color w:val="000000"/>
          <w:sz w:val="20"/>
          <w:lang w:val="en-US" w:eastAsia="en-US" w:bidi="ar-SA"/>
        </w:rPr>
        <w:t>, at para. 51: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[51] ... Even if one accepts the defendant's version of the collision, as being minor with no resulting physical damage to either car, that does not default to an assumption that injuries could not result or must be minor. The severity or extent of damage to a vehicle is not determinative of the consequences to the vehicle occupants.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There was no evidence that the force of each of the three collisions in this case could not have produced the physical symptoms complained of by Ms. Munoz or are inconsistent with the nature, severity or long-lasting duration of such symptoms. Indeed, the only evidence that touched on the point came from Dr. Tarazi who opined that even if the force of the First Accident had been minor, the mechanics of the injury were such that it could have caused Ms. Munoz's lumbar disc bulge.</w:t>
      </w:r>
      <w:r>
        <w:rPr>
          <w:rFonts w:ascii="arial" w:eastAsia="arial" w:hAnsi="arial" w:cs="arial"/>
          <w:sz w:val="20"/>
          <w:lang w:val="en-US" w:eastAsia="en-US" w:bidi="ar-SA"/>
        </w:rPr>
        <w:cr/>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Ms. Munoz's credibility and the reliability of her evidence are key in determining the nature and severity of her injuries caused by the accidents, and ultimately the quantum of her damages. The assessment is also material to the weight to be given to the medical opinions to the extent that they are fastened upon her subjective reporting, perception of her symptoms, and the recitation of her condition before, between and after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Ms. Munoz's credibility was not impugned at trial. She emerged as a forthright, honest and reliable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At the time of the First Accident, Ms. Munoz's back was susceptible to injury due to her pregnancy. The evidence establishes that, as a result of the First Accident, she suffered headaches and soft tissue injuries to her neck, shoulders and along her spine. Her low back pain emerged as the most enduring and functionally limiting injury stemming from 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On the question of the causation of Ms. Munoz's lumbar disc bulge, I prefer Dr. Tarazi's opinion over Dr. Werry's, and conclude that it is more probable than not that it was caused by the trauma of the First Accident. The preponderance of the evidence also establishes that the First Accident activated Ms. Munoz's asymptomatic disc desiccation/spondylosis in her thoracic and lumbar spine.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I accept Ms. Munoz's testimony that after the First Accident she experienced sensations of numbness and tingling radiating from her low back into her right leg. I am not concerned that she did not report such symptoms to Dr. Wee until after the Second Accident. This is because the evidence demonstrates that these symptoms were very mild and fleeting and did not become terribly bothersome to Ms. Munoz until after the Second Accident. It was her low back and, to a lesser extent, her neck and headaches that were her dominant problems and interfered with her work and life activities after the First Accident and, understandably, they were the main focus of her discussions with Dr. Wee within that time frame. Additionally, my assessment of Dr. Wee's testimony is that his notations of "no sciatica" at any given appointment goes no farther than to convey that at the particular visit, Ms. Munoz was not experiencing or complaining of such symptoms, and does not denote that she reported having at no time experienced them. This is borne out by the fact that, on December 19, 2011, Dr. Wee charted "no sciatica", even though she had previously complained to him of experiencing symptoms of that kind, and it is abundantly clear on the evidence that within that general period, she had been treated by Dr. Minhas in respect of such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At the time of the Second Accident, Ms. Munoz had not fully recovered from the sequelae of the First Accident. The preponderance of the medical evidence, which is consistent with Ms. Munoz's credible self-account and the lay evidence, establishes that the Second Accident aggravated the ill-effects of the First Accident. More particularly as concerns her sciatica-type symptoms, I find it more likely than not that the Second Accident aggravated Ms. Munoz's L4-5 disc bulge to the point of increasing the compression on her L5 nerve root and significantly worsening her right leg symptoms, as well as causing symptoms in her left leg. I conclude that after the Second Accident the nature, severity and frequency of Ms. Munoz's symptoms of pain, numbness and tingling or, as she sometimes characterized it, the pins and needles, radiating into her lower extremities worsened and her overall low back condition was significantly aggravated.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The evidence satisfies me that Ms. Munoz's neck, back and the symptoms related to her lower extremities, although gradually improving, were lingering and had not resolved when the Third Accident took place. The probabilities of the evidence are persuasive that the Third Accident caused additional soft tissue injury to Ms. Munoz's already compromised neck and lower back, aggravated the earlier activated desiccation/spondylosis in her thoracic and lumbar spine and her L4-5 disc bulge.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w:t>
      </w:r>
      <w:r>
        <w:rPr>
          <w:rFonts w:ascii="arial" w:eastAsia="arial" w:hAnsi="arial" w:cs="arial"/>
          <w:sz w:val="20"/>
          <w:lang w:val="en-US" w:eastAsia="en-US" w:bidi="ar-SA"/>
        </w:rPr>
        <w:cr/>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Basic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xml:space="preserve">  The essential purpose of damages is to restore, as best as is possible with a monetary award, an injured plaintiff to the same position he or she would have been in had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not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xml:space="preserve">  People have different physical and psychological susceptibility to injuries. A fundamental principle in the assessment of damages is that the defendant must take the plaintiff as she is. A plaintiff whose unique psychological makeup or pre-existing physical condition makes her more vulnerable to sustaining injury is to be compensated for the entire extent of her injury, both physical and/or psychological,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This is so even where due to some unique feature of the plaintiff, the injury was greater or of a more dramatic or severe or different type than one would expect an average person to sustain. It is no answer for a defendant to say that the plaintiff would have suffered less injury or a different kind of injury or no injury at all if he or she had been less susceptible or vulnerable. It is the impact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actual plaintiff, and not on a fictional one, that is relevant for compensatory purposes: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xml:space="preserve">  Equally as fundamental is that a defendant is not expected to put the plaintiff in a better position than the plaintiff had been in the moment before the accident happened. It is the difference between the plaintiff's original position with any attendant risks and shortcomings (e.g. a pre-existing condition) just before occurrence of the negligent act or omission, and the injured position after and as a result of such act or omission, that comprises the plaintiff's loss: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paras. 34-35.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xml:space="preserve">  A pre-existing condition, latent or active, is part of the plaintiff's original condition. Where there is a measurable risk that a pre-existing condition would have resulted in a loss to the plaintiff in the future without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that risk of loss must be taken into account in assessing certain heads of damages and serves to reduce the award: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35; </w:t>
      </w:r>
      <w:r>
        <w:rPr>
          <w:rFonts w:ascii="arial" w:eastAsia="arial" w:hAnsi="arial" w:cs="arial"/>
          <w:i/>
          <w:color w:val="000000"/>
          <w:sz w:val="20"/>
          <w:lang w:val="en-US" w:eastAsia="en-US" w:bidi="ar-SA"/>
        </w:rPr>
        <w:t>Bouchard v. Brown Bros. Motor Lease Canada Ltd.</w:t>
      </w:r>
      <w:r>
        <w:rPr>
          <w:rFonts w:ascii="arial" w:eastAsia="arial" w:hAnsi="arial" w:cs="arial"/>
          <w:color w:val="000000"/>
          <w:sz w:val="20"/>
          <w:lang w:val="en-US" w:eastAsia="en-US" w:bidi="ar-SA"/>
        </w:rPr>
        <w:t xml:space="preserve">, </w:t>
      </w:r>
      <w:hyperlink r:id="rId692" w:history="1">
        <w:r>
          <w:rPr>
            <w:rFonts w:ascii="arial" w:eastAsia="arial" w:hAnsi="arial" w:cs="arial"/>
            <w:i/>
            <w:color w:val="0077CC"/>
            <w:sz w:val="20"/>
            <w:u w:val="single"/>
            <w:shd w:val="clear" w:color="auto" w:fill="FFFFFF"/>
            <w:lang w:val="en-US" w:eastAsia="en-US" w:bidi="ar-SA"/>
          </w:rPr>
          <w:t>2012 BCCA 331</w:t>
        </w:r>
      </w:hyperlink>
      <w:r>
        <w:rPr>
          <w:rFonts w:ascii="arial" w:eastAsia="arial" w:hAnsi="arial" w:cs="arial"/>
          <w:color w:val="000000"/>
          <w:sz w:val="20"/>
          <w:lang w:val="en-US" w:eastAsia="en-US" w:bidi="ar-SA"/>
        </w:rPr>
        <w:t xml:space="preserve">. The contingency of a pre-existing condition manifesting on its own to cause a loss at some point does not have to be proven to a certainty - it is given weight according to its relative likelihood: </w:t>
      </w:r>
      <w:r>
        <w:rPr>
          <w:rFonts w:ascii="arial" w:eastAsia="arial" w:hAnsi="arial" w:cs="arial"/>
          <w:i/>
          <w:color w:val="000000"/>
          <w:sz w:val="20"/>
          <w:lang w:val="en-US" w:eastAsia="en-US" w:bidi="ar-SA"/>
        </w:rPr>
        <w:t>A.(T.W.N.) v. Clarke</w:t>
      </w:r>
      <w:r>
        <w:rPr>
          <w:rFonts w:ascii="arial" w:eastAsia="arial" w:hAnsi="arial" w:cs="arial"/>
          <w:color w:val="000000"/>
          <w:sz w:val="20"/>
          <w:lang w:val="en-US" w:eastAsia="en-US" w:bidi="ar-SA"/>
        </w:rPr>
        <w:t xml:space="preserve">, </w:t>
      </w:r>
      <w:hyperlink r:id="rId688" w:history="1">
        <w:r>
          <w:rPr>
            <w:rFonts w:ascii="arial" w:eastAsia="arial" w:hAnsi="arial" w:cs="arial"/>
            <w:i/>
            <w:color w:val="0077CC"/>
            <w:sz w:val="20"/>
            <w:u w:val="single"/>
            <w:shd w:val="clear" w:color="auto" w:fill="FFFFFF"/>
            <w:lang w:val="en-US" w:eastAsia="en-US" w:bidi="ar-SA"/>
          </w:rPr>
          <w:t>2003 BCCA 670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There was no cogent evidence that Ms. Munoz's pre-existing disc desiccation/spondylosis in her thoracic or lumbar spine would have become symptomatic in the absence of the accidents. Indeed, the only evidence on the point came from Dr. Tarazi in cross examination. He explained that the accidents had accelerated Ms. Munoz's degenerative process in her lumbar spine and that her degeneration would have likely progressed gradually and "very slowly" over many years had the accidents not happened, and even then, such degeneration would not have necessarily entailed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I am not satisfied that there was a measurable risk that Ms. Munoz's pre-existing conditions would have detrimentally affected her in the future regardless of the accidents.</w:t>
      </w:r>
      <w:r>
        <w:rPr>
          <w:rFonts w:ascii="arial" w:eastAsia="arial" w:hAnsi="arial" w:cs="arial"/>
          <w:sz w:val="20"/>
          <w:lang w:val="en-US" w:eastAsia="en-US" w:bidi="ar-SA"/>
        </w:rPr>
        <w:cr/>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Ms. Munoz seeks non-pecuniary damages in the amount of $110,000. The defendants counter that an award in the range of $30,000 to $35,000 would be fair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xml:space="preserve">  Non-pecuniary damages are intended to compensate a plaintiff for the pain, suffering and loss of enjoyment of life and of amenities experienced as a result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They are meant to compensate for such damages suffered to the date of trial and those that the plaintiff will suffer into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xml:space="preserve">  The award should be fair and reasonable for both parties as those concepts are measured against the adverse impact of the particular injuries on the particular plaintiff: </w:t>
      </w:r>
      <w:r>
        <w:rPr>
          <w:rFonts w:ascii="arial" w:eastAsia="arial" w:hAnsi="arial" w:cs="arial"/>
          <w:i/>
          <w:color w:val="000000"/>
          <w:sz w:val="20"/>
          <w:lang w:val="en-US" w:eastAsia="en-US" w:bidi="ar-SA"/>
        </w:rPr>
        <w:t>Hunt v. Ugre</w:t>
      </w:r>
      <w:r>
        <w:rPr>
          <w:rFonts w:ascii="arial" w:eastAsia="arial" w:hAnsi="arial" w:cs="arial"/>
          <w:color w:val="000000"/>
          <w:sz w:val="20"/>
          <w:lang w:val="en-US" w:eastAsia="en-US" w:bidi="ar-SA"/>
        </w:rPr>
        <w:t xml:space="preserve">, </w:t>
      </w:r>
      <w:hyperlink r:id="rId872" w:history="1">
        <w:r>
          <w:rPr>
            <w:rFonts w:ascii="arial" w:eastAsia="arial" w:hAnsi="arial" w:cs="arial"/>
            <w:i/>
            <w:color w:val="0077CC"/>
            <w:sz w:val="20"/>
            <w:u w:val="single"/>
            <w:shd w:val="clear" w:color="auto" w:fill="FFFFFF"/>
            <w:lang w:val="en-US" w:eastAsia="en-US" w:bidi="ar-SA"/>
          </w:rPr>
          <w:t>2012 BCSC 1704</w:t>
        </w:r>
      </w:hyperlink>
      <w:r>
        <w:rPr>
          <w:rFonts w:ascii="arial" w:eastAsia="arial" w:hAnsi="arial" w:cs="arial"/>
          <w:color w:val="000000"/>
          <w:sz w:val="20"/>
          <w:lang w:val="en-US" w:eastAsia="en-US" w:bidi="ar-SA"/>
        </w:rPr>
        <w:t xml:space="preserve"> at para. 176. While fairness is assessed by reference to awards made in comparable cases, because each case is decided on its own unique facts and calls for an individualized assessment, it is neither possible nor desirable to develop a "tariff": </w:t>
      </w:r>
      <w:r>
        <w:rPr>
          <w:rFonts w:ascii="arial" w:eastAsia="arial" w:hAnsi="arial" w:cs="arial"/>
          <w:i/>
          <w:color w:val="000000"/>
          <w:sz w:val="20"/>
          <w:lang w:val="en-US" w:eastAsia="en-US" w:bidi="ar-SA"/>
        </w:rPr>
        <w:t>Lindal v. Lindal</w:t>
      </w:r>
      <w:r>
        <w:rPr>
          <w:rFonts w:ascii="arial" w:eastAsia="arial" w:hAnsi="arial" w:cs="arial"/>
          <w:color w:val="000000"/>
          <w:sz w:val="20"/>
          <w:lang w:val="en-US" w:eastAsia="en-US" w:bidi="ar-SA"/>
        </w:rPr>
        <w:t xml:space="preserve">, </w:t>
      </w:r>
      <w:hyperlink r:id="rId626" w:history="1">
        <w:r>
          <w:rPr>
            <w:rFonts w:ascii="arial" w:eastAsia="arial" w:hAnsi="arial" w:cs="arial"/>
            <w:i/>
            <w:color w:val="0077CC"/>
            <w:sz w:val="20"/>
            <w:u w:val="single"/>
            <w:shd w:val="clear" w:color="auto" w:fill="FFFFFF"/>
            <w:lang w:val="en-US" w:eastAsia="en-US" w:bidi="ar-SA"/>
          </w:rPr>
          <w:t>[1981] 2 S.C.R. 629</w:t>
        </w:r>
      </w:hyperlink>
      <w:r>
        <w:rPr>
          <w:rFonts w:ascii="arial" w:eastAsia="arial" w:hAnsi="arial" w:cs="arial"/>
          <w:color w:val="000000"/>
          <w:sz w:val="20"/>
          <w:lang w:val="en-US" w:eastAsia="en-US" w:bidi="ar-SA"/>
        </w:rPr>
        <w:t xml:space="preserve"> at 637; </w:t>
      </w:r>
      <w:r>
        <w:rPr>
          <w:rFonts w:ascii="arial" w:eastAsia="arial" w:hAnsi="arial" w:cs="arial"/>
          <w:i/>
          <w:color w:val="000000"/>
          <w:sz w:val="20"/>
          <w:lang w:val="en-US" w:eastAsia="en-US" w:bidi="ar-SA"/>
        </w:rPr>
        <w:t>Dilello v. Montgomery</w:t>
      </w:r>
      <w:r>
        <w:rPr>
          <w:rFonts w:ascii="arial" w:eastAsia="arial" w:hAnsi="arial" w:cs="arial"/>
          <w:color w:val="000000"/>
          <w:sz w:val="20"/>
          <w:lang w:val="en-US" w:eastAsia="en-US" w:bidi="ar-SA"/>
        </w:rPr>
        <w:t xml:space="preserve">, </w:t>
      </w:r>
      <w:hyperlink r:id="rId513" w:history="1">
        <w:r>
          <w:rPr>
            <w:rFonts w:ascii="arial" w:eastAsia="arial" w:hAnsi="arial" w:cs="arial"/>
            <w:i/>
            <w:color w:val="0077CC"/>
            <w:sz w:val="20"/>
            <w:u w:val="single"/>
            <w:shd w:val="clear" w:color="auto" w:fill="FFFFFF"/>
            <w:lang w:val="en-US" w:eastAsia="en-US" w:bidi="ar-SA"/>
          </w:rPr>
          <w:t>2005 BCCA 56</w:t>
        </w:r>
      </w:hyperlink>
      <w:r>
        <w:rPr>
          <w:rFonts w:ascii="arial" w:eastAsia="arial" w:hAnsi="arial" w:cs="arial"/>
          <w:color w:val="000000"/>
          <w:sz w:val="20"/>
          <w:lang w:val="en-US" w:eastAsia="en-US" w:bidi="ar-SA"/>
        </w:rPr>
        <w:t xml:space="preserve"> at 25. The process is one of assessment and is not amenable to mathematical precision: </w:t>
      </w:r>
      <w:r>
        <w:rPr>
          <w:rFonts w:ascii="arial" w:eastAsia="arial" w:hAnsi="arial" w:cs="arial"/>
          <w:i/>
          <w:color w:val="000000"/>
          <w:sz w:val="20"/>
          <w:lang w:val="en-US" w:eastAsia="en-US" w:bidi="ar-SA"/>
        </w:rPr>
        <w:t>Drodge v. Kozak</w:t>
      </w:r>
      <w:r>
        <w:rPr>
          <w:rFonts w:ascii="arial" w:eastAsia="arial" w:hAnsi="arial" w:cs="arial"/>
          <w:color w:val="000000"/>
          <w:sz w:val="20"/>
          <w:lang w:val="en-US" w:eastAsia="en-US" w:bidi="ar-SA"/>
        </w:rPr>
        <w:t xml:space="preserve">, </w:t>
      </w:r>
      <w:hyperlink r:id="rId873" w:history="1">
        <w:r>
          <w:rPr>
            <w:rFonts w:ascii="arial" w:eastAsia="arial" w:hAnsi="arial" w:cs="arial"/>
            <w:i/>
            <w:color w:val="0077CC"/>
            <w:sz w:val="20"/>
            <w:u w:val="single"/>
            <w:shd w:val="clear" w:color="auto" w:fill="FFFFFF"/>
            <w:lang w:val="en-US" w:eastAsia="en-US" w:bidi="ar-SA"/>
          </w:rPr>
          <w:t>2011 BCSC 1316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Trites v. Penner</w:t>
      </w:r>
      <w:r>
        <w:rPr>
          <w:rFonts w:ascii="arial" w:eastAsia="arial" w:hAnsi="arial" w:cs="arial"/>
          <w:color w:val="000000"/>
          <w:sz w:val="20"/>
          <w:lang w:val="en-US" w:eastAsia="en-US" w:bidi="ar-SA"/>
        </w:rPr>
        <w:t xml:space="preserve">, </w:t>
      </w:r>
      <w:hyperlink r:id="rId511" w:history="1">
        <w:r>
          <w:rPr>
            <w:rFonts w:ascii="arial" w:eastAsia="arial" w:hAnsi="arial" w:cs="arial"/>
            <w:i/>
            <w:color w:val="0077CC"/>
            <w:sz w:val="20"/>
            <w:u w:val="single"/>
            <w:shd w:val="clear" w:color="auto" w:fill="FFFFFF"/>
            <w:lang w:val="en-US" w:eastAsia="en-US" w:bidi="ar-SA"/>
          </w:rPr>
          <w:t>2010 BCSC 882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Lindal</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512"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at para. 46, Kirkpatrick J.A. set out a non-exhaustive list of factors to be considered in awarding damages under this head. They include: the plaintiff's age; the nature of the injury; the severity and duration of the pain; disability; emotional suffering; loss or impairment of life; impairment of family, marital and social relationships; impairment of physical and mental abilities; loss of lifestyle; and the plaintiff's stoicism.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I do not propose to reiterate my summation of the nature and progression of Ms. Munoz's symptoms caused by the accidents and their adverse impact on her life. Suffice it to say that, among other deficits, the accidents have left Ms. Munoz with a lumbar disc bulge which has expanded and is impinging on her L5 nerve root and causing her intermittent symptoms and neurogenic pain in her lower extremities. Her degenerative lumbar disc desiccation/spondylosis is a permanent condition and is compounded by her symptoms of nerve compression/irritation.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Ms. Munoz was in her early 30s at the time of trial. For several years now, she has encountered a constellation of injuries, the most enduring and problematic of which has been her low back pain and, to a lesser degree, the symptoms radiating into her lower extremities. Although her condition has improved, she is susceptible to episodic flares of her symptoms which may persist for weeks at a time merely as the result of performing commonplace tasks, manoeuvres and physical postures, including her work duties, household chores and lifting her child. She has variously suffered from and continues to experience soft tissue pain, discogenic pain and neurogenic pain, all stemming from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Ms. Munoz's injuries have imposed functional limitations on her at work and in her leisure time. The ill-effects of the accidents have severely curtailed her ability to engage in the fitness activities she enjoyed before the First Accident. They have also made it difficult for her to pursue or fully partake in camping and other recreational activities that she did before the First Accident. In saying this, I acknowledge that after the accidents Ms. Munoz has continued to socialize periodically with Ms. Theovanna and their core group of friends, and has arranged, and sometimes hosts, those get-togethers.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Also of significance for this young woman is that her injuries have interfered with her intimate relationship with her husband. They have also negatively affected the quality and enjoyment of the time she has spent with her daughter since infancy. Understandably in the circumstances, her mood has flattened.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Although Ms. Munoz's symptoms wax and wane, they nonetheless persist and still fatigue and restrict her. Ms. Theovanna noticed the lack of energy in her old friend and said that Ms. Munoz "seemed more alive" before the accidents than afterward. I accept that is the case and conclude that the after-effects of the accidents are to blame for the unwelcome change.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As I have noted in past cases, enduring pain, even when it is intermittent and its intensity fluctuates, takes a toll on everyday living and casts a pall over the pleasures of life. The medical evidence indicates that Ms. Munoz will be prone to periods of aggravation of her pain and other symptoms for years to come and likely indefinitely. Trying to cope with the pain, even during the times that it seems to be under control, has become part of her everyday life and is frequently a struggle.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While the progression of Ms. Munoz's lumbar spine condition has not proved to be as bleak a picture as initially painted by Dr. Tarazi, her lumbar disc bulge has grown and continues to be aggravated by activities of work and life. The prospect of discectomy surgery cannot be ruled out. The brighter prognosis offered by Dr. Werry was fastened to his conclusion that Ms. Munoz was not experiencing symptoms suggestive of nerve root compression/irritation, however, I have found otherwise.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I have reviewed all of the cases placed before me by counsel and do not propose to review them in any detail as they provide general guidelines only. Having considered the evidence and the case authorities, in my opinion a fair and reasonable award for Ms. Munoz's non-pecuniary damages is $70,000.</w:t>
      </w:r>
      <w:r>
        <w:rPr>
          <w:rFonts w:ascii="arial" w:eastAsia="arial" w:hAnsi="arial" w:cs="arial"/>
          <w:sz w:val="20"/>
          <w:lang w:val="en-US" w:eastAsia="en-US" w:bidi="ar-SA"/>
        </w:rPr>
        <w:cr/>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xml:space="preserve">  The legal framework that informs an award for loss of earning capacity was helpfully summarized by Dardi J. in </w:t>
      </w:r>
      <w:r>
        <w:rPr>
          <w:rFonts w:ascii="arial" w:eastAsia="arial" w:hAnsi="arial" w:cs="arial"/>
          <w:i/>
          <w:color w:val="000000"/>
          <w:sz w:val="20"/>
          <w:lang w:val="en-US" w:eastAsia="en-US" w:bidi="ar-SA"/>
        </w:rPr>
        <w:t>Midgley</w:t>
      </w:r>
      <w:r>
        <w:rPr>
          <w:rFonts w:ascii="arial" w:eastAsia="arial" w:hAnsi="arial" w:cs="arial"/>
          <w:color w:val="000000"/>
          <w:sz w:val="20"/>
          <w:lang w:val="en-US" w:eastAsia="en-US" w:bidi="ar-SA"/>
        </w:rPr>
        <w:t xml:space="preserve"> at paras. 236-240: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recent jurisprudence of the Court of Appeal has affirmed that the plaintiff must demonstrate both an impairment to his or her earning capacity and that there is a real and substantial possibility that the diminishment in earning capacity will result in a pecuniary loss. If the plaintiff discharges that requirement, he or she may prove the quantification of that loss of earning capacity either on an earnings approach or a "capital asset" approach: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536"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at para. 32. Regardless of the approach, the court must endeavour to quantify the financial harm accruing to the plaintiff over the course of his or her working career: </w:t>
      </w:r>
      <w:r>
        <w:rPr>
          <w:rFonts w:ascii="arial" w:eastAsia="arial" w:hAnsi="arial" w:cs="arial"/>
          <w:i/>
          <w:color w:val="000000"/>
          <w:sz w:val="20"/>
          <w:lang w:val="en-US" w:eastAsia="en-US" w:bidi="ar-SA"/>
        </w:rPr>
        <w:t>Pett v. Pett</w:t>
      </w:r>
      <w:r>
        <w:rPr>
          <w:rFonts w:ascii="arial" w:eastAsia="arial" w:hAnsi="arial" w:cs="arial"/>
          <w:color w:val="000000"/>
          <w:sz w:val="20"/>
          <w:lang w:val="en-US" w:eastAsia="en-US" w:bidi="ar-SA"/>
        </w:rPr>
        <w:t xml:space="preserve">, </w:t>
      </w:r>
      <w:hyperlink r:id="rId635" w:history="1">
        <w:r>
          <w:rPr>
            <w:rFonts w:ascii="arial" w:eastAsia="arial" w:hAnsi="arial" w:cs="arial"/>
            <w:i/>
            <w:color w:val="0077CC"/>
            <w:sz w:val="20"/>
            <w:u w:val="single"/>
            <w:shd w:val="clear" w:color="auto" w:fill="FFFFFF"/>
            <w:lang w:val="en-US" w:eastAsia="en-US" w:bidi="ar-SA"/>
          </w:rPr>
          <w:t>2009 BCCA 232</w:t>
        </w:r>
      </w:hyperlink>
      <w:r>
        <w:rPr>
          <w:rFonts w:ascii="arial" w:eastAsia="arial" w:hAnsi="arial" w:cs="arial"/>
          <w:color w:val="000000"/>
          <w:sz w:val="20"/>
          <w:lang w:val="en-US" w:eastAsia="en-US" w:bidi="ar-SA"/>
        </w:rPr>
        <w:t xml:space="preserve"> at para. 19; </w:t>
      </w:r>
      <w:r>
        <w:rPr>
          <w:rFonts w:ascii="arial" w:eastAsia="arial" w:hAnsi="arial" w:cs="arial"/>
          <w:i/>
          <w:color w:val="000000"/>
          <w:sz w:val="20"/>
          <w:lang w:val="en-US" w:eastAsia="en-US" w:bidi="ar-SA"/>
        </w:rPr>
        <w:t>X. v. Y</w:t>
      </w:r>
      <w:r>
        <w:rPr>
          <w:rFonts w:ascii="arial" w:eastAsia="arial" w:hAnsi="arial" w:cs="arial"/>
          <w:color w:val="000000"/>
          <w:sz w:val="20"/>
          <w:lang w:val="en-US" w:eastAsia="en-US" w:bidi="ar-SA"/>
        </w:rPr>
        <w:t xml:space="preserve">., </w:t>
      </w:r>
      <w:hyperlink r:id="rId541" w:history="1">
        <w:r>
          <w:rPr>
            <w:rFonts w:ascii="arial" w:eastAsia="arial" w:hAnsi="arial" w:cs="arial"/>
            <w:i/>
            <w:color w:val="0077CC"/>
            <w:sz w:val="20"/>
            <w:u w:val="single"/>
            <w:shd w:val="clear" w:color="auto" w:fill="FFFFFF"/>
            <w:lang w:val="en-US" w:eastAsia="en-US" w:bidi="ar-SA"/>
          </w:rPr>
          <w:t>[2011] B.C.J. No. 1378</w:t>
        </w:r>
      </w:hyperlink>
      <w:r>
        <w:rPr>
          <w:rFonts w:ascii="arial" w:eastAsia="arial" w:hAnsi="arial" w:cs="arial"/>
          <w:color w:val="000000"/>
          <w:sz w:val="20"/>
          <w:lang w:val="en-US" w:eastAsia="en-US" w:bidi="ar-SA"/>
        </w:rPr>
        <w:t>, at para. 183.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enumerated by the court in </w:t>
      </w:r>
      <w:r>
        <w:rPr>
          <w:rFonts w:ascii="arial" w:eastAsia="arial" w:hAnsi="arial" w:cs="arial"/>
          <w:i/>
          <w:color w:val="000000"/>
          <w:sz w:val="20"/>
          <w:lang w:val="en-US" w:eastAsia="en-US" w:bidi="ar-SA"/>
        </w:rPr>
        <w:t>Falati v. Smith</w:t>
      </w:r>
      <w:r>
        <w:rPr>
          <w:rFonts w:ascii="arial" w:eastAsia="arial" w:hAnsi="arial" w:cs="arial"/>
          <w:color w:val="000000"/>
          <w:sz w:val="20"/>
          <w:lang w:val="en-US" w:eastAsia="en-US" w:bidi="ar-SA"/>
        </w:rPr>
        <w:t xml:space="preserve">, </w:t>
      </w:r>
      <w:hyperlink r:id="rId633" w:history="1">
        <w:r>
          <w:rPr>
            <w:rFonts w:ascii="arial" w:eastAsia="arial" w:hAnsi="arial" w:cs="arial"/>
            <w:i/>
            <w:color w:val="0077CC"/>
            <w:sz w:val="20"/>
            <w:u w:val="single"/>
            <w:shd w:val="clear" w:color="auto" w:fill="FFFFFF"/>
            <w:lang w:val="en-US" w:eastAsia="en-US" w:bidi="ar-SA"/>
          </w:rPr>
          <w:t>2010 BCSC 465</w:t>
        </w:r>
      </w:hyperlink>
      <w:r>
        <w:rPr>
          <w:rFonts w:ascii="arial" w:eastAsia="arial" w:hAnsi="arial" w:cs="arial"/>
          <w:color w:val="000000"/>
          <w:sz w:val="20"/>
          <w:lang w:val="en-US" w:eastAsia="en-US" w:bidi="ar-SA"/>
        </w:rPr>
        <w:t xml:space="preserve"> at para. 41, aff'd </w:t>
      </w:r>
      <w:hyperlink r:id="rId634" w:history="1">
        <w:r>
          <w:rPr>
            <w:rFonts w:ascii="arial" w:eastAsia="arial" w:hAnsi="arial" w:cs="arial"/>
            <w:i/>
            <w:color w:val="0077CC"/>
            <w:sz w:val="20"/>
            <w:u w:val="single"/>
            <w:shd w:val="clear" w:color="auto" w:fill="FFFFFF"/>
            <w:lang w:val="en-US" w:eastAsia="en-US" w:bidi="ar-SA"/>
          </w:rPr>
          <w:t>2011 BCCA 45</w:t>
        </w:r>
      </w:hyperlink>
      <w:r>
        <w:rPr>
          <w:rFonts w:ascii="arial" w:eastAsia="arial" w:hAnsi="arial" w:cs="arial"/>
          <w:color w:val="000000"/>
          <w:sz w:val="20"/>
          <w:lang w:val="en-US" w:eastAsia="en-US" w:bidi="ar-SA"/>
        </w:rPr>
        <w:t>, the principles which inform the assessment of loss of earning capacity include the following:</w:t>
      </w:r>
    </w:p>
    <w:p>
      <w:pPr>
        <w:numPr>
          <w:numId w:val="2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standard of proof in relation to hypothetical or future events is simple probability, not the balance of probabilities: </w:t>
      </w:r>
      <w:r>
        <w:rPr>
          <w:rFonts w:ascii="arial" w:eastAsia="arial" w:hAnsi="arial" w:cs="arial"/>
          <w:i/>
          <w:color w:val="000000"/>
          <w:sz w:val="20"/>
          <w:lang w:val="en-US" w:eastAsia="en-US" w:bidi="ar-SA"/>
        </w:rPr>
        <w:t>Reilly v. Lynn</w:t>
      </w:r>
      <w:r>
        <w:rPr>
          <w:rFonts w:ascii="arial" w:eastAsia="arial" w:hAnsi="arial" w:cs="arial"/>
          <w:color w:val="000000"/>
          <w:sz w:val="20"/>
          <w:lang w:val="en-US" w:eastAsia="en-US" w:bidi="ar-SA"/>
        </w:rPr>
        <w:t xml:space="preserve">, </w:t>
      </w:r>
      <w:hyperlink r:id="rId710" w:history="1">
        <w:r>
          <w:rPr>
            <w:rFonts w:ascii="arial" w:eastAsia="arial" w:hAnsi="arial" w:cs="arial"/>
            <w:i/>
            <w:color w:val="0077CC"/>
            <w:sz w:val="20"/>
            <w:u w:val="single"/>
            <w:shd w:val="clear" w:color="auto" w:fill="FFFFFF"/>
            <w:lang w:val="en-US" w:eastAsia="en-US" w:bidi="ar-SA"/>
          </w:rPr>
          <w:t>2003 BCCA 49</w:t>
        </w:r>
      </w:hyperlink>
      <w:r>
        <w:rPr>
          <w:rFonts w:ascii="arial" w:eastAsia="arial" w:hAnsi="arial" w:cs="arial"/>
          <w:color w:val="000000"/>
          <w:sz w:val="20"/>
          <w:lang w:val="en-US" w:eastAsia="en-US" w:bidi="ar-SA"/>
        </w:rPr>
        <w:t xml:space="preserve"> at para. 101. Hypothetical events are to be given weight according to their relative likelihood: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27.</w:t>
      </w:r>
    </w:p>
    <w:p>
      <w:pPr>
        <w:numPr>
          <w:numId w:val="24"/>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court must make allowances for the possibility that the assumptions upon which an award is based may prove to be wrong: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539"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at 79 (S.C.), aff'd </w:t>
      </w:r>
      <w:hyperlink r:id="rId636" w:history="1">
        <w:r>
          <w:rPr>
            <w:rFonts w:ascii="arial" w:eastAsia="arial" w:hAnsi="arial" w:cs="arial"/>
            <w:i/>
            <w:color w:val="0077CC"/>
            <w:sz w:val="20"/>
            <w:u w:val="single"/>
            <w:shd w:val="clear" w:color="auto" w:fill="FFFFFF"/>
            <w:lang w:val="en-US" w:eastAsia="en-US" w:bidi="ar-SA"/>
          </w:rPr>
          <w:t>(1987), 49 B.C.L.R. (2d) 99</w:t>
        </w:r>
      </w:hyperlink>
      <w:r>
        <w:rPr>
          <w:rFonts w:ascii="arial" w:eastAsia="arial" w:hAnsi="arial" w:cs="arial"/>
          <w:color w:val="000000"/>
          <w:sz w:val="20"/>
          <w:lang w:val="en-US" w:eastAsia="en-US" w:bidi="ar-SA"/>
        </w:rPr>
        <w:t xml:space="preserve"> (C.A.). Evidence which supports a contingency must show a "realistic as opposed to a speculative possibility": </w:t>
      </w:r>
      <w:r>
        <w:rPr>
          <w:rFonts w:ascii="arial" w:eastAsia="arial" w:hAnsi="arial" w:cs="arial"/>
          <w:i/>
          <w:color w:val="000000"/>
          <w:sz w:val="20"/>
          <w:lang w:val="en-US" w:eastAsia="en-US" w:bidi="ar-SA"/>
        </w:rPr>
        <w:t>Graham v. Rourke</w:t>
      </w:r>
      <w:r>
        <w:rPr>
          <w:rFonts w:ascii="arial" w:eastAsia="arial" w:hAnsi="arial" w:cs="arial"/>
          <w:color w:val="000000"/>
          <w:sz w:val="20"/>
          <w:lang w:val="en-US" w:eastAsia="en-US" w:bidi="ar-SA"/>
        </w:rPr>
        <w:t xml:space="preserve"> </w:t>
      </w:r>
      <w:hyperlink r:id="rId874" w:history="1">
        <w:r>
          <w:rPr>
            <w:rFonts w:ascii="arial" w:eastAsia="arial" w:hAnsi="arial" w:cs="arial"/>
            <w:i/>
            <w:color w:val="0077CC"/>
            <w:sz w:val="20"/>
            <w:u w:val="single"/>
            <w:shd w:val="clear" w:color="auto" w:fill="FFFFFF"/>
            <w:lang w:val="en-US" w:eastAsia="en-US" w:bidi="ar-SA"/>
          </w:rPr>
          <w:t>(1990), 75 O.R. (2d) 622</w:t>
        </w:r>
      </w:hyperlink>
      <w:r>
        <w:rPr>
          <w:rFonts w:ascii="arial" w:eastAsia="arial" w:hAnsi="arial" w:cs="arial"/>
          <w:color w:val="000000"/>
          <w:sz w:val="20"/>
          <w:lang w:val="en-US" w:eastAsia="en-US" w:bidi="ar-SA"/>
        </w:rPr>
        <w:t xml:space="preserve"> at 636 (C.A.).</w:t>
      </w:r>
    </w:p>
    <w:p>
      <w:pPr>
        <w:numPr>
          <w:numId w:val="25"/>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court must assess damages for loss of earning capacity, rather than calculating those damages with mathematical precision: </w:t>
      </w:r>
      <w:r>
        <w:rPr>
          <w:rFonts w:ascii="arial" w:eastAsia="arial" w:hAnsi="arial" w:cs="arial"/>
          <w:i/>
          <w:color w:val="000000"/>
          <w:sz w:val="20"/>
          <w:lang w:val="en-US" w:eastAsia="en-US" w:bidi="ar-SA"/>
        </w:rPr>
        <w:t>Mulholland (Guardian ad litem of) v. Riley Estate</w:t>
      </w:r>
      <w:r>
        <w:rPr>
          <w:rFonts w:ascii="arial" w:eastAsia="arial" w:hAnsi="arial" w:cs="arial"/>
          <w:color w:val="000000"/>
          <w:sz w:val="20"/>
          <w:lang w:val="en-US" w:eastAsia="en-US" w:bidi="ar-SA"/>
        </w:rPr>
        <w:t xml:space="preserve"> </w:t>
      </w:r>
      <w:hyperlink r:id="rId534" w:history="1">
        <w:r>
          <w:rPr>
            <w:rFonts w:ascii="arial" w:eastAsia="arial" w:hAnsi="arial" w:cs="arial"/>
            <w:i/>
            <w:color w:val="0077CC"/>
            <w:sz w:val="20"/>
            <w:u w:val="single"/>
            <w:shd w:val="clear" w:color="auto" w:fill="FFFFFF"/>
            <w:lang w:val="en-US" w:eastAsia="en-US" w:bidi="ar-SA"/>
          </w:rPr>
          <w:t>(1995), 12 B.C.L.R. (3d) 248</w:t>
        </w:r>
      </w:hyperlink>
      <w:r>
        <w:rPr>
          <w:rFonts w:ascii="arial" w:eastAsia="arial" w:hAnsi="arial" w:cs="arial"/>
          <w:color w:val="000000"/>
          <w:sz w:val="20"/>
          <w:lang w:val="en-US" w:eastAsia="en-US" w:bidi="ar-SA"/>
        </w:rPr>
        <w:t xml:space="preserve"> at para. 43. The assessment is based on the evidence, taking into account all positive and negative contingencies. The overall fairness and reasonableness of the award must be considered: </w:t>
      </w: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529"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at para. 11.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Although a claim for "past loss of income" is often characterized as a separate head of damages, it is properly characterized as a component of loss of earning capacity: </w:t>
      </w:r>
      <w:r>
        <w:rPr>
          <w:rFonts w:ascii="arial" w:eastAsia="arial" w:hAnsi="arial" w:cs="arial"/>
          <w:i/>
          <w:color w:val="000000"/>
          <w:sz w:val="20"/>
          <w:lang w:val="en-US" w:eastAsia="en-US" w:bidi="ar-SA"/>
        </w:rPr>
        <w:t>Falati</w:t>
      </w:r>
      <w:r>
        <w:rPr>
          <w:rFonts w:ascii="arial" w:eastAsia="arial" w:hAnsi="arial" w:cs="arial"/>
          <w:color w:val="000000"/>
          <w:sz w:val="20"/>
          <w:lang w:val="en-US" w:eastAsia="en-US" w:bidi="ar-SA"/>
        </w:rPr>
        <w:t xml:space="preserve"> at para. 39. It is compensation for the impairment to the plaintiff's past earning capacity that was occasioned by his or her injuries: </w:t>
      </w:r>
      <w:r>
        <w:rPr>
          <w:rFonts w:ascii="arial" w:eastAsia="arial" w:hAnsi="arial" w:cs="arial"/>
          <w:i/>
          <w:color w:val="000000"/>
          <w:sz w:val="20"/>
          <w:lang w:val="en-US" w:eastAsia="en-US" w:bidi="ar-SA"/>
        </w:rPr>
        <w:t>Rowe v. Bobell Express Ltd.</w:t>
      </w:r>
      <w:r>
        <w:rPr>
          <w:rFonts w:ascii="arial" w:eastAsia="arial" w:hAnsi="arial" w:cs="arial"/>
          <w:color w:val="000000"/>
          <w:sz w:val="20"/>
          <w:lang w:val="en-US" w:eastAsia="en-US" w:bidi="ar-SA"/>
        </w:rPr>
        <w:t xml:space="preserve">, </w:t>
      </w:r>
      <w:hyperlink r:id="rId524" w:history="1">
        <w:r>
          <w:rPr>
            <w:rFonts w:ascii="arial" w:eastAsia="arial" w:hAnsi="arial" w:cs="arial"/>
            <w:i/>
            <w:color w:val="0077CC"/>
            <w:sz w:val="20"/>
            <w:u w:val="single"/>
            <w:shd w:val="clear" w:color="auto" w:fill="FFFFFF"/>
            <w:lang w:val="en-US" w:eastAsia="en-US" w:bidi="ar-SA"/>
          </w:rPr>
          <w:t>2005 BCCA 141</w:t>
        </w:r>
      </w:hyperlink>
      <w:r>
        <w:rPr>
          <w:rFonts w:ascii="arial" w:eastAsia="arial" w:hAnsi="arial" w:cs="arial"/>
          <w:color w:val="000000"/>
          <w:sz w:val="20"/>
          <w:lang w:val="en-US" w:eastAsia="en-US" w:bidi="ar-SA"/>
        </w:rPr>
        <w:t xml:space="preserve"> at para. 30; </w:t>
      </w:r>
      <w:r>
        <w:rPr>
          <w:rFonts w:ascii="arial" w:eastAsia="arial" w:hAnsi="arial" w:cs="arial"/>
          <w:i/>
          <w:color w:val="000000"/>
          <w:sz w:val="20"/>
          <w:lang w:val="en-US" w:eastAsia="en-US" w:bidi="ar-SA"/>
        </w:rPr>
        <w:t>Bradley</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v. Bath</w:t>
      </w:r>
      <w:r>
        <w:rPr>
          <w:rFonts w:ascii="arial" w:eastAsia="arial" w:hAnsi="arial" w:cs="arial"/>
          <w:color w:val="000000"/>
          <w:sz w:val="20"/>
          <w:lang w:val="en-US" w:eastAsia="en-US" w:bidi="ar-SA"/>
        </w:rPr>
        <w:t xml:space="preserve">, </w:t>
      </w:r>
      <w:hyperlink r:id="rId875" w:history="1">
        <w:r>
          <w:rPr>
            <w:rFonts w:ascii="arial" w:eastAsia="arial" w:hAnsi="arial" w:cs="arial"/>
            <w:i/>
            <w:color w:val="0077CC"/>
            <w:sz w:val="20"/>
            <w:u w:val="single"/>
            <w:shd w:val="clear" w:color="auto" w:fill="FFFFFF"/>
            <w:lang w:val="en-US" w:eastAsia="en-US" w:bidi="ar-SA"/>
          </w:rPr>
          <w:t>2010 BCCA 10</w:t>
        </w:r>
      </w:hyperlink>
      <w:r>
        <w:rPr>
          <w:rFonts w:ascii="arial" w:eastAsia="arial" w:hAnsi="arial" w:cs="arial"/>
          <w:color w:val="000000"/>
          <w:sz w:val="20"/>
          <w:lang w:val="en-US" w:eastAsia="en-US" w:bidi="ar-SA"/>
        </w:rPr>
        <w:t xml:space="preserve"> at paras. 31-32; </w:t>
      </w:r>
      <w:r>
        <w:rPr>
          <w:rFonts w:ascii="arial" w:eastAsia="arial" w:hAnsi="arial" w:cs="arial"/>
          <w:i/>
          <w:color w:val="000000"/>
          <w:sz w:val="20"/>
          <w:lang w:val="en-US" w:eastAsia="en-US" w:bidi="ar-SA"/>
        </w:rPr>
        <w:t>X. v. Y</w:t>
      </w:r>
      <w:r>
        <w:rPr>
          <w:rFonts w:ascii="arial" w:eastAsia="arial" w:hAnsi="arial" w:cs="arial"/>
          <w:color w:val="000000"/>
          <w:sz w:val="20"/>
          <w:lang w:val="en-US" w:eastAsia="en-US" w:bidi="ar-SA"/>
        </w:rPr>
        <w:t xml:space="preserve"> at para. 185.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While the burden of proof relating to actual past events is a balance of probabilities, a past hypothetical event will be considered as long as it was a real and substantial possibility and not mere speculation: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27.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court in </w:t>
      </w:r>
      <w:r>
        <w:rPr>
          <w:rFonts w:ascii="arial" w:eastAsia="arial" w:hAnsi="arial" w:cs="arial"/>
          <w:i/>
          <w:color w:val="000000"/>
          <w:sz w:val="20"/>
          <w:lang w:val="en-US" w:eastAsia="en-US" w:bidi="ar-SA"/>
        </w:rPr>
        <w:t>Falati</w:t>
      </w:r>
      <w:r>
        <w:rPr>
          <w:rFonts w:ascii="arial" w:eastAsia="arial" w:hAnsi="arial" w:cs="arial"/>
          <w:color w:val="000000"/>
          <w:sz w:val="20"/>
          <w:lang w:val="en-US" w:eastAsia="en-US" w:bidi="ar-SA"/>
        </w:rPr>
        <w:t xml:space="preserve"> at para. 40 summarized the pertinent legal principles governing the assessment of post-accident, pre-trial loss of earning capacity and concluded that: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[40] ... the determination of a plaintiff's prospective post-accident, pre-trial losses can involve considering many of the same contingencies as govern the assessment of a loss of future earning capacity. ... As stated by Rowles J.A. in </w:t>
      </w:r>
      <w:r>
        <w:rPr>
          <w:rFonts w:ascii="arial" w:eastAsia="arial" w:hAnsi="arial" w:cs="arial"/>
          <w:i/>
          <w:color w:val="000000"/>
          <w:sz w:val="20"/>
          <w:lang w:val="en-US" w:eastAsia="en-US" w:bidi="ar-SA"/>
        </w:rPr>
        <w:t>Smith v. Knudsen</w:t>
      </w:r>
      <w:r>
        <w:rPr>
          <w:rFonts w:ascii="arial" w:eastAsia="arial" w:hAnsi="arial" w:cs="arial"/>
          <w:color w:val="000000"/>
          <w:sz w:val="20"/>
          <w:lang w:val="en-US" w:eastAsia="en-US" w:bidi="ar-SA"/>
        </w:rPr>
        <w:t xml:space="preserve">, </w:t>
      </w:r>
      <w:hyperlink r:id="rId528" w:history="1">
        <w:r>
          <w:rPr>
            <w:rFonts w:ascii="arial" w:eastAsia="arial" w:hAnsi="arial" w:cs="arial"/>
            <w:i/>
            <w:color w:val="0077CC"/>
            <w:sz w:val="20"/>
            <w:u w:val="single"/>
            <w:shd w:val="clear" w:color="auto" w:fill="FFFFFF"/>
            <w:lang w:val="en-US" w:eastAsia="en-US" w:bidi="ar-SA"/>
          </w:rPr>
          <w:t>2004 BCCA 613</w:t>
        </w:r>
      </w:hyperlink>
      <w:r>
        <w:rPr>
          <w:rFonts w:ascii="arial" w:eastAsia="arial" w:hAnsi="arial" w:cs="arial"/>
          <w:color w:val="000000"/>
          <w:sz w:val="20"/>
          <w:lang w:val="en-US" w:eastAsia="en-US" w:bidi="ar-SA"/>
        </w:rPr>
        <w:t>, at para. 29,</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"What would have happened in the past but for the injury is no more 'knowable' than what will happen in the future and therefore it is appropriate to assess the likelihood of hypothetical and future events rather than applying the balance of probabilities test that is applied with respect to past actual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xml:space="preserve">  The law has long recognized that unknown contingencies and uncertain factors make it impossible to calculate lost opportunities and a loss of earning capacity with any precision: </w:t>
      </w:r>
      <w:r>
        <w:rPr>
          <w:rFonts w:ascii="arial" w:eastAsia="arial" w:hAnsi="arial" w:cs="arial"/>
          <w:i/>
          <w:color w:val="000000"/>
          <w:sz w:val="20"/>
          <w:lang w:val="en-US" w:eastAsia="en-US" w:bidi="ar-SA"/>
        </w:rPr>
        <w:t>Erickson v. Sibble</w:t>
      </w:r>
      <w:r>
        <w:rPr>
          <w:rFonts w:ascii="arial" w:eastAsia="arial" w:hAnsi="arial" w:cs="arial"/>
          <w:color w:val="000000"/>
          <w:sz w:val="20"/>
          <w:lang w:val="en-US" w:eastAsia="en-US" w:bidi="ar-SA"/>
        </w:rPr>
        <w:t xml:space="preserve">, </w:t>
      </w:r>
      <w:hyperlink r:id="rId876" w:history="1">
        <w:r>
          <w:rPr>
            <w:rFonts w:ascii="arial" w:eastAsia="arial" w:hAnsi="arial" w:cs="arial"/>
            <w:i/>
            <w:color w:val="0077CC"/>
            <w:sz w:val="20"/>
            <w:u w:val="single"/>
            <w:shd w:val="clear" w:color="auto" w:fill="FFFFFF"/>
            <w:lang w:val="en-US" w:eastAsia="en-US" w:bidi="ar-SA"/>
          </w:rPr>
          <w:t>2012 BCSC 1880</w:t>
        </w:r>
      </w:hyperlink>
      <w:r>
        <w:rPr>
          <w:rFonts w:ascii="arial" w:eastAsia="arial" w:hAnsi="arial" w:cs="arial"/>
          <w:color w:val="000000"/>
          <w:sz w:val="20"/>
          <w:lang w:val="en-US" w:eastAsia="en-US" w:bidi="ar-SA"/>
        </w:rPr>
        <w:t xml:space="preserve">, at para. 271. It is because the occurrence of hypothetical and future events is unknown that allowances must be made for relevant and realistic positive and negative contingencies. Quantification is an assessment process meant to reflect the applicable positive and negative contingencies. It is not a mathematical calculation and there is no particular formula or methodology to be employed: </w:t>
      </w: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529"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Rosvold</w:t>
      </w:r>
      <w:r>
        <w:rPr>
          <w:rFonts w:ascii="arial" w:eastAsia="arial" w:hAnsi="arial" w:cs="arial"/>
          <w:color w:val="000000"/>
          <w:sz w:val="20"/>
          <w:lang w:val="en-US" w:eastAsia="en-US" w:bidi="ar-SA"/>
        </w:rPr>
        <w:t xml:space="preserve">] at para. 8; </w:t>
      </w:r>
      <w:r>
        <w:rPr>
          <w:rFonts w:ascii="arial" w:eastAsia="arial" w:hAnsi="arial" w:cs="arial"/>
          <w:i/>
          <w:color w:val="000000"/>
          <w:sz w:val="20"/>
          <w:lang w:val="en-US" w:eastAsia="en-US" w:bidi="ar-SA"/>
        </w:rPr>
        <w:t>Jurczak v. Mauro</w:t>
      </w:r>
      <w:r>
        <w:rPr>
          <w:rFonts w:ascii="arial" w:eastAsia="arial" w:hAnsi="arial" w:cs="arial"/>
          <w:color w:val="000000"/>
          <w:sz w:val="20"/>
          <w:lang w:val="en-US" w:eastAsia="en-US" w:bidi="ar-SA"/>
        </w:rPr>
        <w:t xml:space="preserve">, </w:t>
      </w:r>
      <w:hyperlink r:id="rId877" w:history="1">
        <w:r>
          <w:rPr>
            <w:rFonts w:ascii="arial" w:eastAsia="arial" w:hAnsi="arial" w:cs="arial"/>
            <w:i/>
            <w:color w:val="0077CC"/>
            <w:sz w:val="20"/>
            <w:u w:val="single"/>
            <w:shd w:val="clear" w:color="auto" w:fill="FFFFFF"/>
            <w:lang w:val="en-US" w:eastAsia="en-US" w:bidi="ar-SA"/>
          </w:rPr>
          <w:t>2013 BCCA 507</w:t>
        </w:r>
      </w:hyperlink>
      <w:r>
        <w:rPr>
          <w:rFonts w:ascii="arial" w:eastAsia="arial" w:hAnsi="arial" w:cs="arial"/>
          <w:color w:val="000000"/>
          <w:sz w:val="20"/>
          <w:lang w:val="en-US" w:eastAsia="en-US" w:bidi="ar-SA"/>
        </w:rPr>
        <w:t xml:space="preserve"> at para. 36.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xml:space="preserve">  The cases make clear that in advancing a future loss claim, the plaintiff must prove a real or substantial possibility of future loss, as opposed to a theoretical loss. In other words, the award cannot be based on speculation: </w:t>
      </w:r>
      <w:r>
        <w:rPr>
          <w:rFonts w:ascii="arial" w:eastAsia="arial" w:hAnsi="arial" w:cs="arial"/>
          <w:i/>
          <w:color w:val="000000"/>
          <w:sz w:val="20"/>
          <w:lang w:val="en-US" w:eastAsia="en-US" w:bidi="ar-SA"/>
        </w:rPr>
        <w:t>Rosvold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536"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w:t>
      </w:r>
      <w:hyperlink r:id="rId536" w:history="1">
        <w:r>
          <w:rPr>
            <w:rFonts w:ascii="arial" w:eastAsia="arial" w:hAnsi="arial" w:cs="arial"/>
            <w:i/>
            <w:color w:val="0077CC"/>
            <w:sz w:val="20"/>
            <w:u w:val="single"/>
            <w:shd w:val="clear" w:color="auto" w:fill="FFFFFF"/>
            <w:lang w:val="en-US" w:eastAsia="en-US" w:bidi="ar-SA"/>
          </w:rPr>
          <w:t>3 B.C.L.R. (5th) 303</w:t>
        </w:r>
      </w:hyperlink>
      <w:r>
        <w:rPr>
          <w:rFonts w:ascii="arial" w:eastAsia="arial" w:hAnsi="arial" w:cs="arial"/>
          <w:color w:val="000000"/>
          <w:sz w:val="20"/>
          <w:lang w:val="en-US" w:eastAsia="en-US" w:bidi="ar-SA"/>
        </w:rPr>
        <w:t xml:space="preserve">. As was recently observed by the Court of Appeal in </w:t>
      </w:r>
      <w:r>
        <w:rPr>
          <w:rFonts w:ascii="arial" w:eastAsia="arial" w:hAnsi="arial" w:cs="arial"/>
          <w:i/>
          <w:color w:val="000000"/>
          <w:sz w:val="20"/>
          <w:lang w:val="en-US" w:eastAsia="en-US" w:bidi="ar-SA"/>
        </w:rPr>
        <w:t>Kim v. Morier</w:t>
      </w:r>
      <w:r>
        <w:rPr>
          <w:rFonts w:ascii="arial" w:eastAsia="arial" w:hAnsi="arial" w:cs="arial"/>
          <w:color w:val="000000"/>
          <w:sz w:val="20"/>
          <w:lang w:val="en-US" w:eastAsia="en-US" w:bidi="ar-SA"/>
        </w:rPr>
        <w:t xml:space="preserve">, </w:t>
      </w:r>
      <w:hyperlink r:id="rId632" w:history="1">
        <w:r>
          <w:rPr>
            <w:rFonts w:ascii="arial" w:eastAsia="arial" w:hAnsi="arial" w:cs="arial"/>
            <w:i/>
            <w:color w:val="0077CC"/>
            <w:sz w:val="20"/>
            <w:u w:val="single"/>
            <w:shd w:val="clear" w:color="auto" w:fill="FFFFFF"/>
            <w:lang w:val="en-US" w:eastAsia="en-US" w:bidi="ar-SA"/>
          </w:rPr>
          <w:t>2014 BCCA 63</w:t>
        </w:r>
      </w:hyperlink>
      <w:r>
        <w:rPr>
          <w:rFonts w:ascii="arial" w:eastAsia="arial" w:hAnsi="arial" w:cs="arial"/>
          <w:color w:val="000000"/>
          <w:sz w:val="20"/>
          <w:lang w:val="en-US" w:eastAsia="en-US" w:bidi="ar-SA"/>
        </w:rPr>
        <w:t xml:space="preserve"> at para. 7, the onus on the plaintiff is not heavy but must nonetheless be met in order to justify a pecuniary award. Where a real or substantial possibility of future loss has been established, compensation is awarded based on an estimation of the chance that event will occur: </w:t>
      </w:r>
      <w:r>
        <w:rPr>
          <w:rFonts w:ascii="arial" w:eastAsia="arial" w:hAnsi="arial" w:cs="arial"/>
          <w:i/>
          <w:color w:val="000000"/>
          <w:sz w:val="20"/>
          <w:lang w:val="en-US" w:eastAsia="en-US" w:bidi="ar-SA"/>
        </w:rPr>
        <w:t>Steward v. Berezan</w:t>
      </w:r>
      <w:r>
        <w:rPr>
          <w:rFonts w:ascii="arial" w:eastAsia="arial" w:hAnsi="arial" w:cs="arial"/>
          <w:color w:val="000000"/>
          <w:sz w:val="20"/>
          <w:lang w:val="en-US" w:eastAsia="en-US" w:bidi="ar-SA"/>
        </w:rPr>
        <w:t xml:space="preserve">, </w:t>
      </w:r>
      <w:hyperlink r:id="rId631" w:history="1">
        <w:r>
          <w:rPr>
            <w:rFonts w:ascii="arial" w:eastAsia="arial" w:hAnsi="arial" w:cs="arial"/>
            <w:i/>
            <w:color w:val="0077CC"/>
            <w:sz w:val="20"/>
            <w:u w:val="single"/>
            <w:shd w:val="clear" w:color="auto" w:fill="FFFFFF"/>
            <w:lang w:val="en-US" w:eastAsia="en-US" w:bidi="ar-SA"/>
          </w:rPr>
          <w:t>2007 BCCA 150</w:t>
        </w:r>
      </w:hyperlink>
      <w:r>
        <w:rPr>
          <w:rFonts w:ascii="arial" w:eastAsia="arial" w:hAnsi="arial" w:cs="arial"/>
          <w:color w:val="000000"/>
          <w:sz w:val="20"/>
          <w:lang w:val="en-US" w:eastAsia="en-US" w:bidi="ar-SA"/>
        </w:rPr>
        <w:t xml:space="preserve">, </w:t>
      </w:r>
      <w:hyperlink r:id="rId631" w:history="1">
        <w:r>
          <w:rPr>
            <w:rFonts w:ascii="arial" w:eastAsia="arial" w:hAnsi="arial" w:cs="arial"/>
            <w:i/>
            <w:color w:val="0077CC"/>
            <w:sz w:val="20"/>
            <w:u w:val="single"/>
            <w:shd w:val="clear" w:color="auto" w:fill="FFFFFF"/>
            <w:lang w:val="en-US" w:eastAsia="en-US" w:bidi="ar-SA"/>
          </w:rPr>
          <w:t>64 B.C.L.R. (4th) 152</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xml:space="preserve">  Evidence of ongoing pain may be sufficient to ground a substantial possibility that a plaintiff's pain will adversely affect the future ability to work, even where, at the time of trial, the plaintiff has not missed work due to the injury: </w:t>
      </w:r>
      <w:r>
        <w:rPr>
          <w:rFonts w:ascii="arial" w:eastAsia="arial" w:hAnsi="arial" w:cs="arial"/>
          <w:i/>
          <w:color w:val="000000"/>
          <w:sz w:val="20"/>
          <w:lang w:val="en-US" w:eastAsia="en-US" w:bidi="ar-SA"/>
        </w:rPr>
        <w:t>Clark v. Kouba</w:t>
      </w:r>
      <w:r>
        <w:rPr>
          <w:rFonts w:ascii="arial" w:eastAsia="arial" w:hAnsi="arial" w:cs="arial"/>
          <w:color w:val="000000"/>
          <w:sz w:val="20"/>
          <w:lang w:val="en-US" w:eastAsia="en-US" w:bidi="ar-SA"/>
        </w:rPr>
        <w:t xml:space="preserve">, </w:t>
      </w:r>
      <w:hyperlink r:id="rId878" w:history="1">
        <w:r>
          <w:rPr>
            <w:rFonts w:ascii="arial" w:eastAsia="arial" w:hAnsi="arial" w:cs="arial"/>
            <w:i/>
            <w:color w:val="0077CC"/>
            <w:sz w:val="20"/>
            <w:u w:val="single"/>
            <w:shd w:val="clear" w:color="auto" w:fill="FFFFFF"/>
            <w:lang w:val="en-US" w:eastAsia="en-US" w:bidi="ar-SA"/>
          </w:rPr>
          <w:t>2014 BCCA 50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Clark</w:t>
      </w:r>
      <w:r>
        <w:rPr>
          <w:rFonts w:ascii="arial" w:eastAsia="arial" w:hAnsi="arial" w:cs="arial"/>
          <w:color w:val="000000"/>
          <w:sz w:val="20"/>
          <w:lang w:val="en-US" w:eastAsia="en-US" w:bidi="ar-SA"/>
        </w:rPr>
        <w:t>] at 33.</w:t>
      </w:r>
      <w:r>
        <w:rPr>
          <w:rFonts w:ascii="arial" w:eastAsia="arial" w:hAnsi="arial" w:cs="arial"/>
          <w:sz w:val="20"/>
          <w:lang w:val="en-US" w:eastAsia="en-US" w:bidi="ar-SA"/>
        </w:rPr>
        <w:cr/>
      </w:r>
    </w:p>
    <w:p>
      <w:pPr>
        <w:numPr>
          <w:numId w:val="26"/>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Past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Ms. Munoz is not pursuing a past loss claim.</w:t>
      </w:r>
      <w:r>
        <w:rPr>
          <w:rFonts w:ascii="arial" w:eastAsia="arial" w:hAnsi="arial" w:cs="arial"/>
          <w:sz w:val="20"/>
          <w:lang w:val="en-US" w:eastAsia="en-US" w:bidi="ar-SA"/>
        </w:rPr>
        <w:cr/>
      </w:r>
    </w:p>
    <w:p>
      <w:pPr>
        <w:numPr>
          <w:numId w:val="27"/>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Future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xml:space="preserve">  My task is to compare the likely future of Ms. Munoz's working life if the accidents had not happened, to her likely future working life afterwards: </w:t>
      </w:r>
      <w:r>
        <w:rPr>
          <w:rFonts w:ascii="arial" w:eastAsia="arial" w:hAnsi="arial" w:cs="arial"/>
          <w:i/>
          <w:color w:val="000000"/>
          <w:sz w:val="20"/>
          <w:lang w:val="en-US" w:eastAsia="en-US" w:bidi="ar-SA"/>
        </w:rPr>
        <w:t>Gregory v. I.C.B.C.</w:t>
      </w:r>
      <w:r>
        <w:rPr>
          <w:rFonts w:ascii="arial" w:eastAsia="arial" w:hAnsi="arial" w:cs="arial"/>
          <w:color w:val="000000"/>
          <w:sz w:val="20"/>
          <w:lang w:val="en-US" w:eastAsia="en-US" w:bidi="ar-SA"/>
        </w:rPr>
        <w:t xml:space="preserve">, </w:t>
      </w:r>
      <w:hyperlink r:id="rId648" w:history="1">
        <w:r>
          <w:rPr>
            <w:rFonts w:ascii="arial" w:eastAsia="arial" w:hAnsi="arial" w:cs="arial"/>
            <w:i/>
            <w:color w:val="0077CC"/>
            <w:sz w:val="20"/>
            <w:u w:val="single"/>
            <w:shd w:val="clear" w:color="auto" w:fill="FFFFFF"/>
            <w:lang w:val="en-US" w:eastAsia="en-US" w:bidi="ar-SA"/>
          </w:rPr>
          <w:t>2011 BCCA 144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Gregory</w:t>
      </w:r>
      <w:r>
        <w:rPr>
          <w:rFonts w:ascii="arial" w:eastAsia="arial" w:hAnsi="arial" w:cs="arial"/>
          <w:color w:val="000000"/>
          <w:sz w:val="20"/>
          <w:lang w:val="en-US" w:eastAsia="en-US" w:bidi="ar-SA"/>
        </w:rPr>
        <w:t>] at para. 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The defendants submit that Ms. Munoz has failed to show, on a substantial possibility basis, a future event leading to an income loss and that, consequently, she is not entitled to an award under this head. One of the defendants' arguments in support of their contention, is that there is no evidence that Ms. Munoz's condition will deteriorate to the point that she will no longer be able to work as a restaurant manager at McDonald's. Of course, that is not the test for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xml:space="preserve">  Through sheer grit and determination and to her credit, Ms. Munoz, who is the main breadwinner for her family, has continued to work after all of the accidents. She is not to be penalized for her stoicism: </w:t>
      </w:r>
      <w:r>
        <w:rPr>
          <w:rFonts w:ascii="arial" w:eastAsia="arial" w:hAnsi="arial" w:cs="arial"/>
          <w:i/>
          <w:color w:val="000000"/>
          <w:sz w:val="20"/>
          <w:lang w:val="en-US" w:eastAsia="en-US" w:bidi="ar-SA"/>
        </w:rPr>
        <w:t>Clark</w:t>
      </w:r>
      <w:r>
        <w:rPr>
          <w:rFonts w:ascii="arial" w:eastAsia="arial" w:hAnsi="arial" w:cs="arial"/>
          <w:color w:val="000000"/>
          <w:sz w:val="20"/>
          <w:lang w:val="en-US" w:eastAsia="en-US" w:bidi="ar-SA"/>
        </w:rPr>
        <w:t xml:space="preserve"> at para. 34. Of her own accord, she has implemented accommodations in her job duties and tried her best to "unofficially" restrict herself to light duties by enlisting the help of co-workers to relieve her of the more physically demanding duties. Ms. Ismail made the point that other McDonald's managers do not do that unless they are pregnant.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Despite taking care to minimize her aggravating work activities, such as prolonged sitting and standing and repetitive movements, they simply cannot be avoided altogether. Ms. Munoz continues to find her responsibilities much more difficult to discharge and more time consuming to complete in consequence of the accidents, and feels she is constantly behind in her work. She laments that she can no longer go the "extra mile" to accomplish what she feels she ought to in order to shine in her managerial role.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While her injuries have gradually improved, they have not resolved, and may never resolve completely. Ms. Munoz continues to suffer flares of her symptoms. During those set-backs, her pain becomes more intense and functionally limiting. Ms. Munoz is relatively young and still in the prime working years of her career.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xml:space="preserve">  The fact that Ms. Munoz has not missed work due to her injuries is a relevant factor for consideration; however, it is not a determinative one: </w:t>
      </w:r>
      <w:r>
        <w:rPr>
          <w:rFonts w:ascii="arial" w:eastAsia="arial" w:hAnsi="arial" w:cs="arial"/>
          <w:i/>
          <w:color w:val="000000"/>
          <w:sz w:val="20"/>
          <w:lang w:val="en-US" w:eastAsia="en-US" w:bidi="ar-SA"/>
        </w:rPr>
        <w:t>Rosvold</w:t>
      </w:r>
      <w:r>
        <w:rPr>
          <w:rFonts w:ascii="arial" w:eastAsia="arial" w:hAnsi="arial" w:cs="arial"/>
          <w:color w:val="000000"/>
          <w:sz w:val="20"/>
          <w:lang w:val="en-US" w:eastAsia="en-US" w:bidi="ar-SA"/>
        </w:rPr>
        <w:t xml:space="preserve"> at para. 10; </w:t>
      </w:r>
      <w:r>
        <w:rPr>
          <w:rFonts w:ascii="arial" w:eastAsia="arial" w:hAnsi="arial" w:cs="arial"/>
          <w:i/>
          <w:color w:val="000000"/>
          <w:sz w:val="20"/>
          <w:lang w:val="en-US" w:eastAsia="en-US" w:bidi="ar-SA"/>
        </w:rPr>
        <w:t>Clark</w:t>
      </w:r>
      <w:r>
        <w:rPr>
          <w:rFonts w:ascii="arial" w:eastAsia="arial" w:hAnsi="arial" w:cs="arial"/>
          <w:color w:val="000000"/>
          <w:sz w:val="20"/>
          <w:lang w:val="en-US" w:eastAsia="en-US" w:bidi="ar-SA"/>
        </w:rPr>
        <w:t xml:space="preserve"> at para. 34.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xml:space="preserve">  The evidence supports the finding of a high chance of a substantial possibility that Ms. Munoz will be coping with episodic flares of her symptoms throughout her future tenure with McDonald's, and in any similar position she may obtain in the hospitality/restaurant industry. It is a matter of common experience that, over time, ongoing pain will have a detrimental effect on a person's ability to work, even in circumstances where the employer is prepared to make accommodations: </w:t>
      </w:r>
      <w:r>
        <w:rPr>
          <w:rFonts w:ascii="arial" w:eastAsia="arial" w:hAnsi="arial" w:cs="arial"/>
          <w:i/>
          <w:color w:val="000000"/>
          <w:sz w:val="20"/>
          <w:lang w:val="en-US" w:eastAsia="en-US" w:bidi="ar-SA"/>
        </w:rPr>
        <w:t>Morlan v. Barrett</w:t>
      </w:r>
      <w:r>
        <w:rPr>
          <w:rFonts w:ascii="arial" w:eastAsia="arial" w:hAnsi="arial" w:cs="arial"/>
          <w:color w:val="000000"/>
          <w:sz w:val="20"/>
          <w:lang w:val="en-US" w:eastAsia="en-US" w:bidi="ar-SA"/>
        </w:rPr>
        <w:t xml:space="preserve">, </w:t>
      </w:r>
      <w:hyperlink r:id="rId707" w:history="1">
        <w:r>
          <w:rPr>
            <w:rFonts w:ascii="arial" w:eastAsia="arial" w:hAnsi="arial" w:cs="arial"/>
            <w:i/>
            <w:color w:val="0077CC"/>
            <w:sz w:val="20"/>
            <w:u w:val="single"/>
            <w:shd w:val="clear" w:color="auto" w:fill="FFFFFF"/>
            <w:lang w:val="en-US" w:eastAsia="en-US" w:bidi="ar-SA"/>
          </w:rPr>
          <w:t>2012 BCCA 66</w:t>
        </w:r>
      </w:hyperlink>
      <w:r>
        <w:rPr>
          <w:rFonts w:ascii="arial" w:eastAsia="arial" w:hAnsi="arial" w:cs="arial"/>
          <w:color w:val="000000"/>
          <w:sz w:val="20"/>
          <w:lang w:val="en-US" w:eastAsia="en-US" w:bidi="ar-SA"/>
        </w:rPr>
        <w:t xml:space="preserve"> at para. 41. The logical extension of that common experience is that the detrimental effect may be accelerated or more profound where an employer ceases making such accommodations or is not prepared to make them at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I conclude that the accidents are responsible for an impairment of Ms. Munoz's future earning capacity. There is a moderate chance of a real and substantial possibility that her diminished capacity will manifest into the future indefinitely. That said, I find the chance of a substantial possibility of Ms. Munoz requiring disc desiccation surgery to be on the low side. I have also taken into account the fact that if she were to have such surgery and the outcome was successful, then her symptoms and impairment may be significantly reduced in the result. I have also taken into consideration Dr. Werry's evidence that a disc bulge may resolve on its 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I am satisfied that Ms. Munoz has proven a substantial possibility that her diminished capacity caused by the accidents will generate a pecuniary loss in the future. As Ms. Munoz has established a real and substantial possibility of a future event leading to an actual income loss, there is a proper foundation to take the next step and quantify her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Ms. Munoz relies on the report of Darren Benning of Peta Consultants Ltd., consulting economists. For the purposes of estimating Ms. Munoz's future loss, Mr. Benning was told to assume: (i) she would have continued in her job or a similar position with McDonald's earning $50,000 per year until her retirement not later than age 65; and (ii) as a result of the accidents, she will suffer an income loss corresponding to 50% of her future without-accidents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Mr. Benning's calculations, which allow for several negative labour market contingencies, as well as for premature death, yielded a projected loss of $403,575.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Rounding down ever slightly, Ms. Munoz asks for an award of $400,000. Her position is as unreasonable as the defendants' stance that she is entitled to nothing under this head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The primary stumbling block for Ms. Munoz is with Mr. Benning's core assumption is that she will suffer an income loss equivalent to 50% of her future absent-accidents income. That is simply not a tenable finding on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xml:space="preserve">  Given the nature of the competing contingencies at play, it is difficult to postulate an annual loss for Ms. Munoz's many remaining years in the workforce. To my mind, it is not appropriate to engage the "earnings approach" to assess her damages. It is instead preferable to quantify her loss by taking into account the factors that inform the capital asset approach laid out in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533"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That assessment involves considering factors such as whether Ms. Munoz: (i) has been rendered less capable overall of earning income from all types of employment; (ii) is less marketable or attractive as a potential employee; (iii) has lost the ability to take advantage of all job opportunities that might otherwise have been open; and (iv) is less valuable to herself as a person capable of earning income in a competitive labour market. The evidence establishes that at least three, and probably all four, of these factors have application to Ms. Munoz.</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xml:space="preserve">  Bearing in mind the applicable legal principles, including the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criteria, in light of the evidence, I conclude that in all the circumstances the sum of $60,000 is the present value of a fair and reasonable measure of Ms. Munoz's loss of future earning capacity.</w:t>
      </w:r>
      <w:r>
        <w:rPr>
          <w:rFonts w:ascii="arial" w:eastAsia="arial" w:hAnsi="arial" w:cs="arial"/>
          <w:sz w:val="20"/>
          <w:lang w:val="en-US" w:eastAsia="en-US" w:bidi="ar-SA"/>
        </w:rPr>
        <w:cr/>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Cost of Future Care/Housekeeping Services/Loss of Housekeeping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xml:space="preserve">  The purpose of damages for the cost of future care is to compensate for a financial loss reasonably incurred to sustain or promote the mental and/or physical health of an injured plaintiff: </w:t>
      </w:r>
      <w:r>
        <w:rPr>
          <w:rFonts w:ascii="arial" w:eastAsia="arial" w:hAnsi="arial" w:cs="arial"/>
          <w:i/>
          <w:color w:val="000000"/>
          <w:sz w:val="20"/>
          <w:lang w:val="en-US" w:eastAsia="en-US" w:bidi="ar-SA"/>
        </w:rPr>
        <w:t>Krangle (Guardian ad litem of) v. Brisco</w:t>
      </w:r>
      <w:r>
        <w:rPr>
          <w:rFonts w:ascii="arial" w:eastAsia="arial" w:hAnsi="arial" w:cs="arial"/>
          <w:color w:val="000000"/>
          <w:sz w:val="20"/>
          <w:lang w:val="en-US" w:eastAsia="en-US" w:bidi="ar-SA"/>
        </w:rPr>
        <w:t xml:space="preserve">, </w:t>
      </w:r>
      <w:hyperlink r:id="rId540" w:history="1">
        <w:r>
          <w:rPr>
            <w:rFonts w:ascii="arial" w:eastAsia="arial" w:hAnsi="arial" w:cs="arial"/>
            <w:i/>
            <w:color w:val="0077CC"/>
            <w:sz w:val="20"/>
            <w:u w:val="single"/>
            <w:shd w:val="clear" w:color="auto" w:fill="FFFFFF"/>
            <w:lang w:val="en-US" w:eastAsia="en-US" w:bidi="ar-SA"/>
          </w:rPr>
          <w:t>2002 SCC 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Gignac</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v. ICBC</w:t>
      </w:r>
      <w:r>
        <w:rPr>
          <w:rFonts w:ascii="arial" w:eastAsia="arial" w:hAnsi="arial" w:cs="arial"/>
          <w:color w:val="000000"/>
          <w:sz w:val="20"/>
          <w:lang w:val="en-US" w:eastAsia="en-US" w:bidi="ar-SA"/>
        </w:rPr>
        <w:t xml:space="preserve">, </w:t>
      </w:r>
      <w:hyperlink r:id="rId639" w:history="1">
        <w:r>
          <w:rPr>
            <w:rFonts w:ascii="arial" w:eastAsia="arial" w:hAnsi="arial" w:cs="arial"/>
            <w:i/>
            <w:color w:val="0077CC"/>
            <w:sz w:val="20"/>
            <w:u w:val="single"/>
            <w:shd w:val="clear" w:color="auto" w:fill="FFFFFF"/>
            <w:lang w:val="en-US" w:eastAsia="en-US" w:bidi="ar-SA"/>
          </w:rPr>
          <w:t>2012 BCCA 351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Gignac</w:t>
      </w:r>
      <w:r>
        <w:rPr>
          <w:rFonts w:ascii="arial" w:eastAsia="arial" w:hAnsi="arial" w:cs="arial"/>
          <w:color w:val="000000"/>
          <w:sz w:val="20"/>
          <w:lang w:val="en-US" w:eastAsia="en-US" w:bidi="ar-SA"/>
        </w:rPr>
        <w:t xml:space="preserve">] at para. 30. The services and items must be justified as reasonable in the sense of being medically required or justified, and in the sense that the plaintiff will be likely to incur them based on the evidence: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539"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(S.C.), aff'd </w:t>
      </w:r>
      <w:hyperlink r:id="rId636" w:history="1">
        <w:r>
          <w:rPr>
            <w:rFonts w:ascii="arial" w:eastAsia="arial" w:hAnsi="arial" w:cs="arial"/>
            <w:i/>
            <w:color w:val="0077CC"/>
            <w:sz w:val="20"/>
            <w:u w:val="single"/>
            <w:shd w:val="clear" w:color="auto" w:fill="FFFFFF"/>
            <w:lang w:val="en-US" w:eastAsia="en-US" w:bidi="ar-SA"/>
          </w:rPr>
          <w:t>(1987), 49 B.C.L.R. (2d) 99</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Izony v. Weidlich</w:t>
      </w:r>
      <w:r>
        <w:rPr>
          <w:rFonts w:ascii="arial" w:eastAsia="arial" w:hAnsi="arial" w:cs="arial"/>
          <w:color w:val="000000"/>
          <w:sz w:val="20"/>
          <w:lang w:val="en-US" w:eastAsia="en-US" w:bidi="ar-SA"/>
        </w:rPr>
        <w:t xml:space="preserve">, </w:t>
      </w:r>
      <w:hyperlink r:id="rId717" w:history="1">
        <w:r>
          <w:rPr>
            <w:rFonts w:ascii="arial" w:eastAsia="arial" w:hAnsi="arial" w:cs="arial"/>
            <w:i/>
            <w:color w:val="0077CC"/>
            <w:sz w:val="20"/>
            <w:u w:val="single"/>
            <w:shd w:val="clear" w:color="auto" w:fill="FFFFFF"/>
            <w:lang w:val="en-US" w:eastAsia="en-US" w:bidi="ar-SA"/>
          </w:rPr>
          <w:t>2006 BCSC 1315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Kuskis v. Tin</w:t>
      </w:r>
      <w:r>
        <w:rPr>
          <w:rFonts w:ascii="arial" w:eastAsia="arial" w:hAnsi="arial" w:cs="arial"/>
          <w:color w:val="000000"/>
          <w:sz w:val="20"/>
          <w:lang w:val="en-US" w:eastAsia="en-US" w:bidi="ar-SA"/>
        </w:rPr>
        <w:t xml:space="preserve">, </w:t>
      </w:r>
      <w:hyperlink r:id="rId879" w:history="1">
        <w:r>
          <w:rPr>
            <w:rFonts w:ascii="arial" w:eastAsia="arial" w:hAnsi="arial" w:cs="arial"/>
            <w:i/>
            <w:color w:val="0077CC"/>
            <w:sz w:val="20"/>
            <w:u w:val="single"/>
            <w:shd w:val="clear" w:color="auto" w:fill="FFFFFF"/>
            <w:lang w:val="en-US" w:eastAsia="en-US" w:bidi="ar-SA"/>
          </w:rPr>
          <w:t>2008 BCSC 862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xml:space="preserve">  Recommendations made by a medical doctor or made by various other health care professionals are relevant in determining whether an item or service is medically justified: </w:t>
      </w:r>
      <w:r>
        <w:rPr>
          <w:rFonts w:ascii="arial" w:eastAsia="arial" w:hAnsi="arial" w:cs="arial"/>
          <w:i/>
          <w:color w:val="000000"/>
          <w:sz w:val="20"/>
          <w:lang w:val="en-US" w:eastAsia="en-US" w:bidi="ar-SA"/>
        </w:rPr>
        <w:t>Gregory</w:t>
      </w:r>
      <w:r>
        <w:rPr>
          <w:rFonts w:ascii="arial" w:eastAsia="arial" w:hAnsi="arial" w:cs="arial"/>
          <w:color w:val="000000"/>
          <w:sz w:val="20"/>
          <w:lang w:val="en-US" w:eastAsia="en-US" w:bidi="ar-SA"/>
        </w:rPr>
        <w:t xml:space="preserve"> at para. 38. An evidentiary link between the medical assessments and the recommended treatment is essential: </w:t>
      </w:r>
      <w:r>
        <w:rPr>
          <w:rFonts w:ascii="arial" w:eastAsia="arial" w:hAnsi="arial" w:cs="arial"/>
          <w:i/>
          <w:color w:val="000000"/>
          <w:sz w:val="20"/>
          <w:lang w:val="en-US" w:eastAsia="en-US" w:bidi="ar-SA"/>
        </w:rPr>
        <w:t>Gregory</w:t>
      </w:r>
      <w:r>
        <w:rPr>
          <w:rFonts w:ascii="arial" w:eastAsia="arial" w:hAnsi="arial" w:cs="arial"/>
          <w:color w:val="000000"/>
          <w:sz w:val="20"/>
          <w:lang w:val="en-US" w:eastAsia="en-US" w:bidi="ar-SA"/>
        </w:rPr>
        <w:t xml:space="preserve"> at para. 39; </w:t>
      </w:r>
      <w:r>
        <w:rPr>
          <w:rFonts w:ascii="arial" w:eastAsia="arial" w:hAnsi="arial" w:cs="arial"/>
          <w:i/>
          <w:color w:val="000000"/>
          <w:sz w:val="20"/>
          <w:lang w:val="en-US" w:eastAsia="en-US" w:bidi="ar-SA"/>
        </w:rPr>
        <w:t>Gignac</w:t>
      </w:r>
      <w:r>
        <w:rPr>
          <w:rFonts w:ascii="arial" w:eastAsia="arial" w:hAnsi="arial" w:cs="arial"/>
          <w:color w:val="000000"/>
          <w:sz w:val="20"/>
          <w:lang w:val="en-US" w:eastAsia="en-US" w:bidi="ar-SA"/>
        </w:rPr>
        <w:t xml:space="preserve"> at paras. 31-32. General contingencies and those specific to the plaintiff are to be taken into account where appropriate: </w:t>
      </w:r>
      <w:r>
        <w:rPr>
          <w:rFonts w:ascii="arial" w:eastAsia="arial" w:hAnsi="arial" w:cs="arial"/>
          <w:i/>
          <w:color w:val="000000"/>
          <w:sz w:val="20"/>
          <w:lang w:val="en-US" w:eastAsia="en-US" w:bidi="ar-SA"/>
        </w:rPr>
        <w:t>Gignac</w:t>
      </w:r>
      <w:r>
        <w:rPr>
          <w:rFonts w:ascii="arial" w:eastAsia="arial" w:hAnsi="arial" w:cs="arial"/>
          <w:color w:val="000000"/>
          <w:sz w:val="20"/>
          <w:lang w:val="en-US" w:eastAsia="en-US" w:bidi="ar-SA"/>
        </w:rPr>
        <w:t xml:space="preserve"> at para. 52.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Ms. Munoz claims an award in the range of $20,000 to $25,000 for her cost of future care, plus an additional $25,000 in damages for homemaking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Collectively, the evidence of Mr. Shew and Drs. Werry and Tarazi support an award for a variety of future care items such as chiropractic care, massage therapy, supportive and orthopaedic footwear and over-the-counter medications (she finds the side-effects of the prescription medications problematic) as being reasonably necessary for the preservation of Ms. Munoz's health.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The difficulty Ms. Munoz faces is that, apart from the recommendations made by Mr. Shew, there is no direct evidence or a cogent evidentiary basis from which to infer the cost of the future care items she seeks.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The evidence as a whole amply reveals that Ms. Munoz is committed to taking the reasonable necessary steps to improve her condition and supports the inference that she would wear the supportive and orthopaedic shoes described in Mr. Shew's report. In the circumstances of this case, that would not be a one-time outlay. I am satisfied that Mr. Shew's footwear recommendations would be beneficial to Ms. Munoz and medically justified and likely to be incurred by her. I would also allow a nominal amount for the cost of her future over-the-counter anti-inflammatory and pain medications. In total, I award the sum of $1,200 as the present value of those initial and replacement footwear costs and medications.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As mentioned, Ms. Munoz also seeks $25,000 in damages for homemaking services. The main hurdle with respect to those damages is the absence of any cogent evidence to the effect that she would actually employ those services, were they provided or their cost. I conclude, therefore, that Ms. Munoz is not entitled to damages for this loss as a component of her future care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However, that does not end the analysis. In my view, the fact that Ms. Munoz has not established entitlement to those damages under the rubric of the costs of her future care does not preclude an award conceptualized as the loss of her future housekeeping capacity. The evidence is overwhelming that since the First Accident, she has suffered an impairment of her housekeeping capacity and that it will likely continue into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xml:space="preserve">  Because an award for the loss of housekeeping capacity reflects the loss of personal capacity, which is an asset, the issue of whether the plaintiff had used replacement services or is likely to hire such assistance in the future does not inform the analysis. That distinguishes those damages from future cost of care awards as was recently affirmed by Kirkpatrick J.A. in </w:t>
      </w:r>
      <w:r>
        <w:rPr>
          <w:rFonts w:ascii="arial" w:eastAsia="arial" w:hAnsi="arial" w:cs="arial"/>
          <w:i/>
          <w:color w:val="000000"/>
          <w:sz w:val="20"/>
          <w:lang w:val="en-US" w:eastAsia="en-US" w:bidi="ar-SA"/>
        </w:rPr>
        <w:t>O'Connell v. Yung</w:t>
      </w:r>
      <w:r>
        <w:rPr>
          <w:rFonts w:ascii="arial" w:eastAsia="arial" w:hAnsi="arial" w:cs="arial"/>
          <w:color w:val="000000"/>
          <w:sz w:val="20"/>
          <w:lang w:val="en-US" w:eastAsia="en-US" w:bidi="ar-SA"/>
        </w:rPr>
        <w:t xml:space="preserve">, </w:t>
      </w:r>
      <w:hyperlink r:id="rId718" w:history="1">
        <w:r>
          <w:rPr>
            <w:rFonts w:ascii="arial" w:eastAsia="arial" w:hAnsi="arial" w:cs="arial"/>
            <w:i/>
            <w:color w:val="0077CC"/>
            <w:sz w:val="20"/>
            <w:u w:val="single"/>
            <w:shd w:val="clear" w:color="auto" w:fill="FFFFFF"/>
            <w:lang w:val="en-US" w:eastAsia="en-US" w:bidi="ar-SA"/>
          </w:rPr>
          <w:t>2012 BCCA 57</w:t>
        </w:r>
      </w:hyperlink>
      <w:r>
        <w:rPr>
          <w:rFonts w:ascii="arial" w:eastAsia="arial" w:hAnsi="arial" w:cs="arial"/>
          <w:color w:val="000000"/>
          <w:sz w:val="20"/>
          <w:lang w:val="en-US" w:eastAsia="en-US" w:bidi="ar-SA"/>
        </w:rPr>
        <w:t xml:space="preserve"> at para. 67: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...Damages for the cost of future care serve a different purpose from awards for loss of housekeeping capacity. Unlike loss of housekeeping capacity awards, damages for the cost of future care are directly related to the expenses that may reasonably be expected to be required (</w:t>
      </w:r>
      <w:r>
        <w:rPr>
          <w:rFonts w:ascii="arial" w:eastAsia="arial" w:hAnsi="arial" w:cs="arial"/>
          <w:i/>
          <w:color w:val="000000"/>
          <w:sz w:val="20"/>
          <w:lang w:val="en-US" w:eastAsia="en-US" w:bidi="ar-SA"/>
        </w:rPr>
        <w:t>Krangle</w:t>
      </w:r>
      <w:r>
        <w:rPr>
          <w:rFonts w:ascii="arial" w:eastAsia="arial" w:hAnsi="arial" w:cs="arial"/>
          <w:color w:val="000000"/>
          <w:sz w:val="20"/>
          <w:lang w:val="en-US" w:eastAsia="en-US" w:bidi="ar-SA"/>
        </w:rPr>
        <w:t xml:space="preserve"> at para. 22). Determining the amount of a reasonable cost of future care award entails a unique set of considerations, as Professor Cooper-Stephenson explains at 416:</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clear that both the </w:t>
      </w:r>
      <w:r>
        <w:rPr>
          <w:rFonts w:ascii="arial" w:eastAsia="arial" w:hAnsi="arial" w:cs="arial"/>
          <w:i/>
          <w:color w:val="000000"/>
          <w:sz w:val="20"/>
          <w:lang w:val="en-US" w:eastAsia="en-US" w:bidi="ar-SA"/>
        </w:rPr>
        <w:t>need</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opportunity</w:t>
      </w:r>
      <w:r>
        <w:rPr>
          <w:rFonts w:ascii="arial" w:eastAsia="arial" w:hAnsi="arial" w:cs="arial"/>
          <w:color w:val="000000"/>
          <w:sz w:val="20"/>
          <w:lang w:val="en-US" w:eastAsia="en-US" w:bidi="ar-SA"/>
        </w:rPr>
        <w:t xml:space="preserve"> for the expenditure of moneys is relevant to the assessment. Therefore, if the plaintiff's medical condition may require care of a less expensive nature -- such as institutional care -- then the award for future cost of care should reflect that possibility. Equally, it would seem, if the evidence is not conclusive that more expensive care will be available, or that the plaintiff will find such care to be physically and emotionally satisfactory, then the award should reflect those possibilities; the reduced award will then reflect the best estimate of what will be reasonably necessary to provide optimum care. In this sense, the court is bound to look to the actual spending potential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Ms. Munoz has established entitlement to standalone compensation for her loss of housekeeping capacity. Keeping in mind that an award of that kind is meant to compensate her for her diminished loss of capacity - the loss of her asset - and is not a precise mathematical calculation, and taking into account the relevant contingencies supported by the evidence as best I am able, I conclude that the sum of $10,000 is a fair award to reflect the whole of her loss of housekeeping capacity before trial and afterwards. It should go without saying that I have not included any part of this award in the assessment of Ms. Munoz's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In sum, Ms. Munoz is entitled to an award of $1,200 for the cost of her future care and $10,000 to compensate her for the loss of her housekeeping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Ms. Munoz is entitled to her costs at Scale B unless there are any pertinent circumstances that should be brought to the Court's attention. If a hearing is required, counsel are to reserve a date through Supreme Court Scheduling.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S.K. BALLANCE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03" style="position:absolute;z-index:25180364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80"/>
          <w:headerReference w:type="default" r:id="rId881"/>
          <w:footerReference w:type="even" r:id="rId882"/>
          <w:footerReference w:type="default" r:id="rId883"/>
          <w:headerReference w:type="first" r:id="rId884"/>
          <w:footerReference w:type="first" r:id="rId88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86" w:history="1">
        <w:r>
          <w:rPr>
            <w:rFonts w:ascii="arial" w:eastAsia="arial" w:hAnsi="arial" w:cs="arial"/>
            <w:b/>
            <w:bCs/>
            <w:i/>
            <w:color w:val="0077CC"/>
            <w:kern w:val="32"/>
            <w:sz w:val="28"/>
            <w:szCs w:val="32"/>
            <w:u w:val="single"/>
            <w:shd w:val="clear" w:color="auto" w:fill="FFFFFF"/>
            <w:lang w:val="en-US" w:eastAsia="en-US" w:bidi="ar-SA"/>
          </w:rPr>
          <w:t>Nikkhah v. Batin, [2019] B.C.J. No. 2491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P.G. Voith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18-22,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20,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M180609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[2019] B.C.J. No. 2491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2019 BCSC 2223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Najafholi Nikkhah, Plaintiff, and Mauricio Batin and Shaw Cablesystems Limited,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(134 paras.)</w:t>
      </w:r>
    </w:p>
    <w:p>
      <w:pPr>
        <w:jc w:val="both"/>
        <w:rPr>
          <w:rFonts w:ascii="arial" w:eastAsia="arial" w:hAnsi="arial" w:cs="arial"/>
          <w:sz w:val="20"/>
          <w:lang w:val="en-US" w:eastAsia="en-US" w:bidi="ar-SA"/>
        </w:rPr>
      </w:pPr>
      <w:bookmarkStart w:id="217" w:name="Counsel_42"/>
      <w:bookmarkEnd w:id="21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04" style="position:absolute;z-index:2517022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C.B. Doll, Q.C.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I. Jung, C. Manning.</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18" w:name="Judgment_42"/>
      <w:bookmarkEnd w:id="218"/>
      <w:r>
        <w:pict>
          <v:line id="_x0000_s1205" style="position:absolute;z-index:25175347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 CREDIBILITY AND RELIABILITY7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 THE PLAINTIFF'S INJURIES RESULTING FROM THE ACCIDENT</w:t>
      </w:r>
      <w:r>
        <w:rPr>
          <w:rFonts w:ascii="arial" w:eastAsia="arial" w:hAnsi="arial" w:cs="arial"/>
          <w:sz w:val="20"/>
          <w:lang w:val="en-US" w:eastAsia="en-US" w:bidi="ar-SA"/>
        </w:rPr>
        <w:cr/>
      </w:r>
    </w:p>
    <w:p>
      <w:pPr>
        <w:numPr>
          <w:numId w:val="1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Plaintiff Suffer a Concussion in the Accident?</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Mood Issues</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Balance Issues</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Plaintiff suffer from dizziness prior to the Accident?</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ii) Were the Plaintiff's dizziness and the impairment of his memory caused by the December Fall?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 Further or Continued Changes Since the December Fall.</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Condition Since the Accident and at Present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 THE LEGAL FRAMEWORK APPLIED TO THE FINDINGS OF FACT I HAVE MADE</w:t>
      </w:r>
      <w:r>
        <w:rPr>
          <w:rFonts w:ascii="arial" w:eastAsia="arial" w:hAnsi="arial" w:cs="arial"/>
          <w:sz w:val="20"/>
          <w:lang w:val="en-US" w:eastAsia="en-US" w:bidi="ar-SA"/>
        </w:rPr>
        <w:cr/>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Causation</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b) The December Fall and the Ensuing Deterioration in the Plaintiff's Condition 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 THE MITIGATION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G. NON-PECUNIARY LOSSES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H. 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 HOUSEKEEPING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J.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K. SUMMARY</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19" w:name="P.G. VOITH J."/>
            <w:bookmarkEnd w:id="219"/>
            <w:r>
              <w:rPr>
                <w:rFonts w:ascii="arial" w:eastAsia="arial" w:hAnsi="arial" w:cs="arial"/>
                <w:b/>
                <w:color w:val="000000"/>
                <w:sz w:val="30"/>
                <w:lang w:val="en-US" w:eastAsia="en-US" w:bidi="ar-SA"/>
              </w:rPr>
              <w:t>P.G. VOITH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Najafgholi Nikkhah, is 87 years old. On August 5, 2016, while riding his mobility scooter, he was struck in a crosswalk by a van driven by the Defendant, Mauricio Batin (the "Accident"). The van was owned by the other Defendant, Shaw Cablesystems Limited.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Though this action is subject to R. 15-1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it is relatively complex and it raises numerous issues that include:</w:t>
      </w:r>
      <w:r>
        <w:rPr>
          <w:rFonts w:ascii="arial" w:eastAsia="arial" w:hAnsi="arial" w:cs="arial"/>
          <w:sz w:val="20"/>
          <w:lang w:val="en-US" w:eastAsia="en-US" w:bidi="ar-SA"/>
        </w:rPr>
        <w:cr/>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Who is liable for the Accident?</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How, or to what extent, are the Plaintiff's pre-existing injuries relevant to the injuries he suffered in the Accident?</w:t>
      </w:r>
    </w:p>
    <w:p>
      <w:pPr>
        <w:numPr>
          <w:numId w:val="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How, or to what extent, are the injuries the Plaintiff suffered in the Accident relevant to further injuries he suffered when he fell on December 12, 2016 (the "December Fall")?</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 has reasonably mitigated his losses.</w:t>
      </w:r>
    </w:p>
    <w:p>
      <w:pPr>
        <w:numPr>
          <w:numId w:val="1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if any, damages, under various heads of damage, has the Plaintiff suffered?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To the credit of counsel for the parties, they have prepared numerous admissions of fact (the "Admissions of Fact") that pertain to both liability and quantum and which I will return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A. </w:t>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order to determine what impact the Accident has had on the Plaintiff and what losses he has suffered, it is necessary to determine his pre-Accident mental and physical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 was born in Iran. As a young man he was on the national weightlifting team and he competed in numerous other countries in the Middle East, Asia and the former Soviet Union. He went to university and then worked as an engineer for an oil company. He married and had a number of children. He and his wife immigrated to Vancouver in 1997. A number of his children now live in Vancouver and Toronto. He worked in a bakery for approximately a decade before he retired at age 65. At the time of the Accident, he lived in New Westminster.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had a wide range of interests. In earlier years he had worked with high school children, with special needs children, and with young people who were interested in weightlifting.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He was an active member of the Persian community in the Metro Vancouver area. His daughter had a program on a co-op radio station that addressed the Persian community and the Plaintiff provided her with content for that program until the program ended in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 is a member of an indigenous group in Iran called the Bakhtiari. Apparently the Bakhtiari were persecuted after the Shah of Iran's reign ended. After he arrived in Vancouver, the Plaintiff formed the Bakhtiari Society, which sought to preserve the group's history and culture. The Plaintiff continued to attend weekly meetings of the Society and to be an active and respected elder of the Society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 is also a Sufi. Sufism is a form of Islamic faith and practice. Sufis do not, apparently, observe their faith in a mosque. Rather, they gather at the homes of their practitioners. In this case, the Plaintiff, together with perhaps 40-50 others, meet twice weekly. One such meeting is held in Coquitlam. The other is in West Vancouver. Once again, the Plaintiff was and is a respected elder in his religious community. It is he who, in the past, began and ended these meetings with a prayer or reading.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Plaintiff's prominence in his community is otherwise apparent. Though he and his wife are close and interact regularly, they live in separate apartments that are a few blocks apart. This is on account of the fact that the Plaintiff had, until the Accident, been visited by persons who sought his guidance and counsel and because he required privacy for these visits. Furthermore, visiting members of both his cultural and religious community, who lived elsewhere, would stay at his home as his guest.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 have said that the Plaintiff had, at one time, been an elite athlete. It was clear at trial that he was proud of his athletic accomplishments. It was equally clear that health and fitness were lifelong interests. He had various pieces of exercise equipment in his home that he used up until the time of the Accident. He attended at the exercise facilities of a nearby seniors' centre. When he went to visit his wife, he would sometimes make use of the gym in her building. The Admissions of Fact reference a clinical record, dated June 2014, that noted that the Plaintiff was "performing exercises daily and lifting weights regularly".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Plaintiff had other interests. He played the harmonica and sang at various events and festivities.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At the same time, the Plaintiff was 84 years old at the time of the Accident and he had various physical difficulties. He had a left knee replacement in 2006. He would thereafter sometimes make use of his mobility scooter particularly when he would go shopping.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It is also clear from the Admissions of Fact that the Plaintiff struggled with significant numbness and pain in both hands. He had severe bilateral carpal tunnel syndrome and severe right ulnar neuropathy at the right elbow. Still further, he had significant right knee pain and he had lumbar pain that would sometimes flare. A January 2014 x-ray and accompanying report concluded that the Plaintiff had "slight further deterioration and degenerative spondylosis which is between C2 and 7 levels".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Defendants also initially sought to establish that the Plaintiff suffered two further physical conditions that were referred to in various reports but in respect of which no opinion evidence was led. The Defendants accepted, accordingly, that these additional conditions were not established by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Admissions of Fact also reveal that in the three years prior to the Accident, the Plaintiff regularly complained to his doctors, in particular, about the numbness and pain in his hands and the pain in his right knee. The pain in his hands and right knee were sufficiently serious that they would sometimes keep him awake at night. In June 2015, he had a first steroid injection in his right knee. In June 2016, he received a second steroid injection in his right knee.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Though these various physical difficulties were clearly sources of ongoing concern and complaint they must be put into perspective or context. There is no suggestion of any kind, from any source, that the Plaintiff suffered from any loss of memory or mental acuity prior to the Accident. His daughter, Haeideh Nikkhah testified, and I accept, that he was "a sharp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Furthermore, the Plaintiff was completely independent. He did his own shopping and his own cooking. He cleaned his apartment. Indeed he would sometimes vacuum his wife's apartment when he visited her. He was able to care of himself, without any assistance, in every respect. He attended at his family doctor on his own. This fact is confirmed in the report of his family doctor, Dr. Fasihy.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Ms. Nikkhah, who had been required to oversee the care of her mother for some time, testified that she was not, prior to the Accident, worried about her father's health. Thus, for example, while she likely went to her mother's home five times per week she went to visit her father, for social reasons, perhaps twice a month. An indicator or measure of Ms. Nikkhah's confidence in her father's physical health and well-being is the fact that she and her mother went to Hawaii for three weeks, in August 2016 or just prior to the Accident, and that she had no concern with leaving her father on his 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Plaintiff's use of his mobility scooter also has to be put into perspective. The Plaintiff gave up his driver's license in 2014. His daughter said that he primarily used the scooter to do his shopping and to visit his wife. Generally speaking, however, he moved about with a cane. He did not require a walker until after the December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His use of a cane did not, however, appear to restrict his mobility in any meaningful way. I have said that the Plaintiff attended weekly religious gatherings in Coquitlam and West Vancouver. The evidence indicated that he would also go to other seniors' activities as well as to activities in the Persian community. In order to get to West Vancouver, for example, the Plaintiff first had to take the SkyTrain from New Westminster to Vancouver. He then had to take a bus from Vancouver to West Vancouver and then a further bus to 15th Street in West Vancouver. He then had to walk some distance, uphill, from the bus stop to the home where the religious gathering took place. His daughter testified that he required his cane primarily for security as he walked back downhill to the bus stop. The Plaintiff would necessarily have had to reverse this process to return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Plaintiff's ability to undertake this journey, without assistance, and on a weekly basis, speaks to his relative mobility, his initiative and self-confidence, his physical stamina and well-being, and to a very significant level of independence.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Accordingly, though the Plaintiff was in his 80s at the time of the Accident, and though he suffered with the physical difficulties I have identified, those difficulties did not interfere with his interest in exercise and music, his ability to care for himself and his home, his extensive social and religious interactions, and his sense of 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B. </w:t>
      </w:r>
      <w:r>
        <w:rPr>
          <w:rFonts w:ascii="arial" w:eastAsia="arial" w:hAnsi="arial" w:cs="arial"/>
          <w:b/>
          <w:color w:val="000000"/>
          <w:sz w:val="20"/>
          <w:u w:val="single"/>
          <w:lang w:val="en-US" w:eastAsia="en-US" w:bidi="ar-SA"/>
        </w:rPr>
        <w:t>CREDIBILITY AND RELIABILITY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The distinction between reliability and credibility, each of which is relevant to the assessment of the witness' evidence, was explained in </w:t>
      </w:r>
      <w:r>
        <w:rPr>
          <w:rFonts w:ascii="arial" w:eastAsia="arial" w:hAnsi="arial" w:cs="arial"/>
          <w:i/>
          <w:color w:val="000000"/>
          <w:sz w:val="20"/>
          <w:lang w:val="en-US" w:eastAsia="en-US" w:bidi="ar-SA"/>
        </w:rPr>
        <w:t>R. v. H.C.</w:t>
      </w:r>
      <w:r>
        <w:rPr>
          <w:rFonts w:ascii="arial" w:eastAsia="arial" w:hAnsi="arial" w:cs="arial"/>
          <w:color w:val="000000"/>
          <w:sz w:val="20"/>
          <w:lang w:val="en-US" w:eastAsia="en-US" w:bidi="ar-SA"/>
        </w:rPr>
        <w:t xml:space="preserve">, </w:t>
      </w:r>
      <w:hyperlink r:id="rId887" w:history="1">
        <w:r>
          <w:rPr>
            <w:rFonts w:ascii="arial" w:eastAsia="arial" w:hAnsi="arial" w:cs="arial"/>
            <w:i/>
            <w:color w:val="0077CC"/>
            <w:sz w:val="20"/>
            <w:u w:val="single"/>
            <w:shd w:val="clear" w:color="auto" w:fill="FFFFFF"/>
            <w:lang w:val="en-US" w:eastAsia="en-US" w:bidi="ar-SA"/>
          </w:rPr>
          <w:t>2009 ONCA 56</w:t>
        </w:r>
      </w:hyperlink>
      <w:r>
        <w:rPr>
          <w:rFonts w:ascii="arial" w:eastAsia="arial" w:hAnsi="arial" w:cs="arial"/>
          <w:color w:val="000000"/>
          <w:sz w:val="20"/>
          <w:lang w:val="en-US" w:eastAsia="en-US" w:bidi="ar-SA"/>
        </w:rPr>
        <w:t xml:space="preserve"> where Justice Watt, for the Court,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41 Credibility and reliability are different. Credibility has to do with a witness's veracity, reliability with the accuracy of the witness's testimony. Accuracy engages consideration of the witness's ability to accurately</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observe;</w:t>
      </w:r>
    </w:p>
    <w:p>
      <w:pPr>
        <w:numPr>
          <w:numId w:val="1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recall; and</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recount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events in issue. Any witness whose evidence on an issue is not credible cannot give reliable evidence on the same point. Credibility, on the other hand, is not a proxy for reliability: a credible witness may give unreliable evidence: </w:t>
      </w:r>
      <w:r>
        <w:rPr>
          <w:rFonts w:ascii="arial" w:eastAsia="arial" w:hAnsi="arial" w:cs="arial"/>
          <w:i/>
          <w:color w:val="000000"/>
          <w:sz w:val="20"/>
          <w:lang w:val="en-US" w:eastAsia="en-US" w:bidi="ar-SA"/>
        </w:rPr>
        <w:t>R. v. Morrissey</w:t>
      </w:r>
      <w:r>
        <w:rPr>
          <w:rFonts w:ascii="arial" w:eastAsia="arial" w:hAnsi="arial" w:cs="arial"/>
          <w:color w:val="000000"/>
          <w:sz w:val="20"/>
          <w:lang w:val="en-US" w:eastAsia="en-US" w:bidi="ar-SA"/>
        </w:rPr>
        <w:t xml:space="preserve"> </w:t>
      </w:r>
      <w:hyperlink r:id="rId888" w:history="1">
        <w:r>
          <w:rPr>
            <w:rFonts w:ascii="arial" w:eastAsia="arial" w:hAnsi="arial" w:cs="arial"/>
            <w:i/>
            <w:color w:val="0077CC"/>
            <w:sz w:val="20"/>
            <w:u w:val="single"/>
            <w:shd w:val="clear" w:color="auto" w:fill="FFFFFF"/>
            <w:lang w:val="en-US" w:eastAsia="en-US" w:bidi="ar-SA"/>
          </w:rPr>
          <w:t>(1995), 22 O.R. (3d) 514</w:t>
        </w:r>
      </w:hyperlink>
      <w:r>
        <w:rPr>
          <w:rFonts w:ascii="arial" w:eastAsia="arial" w:hAnsi="arial" w:cs="arial"/>
          <w:color w:val="000000"/>
          <w:sz w:val="20"/>
          <w:lang w:val="en-US" w:eastAsia="en-US" w:bidi="ar-SA"/>
        </w:rPr>
        <w:t>, at 526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Defendants do not suggest that the Plaintiff is not a credible witness. They do say, however, that aspects of his evidence are not reliable. I agree with this broad assertion. It was recently determined that the Plaintiff can no longer care for his affairs and his daughter has been appointed both his guardian and his litigation guardian in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Though the Plaintiff's evidence aligned, in many respects, with other objective and third-party evidence it was also clear, from the evidence that the Plaintiff gave, that he has some difficulties with his memory. Similarly, it was clear that in some respects the evidence he gave was not accurate and that it was inconsistent with other objective evidence. For example, the Plaintiff frequently admitted he did not recall various matters. At other times he would say that he did not recall something but he would later revisit that same topic with a memory that he had recalled in the intervening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 have, as a result of these various frailties, generally made findings that are based on the Admissions of Fact and on evidence from other witnesses including the evidence of the various experts who testified.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On the other hand, though the Defendants argued that Ms. Nikkhah's memory was also unreliable I do not accept this. Ms. Nikkhah's evidence was careful. It was not overstated. She made admissions, without hesitation, that were helpful to the Defendants. Furthermore, much of her evidence of her father's difficulties is supported by other objective evidence. The fact that she did not know certain things as, for example, how much medication her father took before the Accident is simply a function of how independent her father had been. The fact, for example, that she had been aware of numbness, as opposed to both numbness and pain, in her father's hands before the Accident, is similarly a reflection of the fact that her father had addressed his medical difficulties largely on his own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C. </w:t>
      </w:r>
      <w:r>
        <w:rPr>
          <w:rFonts w:ascii="arial" w:eastAsia="arial" w:hAnsi="arial" w:cs="arial"/>
          <w:b/>
          <w:color w:val="000000"/>
          <w:sz w:val="20"/>
          <w:u w:val="single"/>
          <w:lang w:val="en-US" w:eastAsia="en-US" w:bidi="ar-SA"/>
        </w:rPr>
        <w:t>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Accident took place in New Westminster at the intersection of Queens Avenue, which generally runs north and south, and 8th Street, which generally runs east and west. Both the Plaintiff and Mr. Batin gave evidence as to various details of the Accident. Many of those details are captured in the following admissions that are contained in the Admissions of Fact:</w:t>
      </w:r>
      <w:r>
        <w:rPr>
          <w:rFonts w:ascii="arial" w:eastAsia="arial" w:hAnsi="arial" w:cs="arial"/>
          <w:sz w:val="20"/>
          <w:lang w:val="en-US" w:eastAsia="en-US" w:bidi="ar-SA"/>
        </w:rPr>
        <w:cr/>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or before August 5, 2016, Shaw Cablesystems Limited had either expressly or by implication given him permission to operate a 2004 Ford E250 van bearing BC plate 5917HJ (the "Van") during the scope of his duties as a Shaw Technician.</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Van was involved in a collision with a scooter operated by the Plaintiff, Najafgholi Nikkhah, on August 5, 2016, at the intersection of 8th Street and Queens Avenue in New Westminster, BC (the "Accident").</w:t>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time of the Accident, he was operating the Van during the scope of his duties as a Shaw Technician.</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no time prior to the Accident did he see either the Plaintiff or his scooter.</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Prior to the Accident, he had parked the Van on Queens Avenue, about 50 feet back from the intersection of 8th Street.</w:t>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starting the Van and entering traffic on Queens Avenue, he noticed the light controlling traffic on Queens Avenue was red.</w:t>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He turned the Van to the right to leave Queens Avenue and enter the flow of traffic on 8th Street, and as he was making his turn he heard a noise that sounded like he had hit something.</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did not see anything, but he brought the Van to a stop.</w:t>
      </w:r>
    </w:p>
    <w:p>
      <w:pPr>
        <w:numPr>
          <w:numId w:val="24"/>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he got out of the Van, he saw that he had hit a scooter.</w:t>
      </w:r>
    </w:p>
    <w:p>
      <w:pPr>
        <w:numPr>
          <w:numId w:val="25"/>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he first saw the scooter, he noticed that the front of the scooter was stuck under the right front wheel of the Van.</w:t>
      </w:r>
    </w:p>
    <w:p>
      <w:pPr>
        <w:numPr>
          <w:numId w:val="26"/>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Van has a "blind spot" at the front of the Van, which was known to him prior to the Accident.</w:t>
      </w:r>
    </w:p>
    <w:p>
      <w:pPr>
        <w:numPr>
          <w:numId w:val="27"/>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time of the Accident, the traffic light for traffic on Queens was displaying a red light.</w:t>
      </w:r>
    </w:p>
    <w:p>
      <w:pPr>
        <w:numPr>
          <w:numId w:val="2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time of the Accident, the traffic light for traffic on 8th Street was displaying a green light.</w:t>
      </w:r>
    </w:p>
    <w:p>
      <w:pPr>
        <w:numPr>
          <w:numId w:val="29"/>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time of the Accident, pedestrians on 8th Street had a walk signal to cross Queens Avenue.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Batin also testified that as he travelled along Queens Avenue, and as he approached 8th Street, he saw the red light and stopped. He believed he was about five feet from the curb. He waited at the intersection for perhaps "a minute" and he was worried about the traffic from the left that was coming along 8th Street. He allowed that traffic to pass by. He then turned right onto 8th Street going less than 5 km/h and, when he was "one quarter turned", he heard a sound like breaking plastic. It took him "a few seconds" between when he heard the sound and when he stopped. When he stopped, he was already on 8th Street. He sat in his vehicle for perhaps "40 seconds". At that point an older man appeared at the side of his window, knocked on his window and told him that he had been hit. Mr. Batin got out of his van and saw that a safety bar on the scooter had broken off and was trapped under his front tire. The scooter was, however, upright as was a bag of groceries on the scooter.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Photos that were reviewed at trial also showed that a panel on the front of the scooter, and particularly on its left side where it would have been struck, was torn off. The scooter was not usable after the Accident. All of this suggests that the scooter was struck with some degree of force.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central factual question that arises is whether the Plaintiff was struck while in the crosswalk going across Queens Avenue, as the Plaintiff maintains, or whether he was struck while in the crosswalk on 8th Street as Mr. Batin testified. In the first instance the plaintiff would have had a green light as he crossed through the crosswalk. In the second instance the Plaintiff would have been crossing the crosswalk across 8th Street against a red light.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Though I have said that the Plaintiff's evidence is unreliable in many respects, I accept his evidence on this issue. This is so for several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First, Mr. Batin admitted that his recollection of the details of the Accident were somewhat vague. He did not recall, for example, what time of day the Accident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Second, and importantly, the Plaintiff testified that he was on his way home at the time of the Accident. This is consistent with his having groceries on his scooter. If, however, the Plaintiff was in the crosswalk on 8th Street, as Mr. Batin maintained, he would have been heading away from his home. Conversely if the Plaintiff was in the crosswalk on Queens Avenue at the time of the Accident, as he maintained, he would have been on the same side of the street as his home and he would have been headed towards his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 also do not consider that Mr. Batin's evidence is internally consistent in several respects. Mr. Batin said that he was "one quarter" of the way through his turn onto 8th Street when he heard a noise. If he was, in fact, only one quarter of the way through his turn he would not yet have reached the crosswalk on 8th Street. In addition, Mr. Batin placed the Plaintiff's scooter in the crosswalk on 8th Street when he stopped his van. He said, however, that several seconds passed between when he heard a sound and when he stopped. If several seconds passed, and even if Mr. Batin was travelling at less than 5 km/h, he necessarily would have driven through and past the crosswalk on 8th Street before he stopped.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Finally, Mr. Batin's evidence was that the Plaintiff crossed 8th Street against a red light. I consider that this is inherently improbable. 8th Street is four lanes wide with two lanes going in each direction. Based on the photos I was provided, one of those two lanes, in each direction, is used for parking; the other is used for vehicular traffic. The lanes that travel in different directions are not separated by a median or other place where a pedestrian might safely cross half the street and then wait for further traffic to pass.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There necessarily would have had to have been some degree of passing traffic on 8th Street if Mr. Batin was required to wait for approximately a minute before he began to turn onto 8th Street. In such circumstances I consider it unlikely that an elderly person, on a mobility scooter, would launch out across 8th Street on a red light.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Accordingly, in all of the circumstances, I find as a fact that the Plaintiff was in the crosswalk on Queens Avenue when he was struck by the van being driven by Mr. Batin. Based on the Admissions of Fact, the Plaintiff was then on a mobility scooter, in a crosswalk, and crossing both on a green light and a walk signal. Mr. Batin, conversely, was turning on a red light and he had, to his knowledge, a blind spot on the front of his van that prevented him from seeing what was on the right side of the van.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Even in such circumstances, the Defendants argue that the Plaintiff is partly at fault for the Accident. This, they say, is because the Plaintiff admitted at his examination for discovery that he did not look to his left as he began to cross Queens Avenue. There are two components to this submission. One is legal, the other is factual.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As a matter of law, the following provisions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are pertinent:</w:t>
      </w:r>
      <w:r>
        <w:rPr>
          <w:rFonts w:ascii="arial" w:eastAsia="arial" w:hAnsi="arial" w:cs="arial"/>
          <w:sz w:val="20"/>
          <w:lang w:val="en-US" w:eastAsia="en-US" w:bidi="ar-SA"/>
        </w:rPr>
        <w:cr/>
      </w:r>
    </w:p>
    <w:p>
      <w:pPr>
        <w:numPr>
          <w:numId w:val="30"/>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Section 169 of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xml:space="preserve"> provides: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Starting Vehicle</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169 A person must not move a vehicle that is stopped, standing or parked unless the movement can be made with reasonable safety and he or she first gives the appropriate signal under section 171 or 172.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Thus, having stopped, as Mr. Batin admits he did, he had a duty not to move his vehicle forward unless he could do so with reasonable safety.</w:t>
      </w:r>
      <w:r>
        <w:rPr>
          <w:rFonts w:ascii="arial" w:eastAsia="arial" w:hAnsi="arial" w:cs="arial"/>
          <w:sz w:val="20"/>
          <w:lang w:val="en-US" w:eastAsia="en-US" w:bidi="ar-SA"/>
        </w:rPr>
        <w:cr/>
      </w:r>
    </w:p>
    <w:p>
      <w:pPr>
        <w:numPr>
          <w:numId w:val="3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Section 129(1) and (3) provide:</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Red light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129 (1) Subject to subsection (2), when a red light alone is exhibited at an intersection by a traffic control signal, the driver of a vehicle approaching the intersection and facing the red light must cause it to stop before entering the marked crosswalk on the near side of the intersection, or if there is no marked crosswalk, before entering the intersection, and subject to the provisions of subsection (3), must not cause the vehicle to proceed until a traffic control signal instructs the driver that he or she is permitted to do so.</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32"/>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Despite subsection (1), and except when a right turn permitted by this subsection is prohibited by a sign at an intersection, the driver of a vehicle facing the red light, and which in obedience to it is stopped as closely as practicable to a marked crosswalk on the near side of the intersection, or if there is no marked crosswalk, as closely as practicable to the intersection, may cause the vehicle to make a right turn, but the </w:t>
      </w:r>
      <w:r>
        <w:rPr>
          <w:rFonts w:ascii="arial" w:eastAsia="arial" w:hAnsi="arial" w:cs="arial"/>
          <w:color w:val="000000"/>
          <w:sz w:val="20"/>
          <w:u w:val="single"/>
          <w:lang w:val="en-US" w:eastAsia="en-US" w:bidi="ar-SA"/>
        </w:rPr>
        <w:t>driver must yield the right of way to all pedestrians and vehicles lawfully proceeding as directed by the signal at the intersection</w:t>
      </w:r>
      <w:r>
        <w:rPr>
          <w:rFonts w:ascii="arial" w:eastAsia="arial" w:hAnsi="arial" w:cs="arial"/>
          <w:color w:val="000000"/>
          <w:sz w:val="20"/>
          <w:lang w:val="en-US" w:eastAsia="en-US" w:bidi="ar-SA"/>
        </w:rPr>
        <w: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Thus a driver who has stopped at a red light must yield the right-of-way to all pedestrians lawfully proceeding as directed by the signal at the intersection.</w:t>
      </w:r>
      <w:r>
        <w:rPr>
          <w:rFonts w:ascii="arial" w:eastAsia="arial" w:hAnsi="arial" w:cs="arial"/>
          <w:sz w:val="20"/>
          <w:lang w:val="en-US" w:eastAsia="en-US" w:bidi="ar-SA"/>
        </w:rPr>
        <w:cr/>
      </w:r>
    </w:p>
    <w:p>
      <w:pPr>
        <w:numPr>
          <w:numId w:val="33"/>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Section 132(1) provides:</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Pedestrian controls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132 (1) When the word "walk" or an outline of a walking person is exhibited at an intersection by a pedestrian traffic control signal, a pedestrian may proceed across the roadway in the direction of the signal in a marked or unmarked crosswalk and has the right of way over all vehicles in the intersection or any adjacent crosswalk.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Thus, a pedestrian has the right-of-way over all vehicles if the "walk" signal is displayed.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Once a pedestrian has safely entered a crosswalk, absent any overt act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the pedestrian that could mislead motorists into thinking they could proceed safely, a pedestrian may assume that motorists will yield the right-of-way and will share no responsibility if struck in a crosswalk: see </w:t>
      </w:r>
      <w:r>
        <w:rPr>
          <w:rFonts w:ascii="arial" w:eastAsia="arial" w:hAnsi="arial" w:cs="arial"/>
          <w:i/>
          <w:color w:val="000000"/>
          <w:sz w:val="20"/>
          <w:lang w:val="en-US" w:eastAsia="en-US" w:bidi="ar-SA"/>
        </w:rPr>
        <w:t>Zacher v. Prescesky</w:t>
      </w:r>
      <w:r>
        <w:rPr>
          <w:rFonts w:ascii="arial" w:eastAsia="arial" w:hAnsi="arial" w:cs="arial"/>
          <w:color w:val="000000"/>
          <w:sz w:val="20"/>
          <w:lang w:val="en-US" w:eastAsia="en-US" w:bidi="ar-SA"/>
        </w:rPr>
        <w:t xml:space="preserve">, </w:t>
      </w:r>
      <w:hyperlink r:id="rId889" w:history="1">
        <w:r>
          <w:rPr>
            <w:rFonts w:ascii="arial" w:eastAsia="arial" w:hAnsi="arial" w:cs="arial"/>
            <w:i/>
            <w:color w:val="0077CC"/>
            <w:sz w:val="20"/>
            <w:u w:val="single"/>
            <w:shd w:val="clear" w:color="auto" w:fill="FFFFFF"/>
            <w:lang w:val="en-US" w:eastAsia="en-US" w:bidi="ar-SA"/>
          </w:rPr>
          <w:t>2019 BCSC 500</w:t>
        </w:r>
      </w:hyperlink>
      <w:r>
        <w:rPr>
          <w:rFonts w:ascii="arial" w:eastAsia="arial" w:hAnsi="arial" w:cs="arial"/>
          <w:color w:val="000000"/>
          <w:sz w:val="20"/>
          <w:lang w:val="en-US" w:eastAsia="en-US" w:bidi="ar-SA"/>
        </w:rPr>
        <w:t xml:space="preserve"> at paras. 1-4 and the additional authorities referred to in those paragraphs. Furthermore, the Court in </w:t>
      </w:r>
      <w:r>
        <w:rPr>
          <w:rFonts w:ascii="arial" w:eastAsia="arial" w:hAnsi="arial" w:cs="arial"/>
          <w:i/>
          <w:color w:val="000000"/>
          <w:sz w:val="20"/>
          <w:lang w:val="en-US" w:eastAsia="en-US" w:bidi="ar-SA"/>
        </w:rPr>
        <w:t>Falconar v. Le</w:t>
      </w:r>
      <w:r>
        <w:rPr>
          <w:rFonts w:ascii="arial" w:eastAsia="arial" w:hAnsi="arial" w:cs="arial"/>
          <w:color w:val="000000"/>
          <w:sz w:val="20"/>
          <w:lang w:val="en-US" w:eastAsia="en-US" w:bidi="ar-SA"/>
        </w:rPr>
        <w:t xml:space="preserve">, </w:t>
      </w:r>
      <w:hyperlink r:id="rId890" w:history="1">
        <w:r>
          <w:rPr>
            <w:rFonts w:ascii="arial" w:eastAsia="arial" w:hAnsi="arial" w:cs="arial"/>
            <w:i/>
            <w:color w:val="0077CC"/>
            <w:sz w:val="20"/>
            <w:u w:val="single"/>
            <w:shd w:val="clear" w:color="auto" w:fill="FFFFFF"/>
            <w:lang w:val="en-US" w:eastAsia="en-US" w:bidi="ar-SA"/>
          </w:rPr>
          <w:t>2003 BCSC 1434</w:t>
        </w:r>
      </w:hyperlink>
      <w:r>
        <w:rPr>
          <w:rFonts w:ascii="arial" w:eastAsia="arial" w:hAnsi="arial" w:cs="arial"/>
          <w:color w:val="000000"/>
          <w:sz w:val="20"/>
          <w:lang w:val="en-US" w:eastAsia="en-US" w:bidi="ar-SA"/>
        </w:rPr>
        <w:t xml:space="preserve"> at paras. 63-65, confirmed that the term "pedestrian" in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xml:space="preserve"> ought to be construed liberally, so as to give effect to the purpose of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and extends to a person who is riding a mobility scooter.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The Defendants, conversely, seek to rely on </w:t>
      </w:r>
      <w:r>
        <w:rPr>
          <w:rFonts w:ascii="arial" w:eastAsia="arial" w:hAnsi="arial" w:cs="arial"/>
          <w:i/>
          <w:color w:val="000000"/>
          <w:sz w:val="20"/>
          <w:lang w:val="en-US" w:eastAsia="en-US" w:bidi="ar-SA"/>
        </w:rPr>
        <w:t>Krause v. McFall</w:t>
      </w:r>
      <w:r>
        <w:rPr>
          <w:rFonts w:ascii="arial" w:eastAsia="arial" w:hAnsi="arial" w:cs="arial"/>
          <w:color w:val="000000"/>
          <w:sz w:val="20"/>
          <w:lang w:val="en-US" w:eastAsia="en-US" w:bidi="ar-SA"/>
        </w:rPr>
        <w:t xml:space="preserve">, </w:t>
      </w:r>
      <w:hyperlink r:id="rId891" w:history="1">
        <w:r>
          <w:rPr>
            <w:rFonts w:ascii="arial" w:eastAsia="arial" w:hAnsi="arial" w:cs="arial"/>
            <w:i/>
            <w:color w:val="0077CC"/>
            <w:sz w:val="20"/>
            <w:u w:val="single"/>
            <w:shd w:val="clear" w:color="auto" w:fill="FFFFFF"/>
            <w:lang w:val="en-US" w:eastAsia="en-US" w:bidi="ar-SA"/>
          </w:rPr>
          <w:t>[1997] B.C.J. No. 2371</w:t>
        </w:r>
      </w:hyperlink>
      <w:r>
        <w:rPr>
          <w:rFonts w:ascii="arial" w:eastAsia="arial" w:hAnsi="arial" w:cs="arial"/>
          <w:color w:val="000000"/>
          <w:sz w:val="20"/>
          <w:lang w:val="en-US" w:eastAsia="en-US" w:bidi="ar-SA"/>
        </w:rPr>
        <w:t xml:space="preserve"> (S.C.) in which an elderly pedestrian was struck in a crosswalk by the bus that she had just exited and which was turning into the intersection that she was seeking to cross. Because the pedestrian was using a cane and had difficulty walking, she was walking with her head down. The evidence established that the plaintiff effectively walked into the side of the bus some two to three feet behind the front right tire of the bus. The Court determined that in such circumstances, the plaintiff and defendant were each 50% liable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There are two related factual matters that respond to the position of the Defendants and which distinguish this case from </w:t>
      </w:r>
      <w:r>
        <w:rPr>
          <w:rFonts w:ascii="arial" w:eastAsia="arial" w:hAnsi="arial" w:cs="arial"/>
          <w:i/>
          <w:color w:val="000000"/>
          <w:sz w:val="20"/>
          <w:lang w:val="en-US" w:eastAsia="en-US" w:bidi="ar-SA"/>
        </w:rPr>
        <w:t>Krause</w:t>
      </w:r>
      <w:r>
        <w:rPr>
          <w:rFonts w:ascii="arial" w:eastAsia="arial" w:hAnsi="arial" w:cs="arial"/>
          <w:color w:val="000000"/>
          <w:sz w:val="20"/>
          <w:lang w:val="en-US" w:eastAsia="en-US" w:bidi="ar-SA"/>
        </w:rPr>
        <w:t>. First, Mr. Batin testified that he was about five feet from the curb as he waited to turn right. Second, he said he had stopped for about a minute, waiting for traffic to pass, before he began to turn. Based on these facts, the Plaintiff would necessarily have been in the crosswalk, by at least five feet, when he was struck. Second, even if the Plaintiff had looked left he would have seen a van that had stopped and that was allowing traffic, and presumably pedestrians, to pass. In such circumstances, there would have been no reason for the Plaintiff to hesitate or wait before he began to enter the crosswalk.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 therefore find that Mr. Batin is 100% at fault for the Accident. I also find that the Defendant, Shaw Cablesystems, is vicariously liable for the acts of its employee. The facts that establish this liability are admitted in the Admissions of Fact. Furthermore, counsel for Shaw Cablesystems did not contest this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D. </w:t>
      </w:r>
      <w:r>
        <w:rPr>
          <w:rFonts w:ascii="arial" w:eastAsia="arial" w:hAnsi="arial" w:cs="arial"/>
          <w:b/>
          <w:color w:val="000000"/>
          <w:sz w:val="20"/>
          <w:u w:val="single"/>
          <w:lang w:val="en-US" w:eastAsia="en-US" w:bidi="ar-SA"/>
        </w:rPr>
        <w:t>THE PLAINTIFF'S INJURIES RESULTING FROM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There is no dispute with respect to several of the injuries that the Plaintiff suffered in the Accident. When the Plaintiff's scooter was struck, he fell off and landed on his right elbow and his right shoulder. He was taken to the hospital and discharged later that same day. He does not appear to have struck his head. A few days later, he attended at a walk-in clinic and he complained of neck, back, and right shoulder pain. He began to attend physiotherapy immediately thereafter. On September 20, 2016, he had a right shoulder x-ray and, on September 21, 2016, or some six weeks after the Accident, he visited Dr. Fasihy. At that visit he complained of,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right shoulder pain, headaches and neck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evidence in relation to these various injuries is consistent and not contested by the Defendants. The most serious and enduring of these injuries is the injury to his right shoulder. An ultrasound, performed in the fall of 2016, revealed a "full thickness tear" of the subscapularis and supraspinatous tendons in the Plaintiff's right shoulder. This injury is sufficiently serious that it prevented, and continues to prevent, the Plaintiff from using his right arm. The Plaintiff demonstrated that he is unable to lift his right arm more than a few inches without assisting that arm with his left hand. On account of his age, he has been told that he is not a suitable candidate for surgery and there is, accordingly, no prospect of any improvement in this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Dr. Fasihy's expert reports also concluded that the Accident caused the Plaintiff to suffer sprains or strains to "his neck, upper and lower back". These various conclusions are supported by other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This includes the expert report of Dr. Gittens, a neurosurgeon, who filed a report and who gave evidence on behalf of the Defendants. Dr. Gittens' report states: "I do not think there is any doubt that Mr. Nikkhah suffered soft tissue injuries to the neck, upper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Furthermore, from January 2017 to December 2017, the Plaintiff saw an occupational therapist called Ms. Ugarelli who reported to the Insurance Corporation of British Columbia ("ICBC"). Her various records identify the Plaintiff's pre-existing difficulties with his hands and right knee. Her January 2017 records also note, for example, that the Plaintiff's left shoulder range of motion, though limited, is at 90 degrees. His right shoulder range of motion is 0 degree. Similarly, his left upper extremity strength is within normal limits. His right upper extremity "has no strength" and he was "unable to use right shoulder or his right arm". Furthermore, the range of motion in his neck, to the right and to the left, was "extremely limited and ranged from 0 degree to 20 degrees". Her August 21, 2017 report concluded that the Plaintiff continued to suffer from lower back pain and that his neck range of motion though "improved slightly" was still "limited".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Similarly, Mr. Gander, an occupational therapist who performed a functional capacity evaluation and cost of future care analysis for the Plaintiff in July 2019 identified ongoing limitations in strength and mobility in the Plaintiff's right arm and shoulder and noted that the Plaintiff complained of constant pain in his right shoulder. Though the Plaintiff continued to complain of neck and back pain at trial he does not appear to have identified these difficulties to Mr. Gander during his evaluation.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There is further evidence that speaks to the severity of the Plaintiff's shoulder injury. In his early meetings with Dr. Fasihy, there were reports of his crying on account of the severity of the pain in his shoulder. He attended at Dr. Fasihy's office several times in the summer of 2017 complaining of "excruciating pain". He was prescribed opioid medication which he resists but he continues to take Tylenol 3, Tylenol, and Advil and to use other salves and lotions to reduce his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Following the Accident he was also unable to sleep in his bed because of his shoulder pain. His daughter bought him a new bed in the hope that this would help, though it did not. She thereafter bought him a recliner chair and he has now slept in that chair, on a nightly basis, for more than two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records of Ms. Ugarelli refer to the Plaintiff's severe difficulties with sleep, albeit for several reasons, as do the reports of Dr. Fasihy and Mr. Gander. Though I accept, as the Defendants argue, that the Plaintiff's difficulties with sleep have been contributed to by his ongoing hand and knee pain, I am satisfied that the dominant or primary cause of that difficulty is his right shoulder pain. It is that right shoulder pain that now requires him to sleep in a chair.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One further consequence of the Plaintiff's limited ability to use his right arm is relevant. The Plaintiff used a cane prior to the Accident. The Plaintiff is right-handed and Mr. Gander's report establishes that even now his right hand is stronger than his left. Furthermore, though he had difficulties with both his hands before the Accident, Mr. Gander's testing establishes that the mobility in the Plaintiff's left hand is more limited and he is unable to "tuck" two of his fingers. The Plaintiff gave similar evidence at trial. The result of this is that the Plaintiff now holds his cane in his weaker left hand, which makes it more difficult for him to grip the cane.</w:t>
      </w:r>
      <w:r>
        <w:rPr>
          <w:rFonts w:ascii="arial" w:eastAsia="arial" w:hAnsi="arial" w:cs="arial"/>
          <w:sz w:val="20"/>
          <w:lang w:val="en-US" w:eastAsia="en-US" w:bidi="ar-SA"/>
        </w:rPr>
        <w:cr/>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Did the Plaintiff Suffer a Concussion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It is less clear whether the Plaintiff suffered a concussion in the Accident and, if so, what the interrelationship of that concussion is with a further concussion that he suffered several months later in the December Fall. This is relevant because the Plaintiff has developed significant balance issues and because his memory and cognition have significantly deteriorated. Dr. Gittens' report accepts that the Plaintiff's condition, from a physical, cognitive, and emotional perspective, had deteriorated. The Defendants argue, however, that none of these conditions were caused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In support of this assertion, the Defendants rely primarily on the evidence of Dr. Gittens who, in his report, opined that the Plaintiff did not suffer a concussion or a mild traumatic brain injury in the Accident. Dr. Gittens' report states that his conclusions were based "entirely on the note of the emergency physician" who treated the Plaintiff when he was taken to the hospital after the Accident. Those notes record that the Plaintiff did not hit his head in the Accident, and that he did not suffer any loss of consciousness, headaches, nausea or changes in his vision.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Dr. Fasihy, who had treated the Plaintiff for approximately 15 months prior to the Accident, had him complete a concussion assessment test or survey when they met on September 21, 2016. The fact that he had the Plaintiff complete this survey on their first meeting subsequent to the Accident is telling. In that survey, which identifies more than 20 criteria including such things as headaches, nausea, dizziness, blurred vision, balance problems, sensitivity to light and sound, mental fog, feeling slowed down, fatigue, difficulty concentrating and remembering, confusion, drowsiness, increased emotion, irritability, anxiety, and sadness, the Plaintiff indicated that he was having serious to severe difficulty in almost all such areas.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Dr. Gittens, who never met the Plaintiff or his daughter and who only completed a review of various records, was a straightforward and plain speaking witness. In his report Dr. Gittens had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Certainly the symptoms suggestive of post-concussion syndrome were not documented until October (sic) of 2016, some six weeks following the motor vehicle incident, and it is possible that in this period of time, other factors could be contributing to the development of the post-concussion symptoms documented. There is no doubt that the list of symptoms reported are part of the syndrome of post-concussion syndrome. the Plaintiff did not demonstrate, based on the records available, any early signs and symptoms to strongly support a diagnosis of any concussion, hence one could question if the reported later symptoms or direct result of the incident of August 5,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Dr. Fasihy, however, has opined in each of his two reports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a result of his original MVA and subsequent falls due to trouble with balance, the Plaintiff developed ever compounding and worsening post-concussive symptoms. He is still suffering from concussive symptoms (mainly trouble with his memory) which were not present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In his cross-examination, Dr. Gittens accepted that there is no need for an individual to strike their head in order to suffer a concussion and that the elderly are more susceptible to concussions than are younger individuals. Importantly, Dr. Gittens accepted that if the Plaintiff had begun to manifest the symptoms that were reflected in the survey he completed shortly after the Accident, his conclusion would change. Accordingly, it is necessary to consider the Plaintiff's condition between the time of the Accident and his attendance at Dr. Fasihy's office on September 21,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primary source of this evidence was Ms. Nikkhah. She testified, and I accept, that as soon as she returned from Hawaii, she observed significant differences in her father. He was shaky and vulnerable and he would cry. When she took him to his prayer meetings or to his early physiotherapy appointments, shortly after the Accident, he would not recognize where they were. His speech was affected, he could not find the words that he was looking for, and people could not understand him. He told his daughter that he was dizzy, that he had headaches, and that his vision was not right. Ms. Nikkhah further testified that the changes to his memory and to his mood started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These, and other symptoms, are the very matters that are addressed in the concussion survey that the Plaintiff completed at Dr. Fasihy's office with his daughter's assistance.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 would also note that Dr. Fasihy's report identifies that Ms. Nikkhah reported to him that her father's behaviours were changed "after the accident". She described his behaviours as "bizarre", she told him that the Plaintiff had been unable to lead the religious services he had previously directed, she said her father was having significant memory issues and she expressed concern over his abrupt change in personality since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Based on the foregoing evidence I am satisfied, and I find, that the Plaintiff began to exhibit various post-concussion symptoms shortly after the Accident. I am also satisfied, and I find, that the Plaintiff suffered a concussion in the Accident.</w:t>
      </w:r>
      <w:r>
        <w:rPr>
          <w:rFonts w:ascii="arial" w:eastAsia="arial" w:hAnsi="arial" w:cs="arial"/>
          <w:sz w:val="20"/>
          <w:lang w:val="en-US" w:eastAsia="en-US" w:bidi="ar-SA"/>
        </w:rPr>
        <w:cr/>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Mood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Plaintiff began to exhibit signs of low mood and sadness starting after the Accident. That issue is not squarely addressed by Dr. Gittens. Dr. Fasihy, in his reports, has opined that the Accident caused this depression. I accept that evidence.</w:t>
      </w:r>
      <w:r>
        <w:rPr>
          <w:rFonts w:ascii="arial" w:eastAsia="arial" w:hAnsi="arial" w:cs="arial"/>
          <w:sz w:val="20"/>
          <w:lang w:val="en-US" w:eastAsia="en-US" w:bidi="ar-SA"/>
        </w:rPr>
        <w:cr/>
      </w:r>
    </w:p>
    <w:p>
      <w:pPr>
        <w:numPr>
          <w:numId w:val="3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Plaintiff's Balance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A further question that arises is whether the Plaintiff's balance was adversely affected by the Accident. The Defendants argue that the Plaintiff suffered from dizziness before the Accident, or, alternatively, that his dizziness was caused by the December Fall. They further argue that it is difficulties with the Plaintiff's right knee that have caused him to fall on a number of occasions since the Accident. Each of these assertions requires consideration of a different body of evidence.</w:t>
      </w:r>
      <w:r>
        <w:rPr>
          <w:rFonts w:ascii="arial" w:eastAsia="arial" w:hAnsi="arial" w:cs="arial"/>
          <w:sz w:val="20"/>
          <w:lang w:val="en-US" w:eastAsia="en-US" w:bidi="ar-SA"/>
        </w:rPr>
        <w:cr/>
      </w:r>
    </w:p>
    <w:p>
      <w:pPr>
        <w:numPr>
          <w:numId w:val="3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b/>
          <w:color w:val="000000"/>
          <w:sz w:val="20"/>
          <w:lang w:val="en-US" w:eastAsia="en-US" w:bidi="ar-SA"/>
        </w:rPr>
        <w:t>Did the Plaintiff suffer from dizziness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Defendants' first assertion is based on two clinical records, made in July and September 2014 that are referred to in the Admissions of Fact and that note that the Plaintiff had complained of dizziness. The second entry also records that the Plaintiff fell on account of his dizziness.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issue of the Plaintiff's dizziness, prior to the Accident, is not addressed in the expert evidence. The Plaintiff had no memory of these events. His daughter recalled the fall, which took place in his home, but did not recall whether he had been dizzy at the time. She also had no memory of her father complaining about dizziness at any other time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 am satisfied, and I find, that the two reports of dizziness I have referred to were isolated in nature and did not reflect an ongoing condition. I say this because there is no further reference to the Plaintiff being dizzy or to his falling prior to the Accidents in the Admissions of Fact and in the 20 further distinct clinical records that are referred to in those Admissions of Fact. These 20 further references pertain to the nearly two year period between September 2014 and the date of the Accident. To be specific, the Plaintiff continued, during this two-year period of time, to complain of ongoing hand and right knee problems. He never, however, again complained of or referenced the issue of dizziness.</w:t>
      </w:r>
      <w:r>
        <w:rPr>
          <w:rFonts w:ascii="arial" w:eastAsia="arial" w:hAnsi="arial" w:cs="arial"/>
          <w:sz w:val="20"/>
          <w:lang w:val="en-US" w:eastAsia="en-US" w:bidi="ar-SA"/>
        </w:rPr>
        <w:cr/>
      </w:r>
    </w:p>
    <w:p>
      <w:pPr>
        <w:numPr>
          <w:numId w:val="38"/>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Were the Plaintiff's dizziness and the impairment of his memory caused by the December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December Fall occurred near the SkyTrain station in New Westminster. The Plaintiff was walking to his wife's home when he slipped on some ice, fell and hit his head. He was taken to the Royal Columbian Hospital and he spent two full months there. He was discharged on February 14, 2017. It is not quite clear why he was kept in the hospital for so long though it is clear that he was diagnosed with a severe concussion.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question of whether the Plaintiff's difficulties with his balance, dizziness, and memory started with the December Fall engages both a factual and legal issue. I have found, as a fact, that the Plaintiff began to demonstrate problems with his memory and speech and to exhibit changes in personality and mood shortly after the Accident and well before the December Fall. To the extent these difficulties were exacerbated by the December Fall this, again, engages a legal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factual question of whether the Plaintiff's problems with balance and dizziness were caused by the December Fall is best addressed by looking at the evidence, in relation to this specific issue, between the date of the Accident and the December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When the Plaintiff met with Dr. Fasihy on September 21, 2016 he identified that he was struggling with both severe dizziness and balance problems. On his next visit to Dr. Fasihy, on October 12, 2016, he again complained of these and other difficulties. These difficulties were sufficiently severe that the Plaintiff was referred to and seen by a specialist on November 3, 2016. The opinion in the report of that specialist, to the effect that the Plaintiff's "dizziness is post-concussive in nature", is inadmissible because its author was never called to give evidence. The fact that the Plaintiff was referred to a specialist in this timeframe to address his dizziness is both admissible and relevant.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Based on the foregoing evidence, I find that shortly after the Accident, and well before the December Fall, the Plaintiff both suffered from and complained of his being dizzy and of difficulties with his balance</w:t>
      </w:r>
      <w:r>
        <w:rPr>
          <w:rFonts w:ascii="arial" w:eastAsia="arial" w:hAnsi="arial" w:cs="arial"/>
          <w:sz w:val="20"/>
          <w:lang w:val="en-US" w:eastAsia="en-US" w:bidi="ar-SA"/>
        </w:rPr>
        <w:cr/>
      </w:r>
    </w:p>
    <w:p>
      <w:pPr>
        <w:numPr>
          <w:numId w:val="3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Further or Continued Changes Since the December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 have concluded that shortly after the Accident, the Plaintiff began to exhibit difficulties with his balance, memory and mood, as well as changes in his behaviour. These conclusions are consistent with the evidence of both his daughter and Dr. Fasihy. Those changes have continued and have given rise to further declines in his memory and in his ability to care for his ongoing needs. These difficulties are sufficiently serious that his daughter has recently become his guardian so that she can assist him with his living arrangements, his banking needs, and with other similar matters. Though Dr. Fasihy admitted that it is common for the elderly to begin to suffer difficulties that are related to a loss or impairment of memory, there is no evidence that the Plaintiff had begun to suffer from such difficulties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Plaintiff's dizziness and ongoing balance issues were also noted in Ms. Ugarelli's ongoing reports to ICBC and are identified in Mr. Gander's functional capacity report.</w:t>
      </w:r>
      <w:r>
        <w:rPr>
          <w:rFonts w:ascii="arial" w:eastAsia="arial" w:hAnsi="arial" w:cs="arial"/>
          <w:sz w:val="20"/>
          <w:lang w:val="en-US" w:eastAsia="en-US" w:bidi="ar-SA"/>
        </w:rPr>
        <w:cr/>
      </w:r>
    </w:p>
    <w:p>
      <w:pPr>
        <w:numPr>
          <w:numId w:val="40"/>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Plaintiff's Condition Since the Accident and at Present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Plaintiff's physical and mental condition, as well as his quality of life is fundamentally altered since the Accident. He cannot, for practical purposes, use his right arm. Ms. Ugarelli notes, for example, that he now makes tea using his left arm alone.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He is much less able to travel or commute on his own. Though he wishes to be independent, his daughter is reluctant to let him go out on his own. She presently takes him, for example, to his medical appointments and to his prayer meetings. Whereas prior to the Accident she would visit her father at his apartment approximately twice a month, she now goes to his apartment approximately five times a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Plaintiff is unable to exercise in any meaningful way. This, in combination with his being less able to leave his home, has caused him to become significantly weakened and deconditioned.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 Plaintiff is no longer able to dress or bathe himself or to clean his apartment. Since the December Fall he has had an individual come to his home, for about an hour and a half a day, five days a week, to assist with these functions, to help him cook some simple meals, and to give him massages. His daughter also assists with helping maintain his apartment and getting him groceries.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Plaintiff's problems with his memory have also altered his role within the religious and cultural groups that he is involved with. He formerly began and finished the religious gatherings he attended with a prayer that, at least in some instances, he had memorized. While he still occupies his role as an elder, he will now sometimes ask others to undertake or complete these prayers and readings. He also, on account of his diminished state, no longer has people coming to visit or stay with him or to seek his counsel. He no longer plays the harmonica or sings on social occasions. He told Mr. Gander that he felt isolated.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 Plaintiff also now falls with some regularity. His daughter identified this concern as do the reports of Ms. Ugarelli and Mr. Gander. It is clear that some of these falls are attributable to instability in his right knee. That instability is not attributable to the Accident. Nevertheless, it seems artificial to pretend that instability in the Plaintiff's right knee is not necessarily exacerbated by his difficulties with dizziness and his balance, with his body, including his lower body, having become deconditioned and with the limitations he has in using his cane in his right or dominant hand. I observe that there is no record of the Plaintiff ever falling, on account of instability in his right knee,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Finally, the Plaintiff lives with consistent and ongoing pain. That pain is significant and requires that he take painkillers and other analgesics on an ongoing basis. His inability to sleep, already an issue before the Accident, is now much worse. He is depressed. He will sometimes cry. He is unable to manage his financial and other affairs.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E. </w:t>
      </w:r>
      <w:r>
        <w:rPr>
          <w:rFonts w:ascii="arial" w:eastAsia="arial" w:hAnsi="arial" w:cs="arial"/>
          <w:b/>
          <w:color w:val="000000"/>
          <w:sz w:val="20"/>
          <w:u w:val="single"/>
          <w:lang w:val="en-US" w:eastAsia="en-US" w:bidi="ar-SA"/>
        </w:rPr>
        <w:t>THE LEGAL FRAMEWORK APPLIED TO THE FINDINGS OF FACT I HAVE MADE</w:t>
      </w:r>
      <w:r>
        <w:rPr>
          <w:rFonts w:ascii="arial" w:eastAsia="arial" w:hAnsi="arial" w:cs="arial"/>
          <w:sz w:val="20"/>
          <w:lang w:val="en-US" w:eastAsia="en-US" w:bidi="ar-SA"/>
        </w:rPr>
        <w:cr/>
      </w:r>
    </w:p>
    <w:p>
      <w:pPr>
        <w:numPr>
          <w:numId w:val="4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In order for a plaintiff to establish causation, the basic question is whether, but for the defendant's actions, the plaintiff's injuries would have occurred. In </w:t>
      </w:r>
      <w:r>
        <w:rPr>
          <w:rFonts w:ascii="arial" w:eastAsia="arial" w:hAnsi="arial" w:cs="arial"/>
          <w:i/>
          <w:color w:val="000000"/>
          <w:sz w:val="20"/>
          <w:lang w:val="en-US" w:eastAsia="en-US" w:bidi="ar-SA"/>
        </w:rPr>
        <w:t>Clements v. Clements</w:t>
      </w:r>
      <w:r>
        <w:rPr>
          <w:rFonts w:ascii="arial" w:eastAsia="arial" w:hAnsi="arial" w:cs="arial"/>
          <w:color w:val="000000"/>
          <w:sz w:val="20"/>
          <w:lang w:val="en-US" w:eastAsia="en-US" w:bidi="ar-SA"/>
        </w:rPr>
        <w:t xml:space="preserve">, </w:t>
      </w:r>
      <w:hyperlink r:id="rId607" w:history="1">
        <w:r>
          <w:rPr>
            <w:rFonts w:ascii="arial" w:eastAsia="arial" w:hAnsi="arial" w:cs="arial"/>
            <w:i/>
            <w:color w:val="0077CC"/>
            <w:sz w:val="20"/>
            <w:u w:val="single"/>
            <w:shd w:val="clear" w:color="auto" w:fill="FFFFFF"/>
            <w:lang w:val="en-US" w:eastAsia="en-US" w:bidi="ar-SA"/>
          </w:rPr>
          <w:t>2012 SCC 32</w:t>
        </w:r>
      </w:hyperlink>
      <w:r>
        <w:rPr>
          <w:rFonts w:ascii="arial" w:eastAsia="arial" w:hAnsi="arial" w:cs="arial"/>
          <w:color w:val="000000"/>
          <w:sz w:val="20"/>
          <w:lang w:val="en-US" w:eastAsia="en-US" w:bidi="ar-SA"/>
        </w:rPr>
        <w:t>, the Court restated the "but for" test and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 The test for showing causation is the "but for" test. The plaintiff must show on a balance of probabilities that "but for" the defendant's negligent act, the injury would not have occurred. Inherent in the phrase "but for" is the requirement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necessary to bring about the injury ? in other words that the injury would not have occurred without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That is a factual inquiry. If the plaintiff does not establish this on a balance of probabilities, having regard to all the evidence, her action against the defendant fails.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A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does not have to be a sole cause of a plaintiff's injury. Thus, in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505"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at para. 17, the Court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17 It is not now necessary, nor has it ever been, for the plaintiff to establish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the </w:t>
      </w:r>
      <w:r>
        <w:rPr>
          <w:rFonts w:ascii="arial" w:eastAsia="arial" w:hAnsi="arial" w:cs="arial"/>
          <w:color w:val="000000"/>
          <w:sz w:val="20"/>
          <w:u w:val="single"/>
          <w:lang w:val="en-US" w:eastAsia="en-US" w:bidi="ar-SA"/>
        </w:rPr>
        <w:t>sole cause</w:t>
      </w:r>
      <w:r>
        <w:rPr>
          <w:rFonts w:ascii="arial" w:eastAsia="arial" w:hAnsi="arial" w:cs="arial"/>
          <w:color w:val="000000"/>
          <w:sz w:val="20"/>
          <w:lang w:val="en-US" w:eastAsia="en-US" w:bidi="ar-SA"/>
        </w:rPr>
        <w:t xml:space="preserve"> of the injury. There will frequently be a myriad of other background events which were necessary preconditions to the injury occurring. To borrow an example from Professor Fleming (</w:t>
      </w:r>
      <w:r>
        <w:rPr>
          <w:rFonts w:ascii="arial" w:eastAsia="arial" w:hAnsi="arial" w:cs="arial"/>
          <w:i/>
          <w:color w:val="000000"/>
          <w:sz w:val="20"/>
          <w:lang w:val="en-US" w:eastAsia="en-US" w:bidi="ar-SA"/>
        </w:rPr>
        <w:t>The Law of Torts</w:t>
      </w:r>
      <w:r>
        <w:rPr>
          <w:rFonts w:ascii="arial" w:eastAsia="arial" w:hAnsi="arial" w:cs="arial"/>
          <w:color w:val="000000"/>
          <w:sz w:val="20"/>
          <w:lang w:val="en-US" w:eastAsia="en-US" w:bidi="ar-SA"/>
        </w:rPr>
        <w:t xml:space="preserve"> (8th ed. 1992) at p. 193), a "fire ignited in a wastepaper basket is . . . caused not only by the dropping of a lighted match, but also by the presence of combustible material and oxygen, a failure of the cleaner to empty the basket and so forth". As long as a defendant is </w:t>
      </w:r>
      <w:r>
        <w:rPr>
          <w:rFonts w:ascii="arial" w:eastAsia="arial" w:hAnsi="arial" w:cs="arial"/>
          <w:color w:val="000000"/>
          <w:sz w:val="20"/>
          <w:u w:val="single"/>
          <w:lang w:val="en-US" w:eastAsia="en-US" w:bidi="ar-SA"/>
        </w:rPr>
        <w:t>part</w:t>
      </w:r>
      <w:r>
        <w:rPr>
          <w:rFonts w:ascii="arial" w:eastAsia="arial" w:hAnsi="arial" w:cs="arial"/>
          <w:color w:val="000000"/>
          <w:sz w:val="20"/>
          <w:lang w:val="en-US" w:eastAsia="en-US" w:bidi="ar-SA"/>
        </w:rPr>
        <w:t xml:space="preserve"> of the cause of an injury, the defendant is liable, even though his act alone was not enough to create the injury. There is no basis for a reduction of liability because of the existence of other preconditions: defendants remain liable for all injuries caused or contributed to by their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A defendant's contribution to the injury they have caused must, however, be beyond the </w:t>
      </w:r>
      <w:r>
        <w:rPr>
          <w:rFonts w:ascii="arial" w:eastAsia="arial" w:hAnsi="arial" w:cs="arial"/>
          <w:i/>
          <w:color w:val="000000"/>
          <w:sz w:val="20"/>
          <w:lang w:val="en-US" w:eastAsia="en-US" w:bidi="ar-SA"/>
        </w:rPr>
        <w:t>de minimis</w:t>
      </w:r>
      <w:r>
        <w:rPr>
          <w:rFonts w:ascii="arial" w:eastAsia="arial" w:hAnsi="arial" w:cs="arial"/>
          <w:color w:val="000000"/>
          <w:sz w:val="20"/>
          <w:lang w:val="en-US" w:eastAsia="en-US" w:bidi="ar-SA"/>
        </w:rPr>
        <w:t xml:space="preserve"> range. In </w:t>
      </w:r>
      <w:r>
        <w:rPr>
          <w:rFonts w:ascii="arial" w:eastAsia="arial" w:hAnsi="arial" w:cs="arial"/>
          <w:i/>
          <w:color w:val="000000"/>
          <w:sz w:val="20"/>
          <w:lang w:val="en-US" w:eastAsia="en-US" w:bidi="ar-SA"/>
        </w:rPr>
        <w:t>Pololos v. Cinnamon-Lopez</w:t>
      </w:r>
      <w:r>
        <w:rPr>
          <w:rFonts w:ascii="arial" w:eastAsia="arial" w:hAnsi="arial" w:cs="arial"/>
          <w:color w:val="000000"/>
          <w:sz w:val="20"/>
          <w:lang w:val="en-US" w:eastAsia="en-US" w:bidi="ar-SA"/>
        </w:rPr>
        <w:t xml:space="preserve">, </w:t>
      </w:r>
      <w:hyperlink r:id="rId892" w:history="1">
        <w:r>
          <w:rPr>
            <w:rFonts w:ascii="arial" w:eastAsia="arial" w:hAnsi="arial" w:cs="arial"/>
            <w:i/>
            <w:color w:val="0077CC"/>
            <w:sz w:val="20"/>
            <w:u w:val="single"/>
            <w:shd w:val="clear" w:color="auto" w:fill="FFFFFF"/>
            <w:lang w:val="en-US" w:eastAsia="en-US" w:bidi="ar-SA"/>
          </w:rPr>
          <w:t>2016 BCSC 81</w:t>
        </w:r>
      </w:hyperlink>
      <w:r>
        <w:rPr>
          <w:rFonts w:ascii="arial" w:eastAsia="arial" w:hAnsi="arial" w:cs="arial"/>
          <w:color w:val="000000"/>
          <w:sz w:val="20"/>
          <w:lang w:val="en-US" w:eastAsia="en-US" w:bidi="ar-SA"/>
        </w:rPr>
        <w:t xml:space="preserve"> the Court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[57] The plaintiff need only establish a "substantial connection" between the injury and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order to find the defendant liable: </w:t>
      </w:r>
      <w:r>
        <w:rPr>
          <w:rFonts w:ascii="arial" w:eastAsia="arial" w:hAnsi="arial" w:cs="arial"/>
          <w:i/>
          <w:color w:val="000000"/>
          <w:sz w:val="20"/>
          <w:lang w:val="en-US" w:eastAsia="en-US" w:bidi="ar-SA"/>
        </w:rPr>
        <w:t>Sam v. Wilson</w:t>
      </w:r>
      <w:r>
        <w:rPr>
          <w:rFonts w:ascii="arial" w:eastAsia="arial" w:hAnsi="arial" w:cs="arial"/>
          <w:color w:val="000000"/>
          <w:sz w:val="20"/>
          <w:lang w:val="en-US" w:eastAsia="en-US" w:bidi="ar-SA"/>
        </w:rPr>
        <w:t xml:space="preserve">, </w:t>
      </w:r>
      <w:hyperlink r:id="rId893" w:history="1">
        <w:r>
          <w:rPr>
            <w:rFonts w:ascii="arial" w:eastAsia="arial" w:hAnsi="arial" w:cs="arial"/>
            <w:i/>
            <w:color w:val="0077CC"/>
            <w:sz w:val="20"/>
            <w:u w:val="single"/>
            <w:shd w:val="clear" w:color="auto" w:fill="FFFFFF"/>
            <w:lang w:val="en-US" w:eastAsia="en-US" w:bidi="ar-SA"/>
          </w:rPr>
          <w:t>2007 BCCA 622</w:t>
        </w:r>
      </w:hyperlink>
      <w:r>
        <w:rPr>
          <w:rFonts w:ascii="arial" w:eastAsia="arial" w:hAnsi="arial" w:cs="arial"/>
          <w:color w:val="000000"/>
          <w:sz w:val="20"/>
          <w:lang w:val="en-US" w:eastAsia="en-US" w:bidi="ar-SA"/>
        </w:rPr>
        <w:t xml:space="preserve"> at para. 109. A substantial connection is something beyond the </w:t>
      </w:r>
      <w:r>
        <w:rPr>
          <w:rFonts w:ascii="arial" w:eastAsia="arial" w:hAnsi="arial" w:cs="arial"/>
          <w:i/>
          <w:color w:val="000000"/>
          <w:sz w:val="20"/>
          <w:lang w:val="en-US" w:eastAsia="en-US" w:bidi="ar-SA"/>
        </w:rPr>
        <w:t>de minimus</w:t>
      </w:r>
      <w:r>
        <w:rPr>
          <w:rFonts w:ascii="arial" w:eastAsia="arial" w:hAnsi="arial" w:cs="arial"/>
          <w:color w:val="000000"/>
          <w:sz w:val="20"/>
          <w:lang w:val="en-US" w:eastAsia="en-US" w:bidi="ar-SA"/>
        </w:rPr>
        <w:t xml:space="preserve"> range: </w:t>
      </w:r>
      <w:r>
        <w:rPr>
          <w:rFonts w:ascii="arial" w:eastAsia="arial" w:hAnsi="arial" w:cs="arial"/>
          <w:i/>
          <w:color w:val="000000"/>
          <w:sz w:val="20"/>
          <w:lang w:val="en-US" w:eastAsia="en-US" w:bidi="ar-SA"/>
        </w:rPr>
        <w:t>Farrant v. Laktin</w:t>
      </w:r>
      <w:r>
        <w:rPr>
          <w:rFonts w:ascii="arial" w:eastAsia="arial" w:hAnsi="arial" w:cs="arial"/>
          <w:color w:val="000000"/>
          <w:sz w:val="20"/>
          <w:lang w:val="en-US" w:eastAsia="en-US" w:bidi="ar-SA"/>
        </w:rPr>
        <w:t xml:space="preserve">, </w:t>
      </w:r>
      <w:hyperlink r:id="rId867" w:history="1">
        <w:r>
          <w:rPr>
            <w:rFonts w:ascii="arial" w:eastAsia="arial" w:hAnsi="arial" w:cs="arial"/>
            <w:i/>
            <w:color w:val="0077CC"/>
            <w:sz w:val="20"/>
            <w:u w:val="single"/>
            <w:shd w:val="clear" w:color="auto" w:fill="FFFFFF"/>
            <w:lang w:val="en-US" w:eastAsia="en-US" w:bidi="ar-SA"/>
          </w:rPr>
          <w:t>2011 BCCA 336</w:t>
        </w:r>
      </w:hyperlink>
      <w:r>
        <w:rPr>
          <w:rFonts w:ascii="arial" w:eastAsia="arial" w:hAnsi="arial" w:cs="arial"/>
          <w:color w:val="000000"/>
          <w:sz w:val="20"/>
          <w:lang w:val="en-US" w:eastAsia="en-US" w:bidi="ar-SA"/>
        </w:rPr>
        <w:t xml:space="preserve"> at para. 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Applying the foregoing legal principles, the Defendants accept that they caused the soft tissue injuries to the Plaintiff's neck and back as well as the rotator cuff injury to his right shoulder. Based on the findings of fact I have made, I am also satisfied that the Accident caused changes and impairments in the Plaintiff's balance, memory, and mood with the various attendant consequences that I have identified.</w:t>
      </w:r>
      <w:r>
        <w:rPr>
          <w:rFonts w:ascii="arial" w:eastAsia="arial" w:hAnsi="arial" w:cs="arial"/>
          <w:sz w:val="20"/>
          <w:lang w:val="en-US" w:eastAsia="en-US" w:bidi="ar-SA"/>
        </w:rPr>
        <w:cr/>
      </w:r>
    </w:p>
    <w:p>
      <w:pPr>
        <w:numPr>
          <w:numId w:val="42"/>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December Fall and the Ensuing Deterioration in the Plaintiff's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xml:space="preserve">  The December Fall potentially engages two separate legal principles. The first such legal principle, and the principle that I consider pertains in this case, distinguishes between divisible and indivisible injuries. The leading case in this Province on this distinction is </w:t>
      </w:r>
      <w:r>
        <w:rPr>
          <w:rFonts w:ascii="arial" w:eastAsia="arial" w:hAnsi="arial" w:cs="arial"/>
          <w:i/>
          <w:color w:val="000000"/>
          <w:sz w:val="20"/>
          <w:lang w:val="en-US" w:eastAsia="en-US" w:bidi="ar-SA"/>
        </w:rPr>
        <w:t>Bradley v. Groves</w:t>
      </w:r>
      <w:r>
        <w:rPr>
          <w:rFonts w:ascii="arial" w:eastAsia="arial" w:hAnsi="arial" w:cs="arial"/>
          <w:color w:val="000000"/>
          <w:sz w:val="20"/>
          <w:lang w:val="en-US" w:eastAsia="en-US" w:bidi="ar-SA"/>
        </w:rPr>
        <w:t xml:space="preserve">, </w:t>
      </w:r>
      <w:hyperlink r:id="rId618" w:history="1">
        <w:r>
          <w:rPr>
            <w:rFonts w:ascii="arial" w:eastAsia="arial" w:hAnsi="arial" w:cs="arial"/>
            <w:i/>
            <w:color w:val="0077CC"/>
            <w:sz w:val="20"/>
            <w:u w:val="single"/>
            <w:shd w:val="clear" w:color="auto" w:fill="FFFFFF"/>
            <w:lang w:val="en-US" w:eastAsia="en-US" w:bidi="ar-SA"/>
          </w:rPr>
          <w:t>2010 BCCA 361</w:t>
        </w:r>
      </w:hyperlink>
      <w:r>
        <w:rPr>
          <w:rFonts w:ascii="arial" w:eastAsia="arial" w:hAnsi="arial" w:cs="arial"/>
          <w:color w:val="000000"/>
          <w:sz w:val="20"/>
          <w:lang w:val="en-US" w:eastAsia="en-US" w:bidi="ar-SA"/>
        </w:rPr>
        <w:t xml:space="preserve"> where the Court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[20] Divisible injuries are those capable of being separated out and having their damages assessed independently. Indivisible injuries are those that cannot be separated or have liability attributed to the constituent causes.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An example of a divisible injury, provided in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24, is of one defendant injuring a plaintiff's foot and of another defendant injuring the plaintiff's 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Estable v. New</w:t>
      </w:r>
      <w:r>
        <w:rPr>
          <w:rFonts w:ascii="arial" w:eastAsia="arial" w:hAnsi="arial" w:cs="arial"/>
          <w:color w:val="000000"/>
          <w:sz w:val="20"/>
          <w:lang w:val="en-US" w:eastAsia="en-US" w:bidi="ar-SA"/>
        </w:rPr>
        <w:t xml:space="preserve">, </w:t>
      </w:r>
      <w:hyperlink r:id="rId619" w:history="1">
        <w:r>
          <w:rPr>
            <w:rFonts w:ascii="arial" w:eastAsia="arial" w:hAnsi="arial" w:cs="arial"/>
            <w:i/>
            <w:color w:val="0077CC"/>
            <w:sz w:val="20"/>
            <w:u w:val="single"/>
            <w:shd w:val="clear" w:color="auto" w:fill="FFFFFF"/>
            <w:lang w:val="en-US" w:eastAsia="en-US" w:bidi="ar-SA"/>
          </w:rPr>
          <w:t>2011 BCSC 1556</w:t>
        </w:r>
      </w:hyperlink>
      <w:r>
        <w:rPr>
          <w:rFonts w:ascii="arial" w:eastAsia="arial" w:hAnsi="arial" w:cs="arial"/>
          <w:color w:val="000000"/>
          <w:sz w:val="20"/>
          <w:lang w:val="en-US" w:eastAsia="en-US" w:bidi="ar-SA"/>
        </w:rPr>
        <w:t xml:space="preserve">, Justice Gropper explained what constituted indivisible injuries and, at para. 55, provided the example of an "...aggravation or exacerbation of an earlier injury, an injury to the same area of the body, or global symptoms that are impossible to separate": see also </w:t>
      </w:r>
      <w:r>
        <w:rPr>
          <w:rFonts w:ascii="arial" w:eastAsia="arial" w:hAnsi="arial" w:cs="arial"/>
          <w:i/>
          <w:color w:val="000000"/>
          <w:sz w:val="20"/>
          <w:lang w:val="en-US" w:eastAsia="en-US" w:bidi="ar-SA"/>
        </w:rPr>
        <w:t>Kallstrom v. Yip</w:t>
      </w:r>
      <w:r>
        <w:rPr>
          <w:rFonts w:ascii="arial" w:eastAsia="arial" w:hAnsi="arial" w:cs="arial"/>
          <w:color w:val="000000"/>
          <w:sz w:val="20"/>
          <w:lang w:val="en-US" w:eastAsia="en-US" w:bidi="ar-SA"/>
        </w:rPr>
        <w:t xml:space="preserve">, </w:t>
      </w:r>
      <w:hyperlink r:id="rId624" w:history="1">
        <w:r>
          <w:rPr>
            <w:rFonts w:ascii="arial" w:eastAsia="arial" w:hAnsi="arial" w:cs="arial"/>
            <w:i/>
            <w:color w:val="0077CC"/>
            <w:sz w:val="20"/>
            <w:u w:val="single"/>
            <w:shd w:val="clear" w:color="auto" w:fill="FFFFFF"/>
            <w:lang w:val="en-US" w:eastAsia="en-US" w:bidi="ar-SA"/>
          </w:rPr>
          <w:t>2016 BCSC 829</w:t>
        </w:r>
      </w:hyperlink>
      <w:r>
        <w:rPr>
          <w:rFonts w:ascii="arial" w:eastAsia="arial" w:hAnsi="arial" w:cs="arial"/>
          <w:color w:val="000000"/>
          <w:sz w:val="20"/>
          <w:lang w:val="en-US" w:eastAsia="en-US" w:bidi="ar-SA"/>
        </w:rPr>
        <w:t xml:space="preserve"> at paras. 327-328; </w:t>
      </w:r>
      <w:r>
        <w:rPr>
          <w:rFonts w:ascii="arial" w:eastAsia="arial" w:hAnsi="arial" w:cs="arial"/>
          <w:i/>
          <w:color w:val="000000"/>
          <w:sz w:val="20"/>
          <w:lang w:val="en-US" w:eastAsia="en-US" w:bidi="ar-SA"/>
        </w:rPr>
        <w:t>Brooks v. Habib</w:t>
      </w:r>
      <w:r>
        <w:rPr>
          <w:rFonts w:ascii="arial" w:eastAsia="arial" w:hAnsi="arial" w:cs="arial"/>
          <w:color w:val="000000"/>
          <w:sz w:val="20"/>
          <w:lang w:val="en-US" w:eastAsia="en-US" w:bidi="ar-SA"/>
        </w:rPr>
        <w:t xml:space="preserve">, </w:t>
      </w:r>
      <w:hyperlink r:id="rId894" w:history="1">
        <w:r>
          <w:rPr>
            <w:rFonts w:ascii="arial" w:eastAsia="arial" w:hAnsi="arial" w:cs="arial"/>
            <w:i/>
            <w:color w:val="0077CC"/>
            <w:sz w:val="20"/>
            <w:u w:val="single"/>
            <w:shd w:val="clear" w:color="auto" w:fill="FFFFFF"/>
            <w:lang w:val="en-US" w:eastAsia="en-US" w:bidi="ar-SA"/>
          </w:rPr>
          <w:t>2019 BCSC 1398</w:t>
        </w:r>
      </w:hyperlink>
      <w:r>
        <w:rPr>
          <w:rFonts w:ascii="arial" w:eastAsia="arial" w:hAnsi="arial" w:cs="arial"/>
          <w:color w:val="000000"/>
          <w:sz w:val="20"/>
          <w:lang w:val="en-US" w:eastAsia="en-US" w:bidi="ar-SA"/>
        </w:rPr>
        <w:t xml:space="preserve"> at para. 230; </w:t>
      </w:r>
      <w:r>
        <w:rPr>
          <w:rFonts w:ascii="arial" w:eastAsia="arial" w:hAnsi="arial" w:cs="arial"/>
          <w:i/>
          <w:color w:val="000000"/>
          <w:sz w:val="20"/>
          <w:lang w:val="en-US" w:eastAsia="en-US" w:bidi="ar-SA"/>
        </w:rPr>
        <w:t>Erickson v. Saifi</w:t>
      </w:r>
      <w:r>
        <w:rPr>
          <w:rFonts w:ascii="arial" w:eastAsia="arial" w:hAnsi="arial" w:cs="arial"/>
          <w:color w:val="000000"/>
          <w:sz w:val="20"/>
          <w:lang w:val="en-US" w:eastAsia="en-US" w:bidi="ar-SA"/>
        </w:rPr>
        <w:t xml:space="preserve">, </w:t>
      </w:r>
      <w:hyperlink r:id="rId895" w:history="1">
        <w:r>
          <w:rPr>
            <w:rFonts w:ascii="arial" w:eastAsia="arial" w:hAnsi="arial" w:cs="arial"/>
            <w:i/>
            <w:color w:val="0077CC"/>
            <w:sz w:val="20"/>
            <w:u w:val="single"/>
            <w:shd w:val="clear" w:color="auto" w:fill="FFFFFF"/>
            <w:lang w:val="en-US" w:eastAsia="en-US" w:bidi="ar-SA"/>
          </w:rPr>
          <w:t>2019 BCSC 1120</w:t>
        </w:r>
      </w:hyperlink>
      <w:r>
        <w:rPr>
          <w:rFonts w:ascii="arial" w:eastAsia="arial" w:hAnsi="arial" w:cs="arial"/>
          <w:color w:val="000000"/>
          <w:sz w:val="20"/>
          <w:lang w:val="en-US" w:eastAsia="en-US" w:bidi="ar-SA"/>
        </w:rPr>
        <w:t xml:space="preserve"> at para. 4; </w:t>
      </w:r>
      <w:r>
        <w:rPr>
          <w:rFonts w:ascii="arial" w:eastAsia="arial" w:hAnsi="arial" w:cs="arial"/>
          <w:i/>
          <w:color w:val="000000"/>
          <w:sz w:val="20"/>
          <w:lang w:val="en-US" w:eastAsia="en-US" w:bidi="ar-SA"/>
        </w:rPr>
        <w:t>Mladjo v. Etheridge</w:t>
      </w:r>
      <w:r>
        <w:rPr>
          <w:rFonts w:ascii="arial" w:eastAsia="arial" w:hAnsi="arial" w:cs="arial"/>
          <w:color w:val="000000"/>
          <w:sz w:val="20"/>
          <w:lang w:val="en-US" w:eastAsia="en-US" w:bidi="ar-SA"/>
        </w:rPr>
        <w:t xml:space="preserve">, </w:t>
      </w:r>
      <w:hyperlink r:id="rId896" w:history="1">
        <w:r>
          <w:rPr>
            <w:rFonts w:ascii="arial" w:eastAsia="arial" w:hAnsi="arial" w:cs="arial"/>
            <w:i/>
            <w:color w:val="0077CC"/>
            <w:sz w:val="20"/>
            <w:u w:val="single"/>
            <w:shd w:val="clear" w:color="auto" w:fill="FFFFFF"/>
            <w:lang w:val="en-US" w:eastAsia="en-US" w:bidi="ar-SA"/>
          </w:rPr>
          <w:t>2019 BCSC 950</w:t>
        </w:r>
      </w:hyperlink>
      <w:r>
        <w:rPr>
          <w:rFonts w:ascii="arial" w:eastAsia="arial" w:hAnsi="arial" w:cs="arial"/>
          <w:color w:val="000000"/>
          <w:sz w:val="20"/>
          <w:lang w:val="en-US" w:eastAsia="en-US" w:bidi="ar-SA"/>
        </w:rPr>
        <w:t xml:space="preserve"> at paras. 73-74; and </w:t>
      </w:r>
      <w:r>
        <w:rPr>
          <w:rFonts w:ascii="arial" w:eastAsia="arial" w:hAnsi="arial" w:cs="arial"/>
          <w:i/>
          <w:color w:val="000000"/>
          <w:sz w:val="20"/>
          <w:lang w:val="en-US" w:eastAsia="en-US" w:bidi="ar-SA"/>
        </w:rPr>
        <w:t>Dale v. Vickers</w:t>
      </w:r>
      <w:r>
        <w:rPr>
          <w:rFonts w:ascii="arial" w:eastAsia="arial" w:hAnsi="arial" w:cs="arial"/>
          <w:color w:val="000000"/>
          <w:sz w:val="20"/>
          <w:lang w:val="en-US" w:eastAsia="en-US" w:bidi="ar-SA"/>
        </w:rPr>
        <w:t xml:space="preserve">, </w:t>
      </w:r>
      <w:hyperlink r:id="rId615" w:history="1">
        <w:r>
          <w:rPr>
            <w:rFonts w:ascii="arial" w:eastAsia="arial" w:hAnsi="arial" w:cs="arial"/>
            <w:i/>
            <w:color w:val="0077CC"/>
            <w:sz w:val="20"/>
            <w:u w:val="single"/>
            <w:shd w:val="clear" w:color="auto" w:fill="FFFFFF"/>
            <w:lang w:val="en-US" w:eastAsia="en-US" w:bidi="ar-SA"/>
          </w:rPr>
          <w:t>2019 BCSC 821</w:t>
        </w:r>
      </w:hyperlink>
      <w:r>
        <w:rPr>
          <w:rFonts w:ascii="arial" w:eastAsia="arial" w:hAnsi="arial" w:cs="arial"/>
          <w:color w:val="000000"/>
          <w:sz w:val="20"/>
          <w:lang w:val="en-US" w:eastAsia="en-US" w:bidi="ar-SA"/>
        </w:rPr>
        <w:t xml:space="preserve"> at para. 140, all of which deal with the aggravation of an existing injury as an indivisible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I have earlier referred to the evidence of both Drs. Gittens and Fasihy who explained that successive concussions can have a "stacking effect" with the result that a second concussion, occurring within a reasonably short time after the first concussion, is likely to exacerbate the consequences of that first concussion. In instances where a defendant's conduct causes a plaintiff injury and that injury is thereafter aggravated by a further injury, the defendant is responsible for both the initial injury that they caused and the ensuing aggravation or deterioration of that injury. In this case Ms. Nikkhah, in her cross-examination, confirmed that her father's memory problems, mental condition, and other circumstances had all deteriorated further since the December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Based on the evidence and legal principles I have referred to, the Defendants are responsible for the ensuing difficulties and complications that the Plaintiff suffered as a result of his second concussion in the December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xml:space="preserve">  The second notionally relevant legal principle, which I do not consider pertains but which the Defendants seek to rely on, is of a </w:t>
      </w:r>
      <w:r>
        <w:rPr>
          <w:rFonts w:ascii="arial" w:eastAsia="arial" w:hAnsi="arial" w:cs="arial"/>
          <w:i/>
          <w:color w:val="000000"/>
          <w:sz w:val="20"/>
          <w:lang w:val="en-US" w:eastAsia="en-US" w:bidi="ar-SA"/>
        </w:rPr>
        <w:t>novus actus interveniens</w:t>
      </w:r>
      <w:r>
        <w:rPr>
          <w:rFonts w:ascii="arial" w:eastAsia="arial" w:hAnsi="arial" w:cs="arial"/>
          <w:color w:val="000000"/>
          <w:sz w:val="20"/>
          <w:lang w:val="en-US" w:eastAsia="en-US" w:bidi="ar-SA"/>
        </w:rPr>
        <w:t xml:space="preserve"> or an intervening event. More specifically, the Defendants argue that the December Fall, and whatever ensuing harm the Plaintiff may have suffered as a result of that fall, is the result of an intervening act for which they are not responsible. The Defendants relied on </w:t>
      </w:r>
      <w:r>
        <w:rPr>
          <w:rFonts w:ascii="arial" w:eastAsia="arial" w:hAnsi="arial" w:cs="arial"/>
          <w:i/>
          <w:color w:val="000000"/>
          <w:sz w:val="20"/>
          <w:lang w:val="en-US" w:eastAsia="en-US" w:bidi="ar-SA"/>
        </w:rPr>
        <w:t>Singh v. Soper</w:t>
      </w:r>
      <w:r>
        <w:rPr>
          <w:rFonts w:ascii="arial" w:eastAsia="arial" w:hAnsi="arial" w:cs="arial"/>
          <w:color w:val="000000"/>
          <w:sz w:val="20"/>
          <w:lang w:val="en-US" w:eastAsia="en-US" w:bidi="ar-SA"/>
        </w:rPr>
        <w:t xml:space="preserve">, </w:t>
      </w:r>
      <w:hyperlink r:id="rId897" w:history="1">
        <w:r>
          <w:rPr>
            <w:rFonts w:ascii="arial" w:eastAsia="arial" w:hAnsi="arial" w:cs="arial"/>
            <w:i/>
            <w:color w:val="0077CC"/>
            <w:sz w:val="20"/>
            <w:u w:val="single"/>
            <w:shd w:val="clear" w:color="auto" w:fill="FFFFFF"/>
            <w:lang w:val="en-US" w:eastAsia="en-US" w:bidi="ar-SA"/>
          </w:rPr>
          <w:t>2016 BCSC 1748</w:t>
        </w:r>
      </w:hyperlink>
      <w:r>
        <w:rPr>
          <w:rFonts w:ascii="arial" w:eastAsia="arial" w:hAnsi="arial" w:cs="arial"/>
          <w:color w:val="000000"/>
          <w:sz w:val="20"/>
          <w:lang w:val="en-US" w:eastAsia="en-US" w:bidi="ar-SA"/>
        </w:rPr>
        <w:t xml:space="preserve">, which I note was overturned on appeal at </w:t>
      </w:r>
      <w:hyperlink r:id="rId898" w:history="1">
        <w:r>
          <w:rPr>
            <w:rFonts w:ascii="arial" w:eastAsia="arial" w:hAnsi="arial" w:cs="arial"/>
            <w:i/>
            <w:color w:val="0077CC"/>
            <w:sz w:val="20"/>
            <w:u w:val="single"/>
            <w:shd w:val="clear" w:color="auto" w:fill="FFFFFF"/>
            <w:lang w:val="en-US" w:eastAsia="en-US" w:bidi="ar-SA"/>
          </w:rPr>
          <w:t>2017 BCCA 335</w:t>
        </w:r>
      </w:hyperlink>
      <w:r>
        <w:rPr>
          <w:rFonts w:ascii="arial" w:eastAsia="arial" w:hAnsi="arial" w:cs="arial"/>
          <w:color w:val="000000"/>
          <w:sz w:val="20"/>
          <w:lang w:val="en-US" w:eastAsia="en-US" w:bidi="ar-SA"/>
        </w:rPr>
        <w:t>, but where the Court explained: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[62] Intervening acts, or </w:t>
      </w:r>
      <w:r>
        <w:rPr>
          <w:rFonts w:ascii="arial" w:eastAsia="arial" w:hAnsi="arial" w:cs="arial"/>
          <w:i/>
          <w:color w:val="000000"/>
          <w:sz w:val="20"/>
          <w:lang w:val="en-US" w:eastAsia="en-US" w:bidi="ar-SA"/>
        </w:rPr>
        <w:t>novus actus interveniens</w:t>
      </w:r>
      <w:r>
        <w:rPr>
          <w:rFonts w:ascii="arial" w:eastAsia="arial" w:hAnsi="arial" w:cs="arial"/>
          <w:color w:val="000000"/>
          <w:sz w:val="20"/>
          <w:lang w:val="en-US" w:eastAsia="en-US" w:bidi="ar-SA"/>
        </w:rPr>
        <w:t xml:space="preserve">, may operate to break the chain of causation and remove the damage or loss from the realm of reasonable foreseeability. The chain of causation from the defendant's act will be broken "where an intervening event, rather than the defendants' conduct, is considered the proximate or legal cause of the subsequent injury. This principle, known as </w:t>
      </w:r>
      <w:r>
        <w:rPr>
          <w:rFonts w:ascii="arial" w:eastAsia="arial" w:hAnsi="arial" w:cs="arial"/>
          <w:i/>
          <w:color w:val="000000"/>
          <w:sz w:val="20"/>
          <w:lang w:val="en-US" w:eastAsia="en-US" w:bidi="ar-SA"/>
        </w:rPr>
        <w:t>novus actus interveniens</w:t>
      </w:r>
      <w:r>
        <w:rPr>
          <w:rFonts w:ascii="arial" w:eastAsia="arial" w:hAnsi="arial" w:cs="arial"/>
          <w:color w:val="000000"/>
          <w:sz w:val="20"/>
          <w:lang w:val="en-US" w:eastAsia="en-US" w:bidi="ar-SA"/>
        </w:rPr>
        <w:t>, recognizes that defendants should not be held liable for objectively unforeseen consequences of their actions" (</w:t>
      </w:r>
      <w:r>
        <w:rPr>
          <w:rFonts w:ascii="arial" w:eastAsia="arial" w:hAnsi="arial" w:cs="arial"/>
          <w:i/>
          <w:color w:val="000000"/>
          <w:sz w:val="20"/>
          <w:lang w:val="en-US" w:eastAsia="en-US" w:bidi="ar-SA"/>
        </w:rPr>
        <w:t>Dorsey v. Bhindi</w:t>
      </w:r>
      <w:r>
        <w:rPr>
          <w:rFonts w:ascii="arial" w:eastAsia="arial" w:hAnsi="arial" w:cs="arial"/>
          <w:color w:val="000000"/>
          <w:sz w:val="20"/>
          <w:lang w:val="en-US" w:eastAsia="en-US" w:bidi="ar-SA"/>
        </w:rPr>
        <w:t xml:space="preserve">, </w:t>
      </w:r>
      <w:hyperlink r:id="rId899" w:history="1">
        <w:r>
          <w:rPr>
            <w:rFonts w:ascii="arial" w:eastAsia="arial" w:hAnsi="arial" w:cs="arial"/>
            <w:i/>
            <w:color w:val="0077CC"/>
            <w:sz w:val="20"/>
            <w:u w:val="single"/>
            <w:shd w:val="clear" w:color="auto" w:fill="FFFFFF"/>
            <w:lang w:val="en-US" w:eastAsia="en-US" w:bidi="ar-SA"/>
          </w:rPr>
          <w:t>2016 BCSC 499</w:t>
        </w:r>
      </w:hyperlink>
      <w:r>
        <w:rPr>
          <w:rFonts w:ascii="arial" w:eastAsia="arial" w:hAnsi="arial" w:cs="arial"/>
          <w:color w:val="000000"/>
          <w:sz w:val="20"/>
          <w:lang w:val="en-US" w:eastAsia="en-US" w:bidi="ar-SA"/>
        </w:rPr>
        <w:t xml:space="preserve"> at para. 100). Thus, this is still based on principles of foreseeability.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[63]The question of whether a subsequent act breaks a chain of causation is a question of fact (</w:t>
      </w:r>
      <w:r>
        <w:rPr>
          <w:rFonts w:ascii="arial" w:eastAsia="arial" w:hAnsi="arial" w:cs="arial"/>
          <w:i/>
          <w:color w:val="000000"/>
          <w:sz w:val="20"/>
          <w:lang w:val="en-US" w:eastAsia="en-US" w:bidi="ar-SA"/>
        </w:rPr>
        <w:t>Hussack</w:t>
      </w:r>
      <w:r>
        <w:rPr>
          <w:rFonts w:ascii="arial" w:eastAsia="arial" w:hAnsi="arial" w:cs="arial"/>
          <w:color w:val="000000"/>
          <w:sz w:val="20"/>
          <w:lang w:val="en-US" w:eastAsia="en-US" w:bidi="ar-SA"/>
        </w:rPr>
        <w:t>, para. 88). The new action must be of sufficient magnitude to break the chain of causation (</w:t>
      </w:r>
      <w:r>
        <w:rPr>
          <w:rFonts w:ascii="arial" w:eastAsia="arial" w:hAnsi="arial" w:cs="arial"/>
          <w:i/>
          <w:color w:val="000000"/>
          <w:sz w:val="20"/>
          <w:lang w:val="en-US" w:eastAsia="en-US" w:bidi="ar-SA"/>
        </w:rPr>
        <w:t>Hussack</w:t>
      </w:r>
      <w:r>
        <w:rPr>
          <w:rFonts w:ascii="arial" w:eastAsia="arial" w:hAnsi="arial" w:cs="arial"/>
          <w:color w:val="000000"/>
          <w:sz w:val="20"/>
          <w:lang w:val="en-US" w:eastAsia="en-US" w:bidi="ar-SA"/>
        </w:rPr>
        <w:t xml:space="preserve">, para. 77). Previous court decisions have focused on the reasonableness of a person's actions: if an injured party acts unreasonably and causes him or herself further injury, the wrongdoer will not be responsible for injuries suffered as a result of the second injury (or losses): </w:t>
      </w:r>
      <w:r>
        <w:rPr>
          <w:rFonts w:ascii="arial" w:eastAsia="arial" w:hAnsi="arial" w:cs="arial"/>
          <w:i/>
          <w:color w:val="000000"/>
          <w:sz w:val="20"/>
          <w:lang w:val="en-US" w:eastAsia="en-US" w:bidi="ar-SA"/>
        </w:rPr>
        <w:t>Hussack</w:t>
      </w:r>
      <w:r>
        <w:rPr>
          <w:rFonts w:ascii="arial" w:eastAsia="arial" w:hAnsi="arial" w:cs="arial"/>
          <w:color w:val="000000"/>
          <w:sz w:val="20"/>
          <w:lang w:val="en-US" w:eastAsia="en-US" w:bidi="ar-SA"/>
        </w:rPr>
        <w:t>, para. 82.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xml:space="preserve">  In Ken Cooper-Stephenson and Elizabeth Adjin-Tettey, </w:t>
      </w:r>
      <w:r>
        <w:rPr>
          <w:rFonts w:ascii="arial" w:eastAsia="arial" w:hAnsi="arial" w:cs="arial"/>
          <w:i/>
          <w:color w:val="000000"/>
          <w:sz w:val="20"/>
          <w:lang w:val="en-US" w:eastAsia="en-US" w:bidi="ar-SA"/>
        </w:rPr>
        <w:t>Personal Injury Damages in Canada</w:t>
      </w:r>
      <w:r>
        <w:rPr>
          <w:rFonts w:ascii="arial" w:eastAsia="arial" w:hAnsi="arial" w:cs="arial"/>
          <w:color w:val="000000"/>
          <w:sz w:val="20"/>
          <w:lang w:val="en-US" w:eastAsia="en-US" w:bidi="ar-SA"/>
        </w:rPr>
        <w:t xml:space="preserve">, 3rd ed. (Toronto: Thomson Reuters, 2018), the authors devote a portion of a chapter to "Falls During Recovery"; at 1248-1251. The authors posit that if a plaintiff's fall was due to an "intentional, reckless or grossly negligent act", it should be considered a </w:t>
      </w:r>
      <w:r>
        <w:rPr>
          <w:rFonts w:ascii="arial" w:eastAsia="arial" w:hAnsi="arial" w:cs="arial"/>
          <w:i/>
          <w:color w:val="000000"/>
          <w:sz w:val="20"/>
          <w:lang w:val="en-US" w:eastAsia="en-US" w:bidi="ar-SA"/>
        </w:rPr>
        <w:t>novus actus</w:t>
      </w:r>
      <w:r>
        <w:rPr>
          <w:rFonts w:ascii="arial" w:eastAsia="arial" w:hAnsi="arial" w:cs="arial"/>
          <w:color w:val="000000"/>
          <w:sz w:val="20"/>
          <w:lang w:val="en-US" w:eastAsia="en-US" w:bidi="ar-SA"/>
        </w:rPr>
        <w:t>. If the plaintiff is "merely negligent", then the authors propose apportioning liability though they acknowledge that this is not generally done in practice. If the fall is "without fault on the part of the plaintiff", they consider the defendant should be liable for the extended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The authors further state, at 1249, that "as long as the plaintiff, given his or her injuries, functions in any kind of reasonable way in the progression of his or her life, the equation which balances the risk of injury with the burden of adequate precautions will usually be determined in the plaintiff's favour".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xml:space="preserve">  Finally, the authors note that "the finding of a </w:t>
      </w:r>
      <w:r>
        <w:rPr>
          <w:rFonts w:ascii="arial" w:eastAsia="arial" w:hAnsi="arial" w:cs="arial"/>
          <w:i/>
          <w:color w:val="000000"/>
          <w:sz w:val="20"/>
          <w:lang w:val="en-US" w:eastAsia="en-US" w:bidi="ar-SA"/>
        </w:rPr>
        <w:t>novus actus</w:t>
      </w:r>
      <w:r>
        <w:rPr>
          <w:rFonts w:ascii="arial" w:eastAsia="arial" w:hAnsi="arial" w:cs="arial"/>
          <w:color w:val="000000"/>
          <w:sz w:val="20"/>
          <w:lang w:val="en-US" w:eastAsia="en-US" w:bidi="ar-SA"/>
        </w:rPr>
        <w:t xml:space="preserve"> is very rare", and the event must be "extraordinary or 'freakish'"; at 1197. In a similar vein, in </w:t>
      </w:r>
      <w:r>
        <w:rPr>
          <w:rFonts w:ascii="arial" w:eastAsia="arial" w:hAnsi="arial" w:cs="arial"/>
          <w:i/>
          <w:color w:val="000000"/>
          <w:sz w:val="20"/>
          <w:lang w:val="en-US" w:eastAsia="en-US" w:bidi="ar-SA"/>
        </w:rPr>
        <w:t>Pauluik v. Paraiso</w:t>
      </w:r>
      <w:r>
        <w:rPr>
          <w:rFonts w:ascii="arial" w:eastAsia="arial" w:hAnsi="arial" w:cs="arial"/>
          <w:color w:val="000000"/>
          <w:sz w:val="20"/>
          <w:lang w:val="en-US" w:eastAsia="en-US" w:bidi="ar-SA"/>
        </w:rPr>
        <w:t xml:space="preserve"> </w:t>
      </w:r>
      <w:hyperlink r:id="rId900" w:history="1">
        <w:r>
          <w:rPr>
            <w:rFonts w:ascii="arial" w:eastAsia="arial" w:hAnsi="arial" w:cs="arial"/>
            <w:i/>
            <w:color w:val="0077CC"/>
            <w:sz w:val="20"/>
            <w:u w:val="single"/>
            <w:shd w:val="clear" w:color="auto" w:fill="FFFFFF"/>
            <w:lang w:val="en-US" w:eastAsia="en-US" w:bidi="ar-SA"/>
          </w:rPr>
          <w:t>(1995), 28 C.C.L.T. (2d) 20</w:t>
        </w:r>
      </w:hyperlink>
      <w:r>
        <w:rPr>
          <w:rFonts w:ascii="arial" w:eastAsia="arial" w:hAnsi="arial" w:cs="arial"/>
          <w:color w:val="000000"/>
          <w:sz w:val="20"/>
          <w:lang w:val="en-US" w:eastAsia="en-US" w:bidi="ar-SA"/>
        </w:rPr>
        <w:t xml:space="preserve"> at 33 (M.B.C.A.), the Manitoba Court of Appeal commented that the concept of </w:t>
      </w:r>
      <w:r>
        <w:rPr>
          <w:rFonts w:ascii="arial" w:eastAsia="arial" w:hAnsi="arial" w:cs="arial"/>
          <w:i/>
          <w:color w:val="000000"/>
          <w:sz w:val="20"/>
          <w:lang w:val="en-US" w:eastAsia="en-US" w:bidi="ar-SA"/>
        </w:rPr>
        <w:t>novus actus interveniens</w:t>
      </w:r>
      <w:r>
        <w:rPr>
          <w:rFonts w:ascii="arial" w:eastAsia="arial" w:hAnsi="arial" w:cs="arial"/>
          <w:color w:val="000000"/>
          <w:sz w:val="20"/>
          <w:lang w:val="en-US" w:eastAsia="en-US" w:bidi="ar-SA"/>
        </w:rPr>
        <w:t xml:space="preserve"> is, for various reasons, retreating in significance.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xml:space="preserve">  It is helpful to note that in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the plaintiff, who had a history of back problems, was injured in two accidents. He then suffered a herniated disc while exercising. The Court was required to consider whether the disc herniation was caused by the accidents or the plaintiff's pre-existing back problems and, at para. 41, said: "If the injuries sustained in the motor vehicle accidents caused or contributed to the disc herniation, then the defendants are fully liable for the damages flowing from the herniation." The Court also discussed "independent intervening events", beginning at para. 31, and said at para. 33: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33 In the present case, there was a finding of fact that the accident caused or contributed to the disc herniation. The disc herniation was not an independent intervening event. The disc herniation was a product of the accidents, so it does not affect the assessment of the plaintiff's "original position" and thereby reduce the net loss experienced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xml:space="preserve">  In this case, the Defendants did not argue that it was the Plaintiff's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that caused him to fall in the December Fall. Instead the Plaintiff, who was on his way to his wife's home, simply slipped on some ice, hit his head, and suffered a further concussion that led to a further deterioration or aggravation of some of his existing symptoms. The fact that the Defendants had no involvement in the December Fall is not relevant. In such circumstances I do not consider that the concept of an intervening event, for which the Defendants would not be responsible, has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F. </w:t>
      </w:r>
      <w:r>
        <w:rPr>
          <w:rFonts w:ascii="arial" w:eastAsia="arial" w:hAnsi="arial" w:cs="arial"/>
          <w:b/>
          <w:color w:val="000000"/>
          <w:sz w:val="20"/>
          <w:u w:val="single"/>
          <w:lang w:val="en-US" w:eastAsia="en-US" w:bidi="ar-SA"/>
        </w:rPr>
        <w:t>THE MITIGATION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Several of the reports of Ms. Ugarelli, that were prepared in 2017, and that were delivered to Dr. Fasihy, recommended that the Plaintiff undertake physiotherapy. He did not do so. The Defendants argue that on account of that failure, the Plaintiff has failed to act reasonably and to mitigate his losses.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xml:space="preserve">  The legal framework that governs this issue is straightforward. When a failure to mitigate is alleged, the defendant has the burden of proving not only that the plaintiff acted unreasonably in not attending recommended treatment, but also the extent, if any, to which the plaintiff's damages would have been reduced had he or she sought out that recommended treatment. The law, in the personal injury context, is succinctly summarized in </w:t>
      </w:r>
      <w:r>
        <w:rPr>
          <w:rFonts w:ascii="arial" w:eastAsia="arial" w:hAnsi="arial" w:cs="arial"/>
          <w:i/>
          <w:color w:val="000000"/>
          <w:sz w:val="20"/>
          <w:lang w:val="en-US" w:eastAsia="en-US" w:bidi="ar-SA"/>
        </w:rPr>
        <w:t>Chiu v. Chiu</w:t>
      </w:r>
      <w:r>
        <w:rPr>
          <w:rFonts w:ascii="arial" w:eastAsia="arial" w:hAnsi="arial" w:cs="arial"/>
          <w:color w:val="000000"/>
          <w:sz w:val="20"/>
          <w:lang w:val="en-US" w:eastAsia="en-US" w:bidi="ar-SA"/>
        </w:rPr>
        <w:t xml:space="preserve">, </w:t>
      </w:r>
      <w:hyperlink r:id="rId509" w:history="1">
        <w:r>
          <w:rPr>
            <w:rFonts w:ascii="arial" w:eastAsia="arial" w:hAnsi="arial" w:cs="arial"/>
            <w:i/>
            <w:color w:val="0077CC"/>
            <w:sz w:val="20"/>
            <w:u w:val="single"/>
            <w:shd w:val="clear" w:color="auto" w:fill="FFFFFF"/>
            <w:lang w:val="en-US" w:eastAsia="en-US" w:bidi="ar-SA"/>
          </w:rPr>
          <w:t>2002 BCCA 618</w:t>
        </w:r>
      </w:hyperlink>
      <w:r>
        <w:rPr>
          <w:rFonts w:ascii="arial" w:eastAsia="arial" w:hAnsi="arial" w:cs="arial"/>
          <w:color w:val="000000"/>
          <w:sz w:val="20"/>
          <w:lang w:val="en-US" w:eastAsia="en-US" w:bidi="ar-SA"/>
        </w:rPr>
        <w:t xml:space="preserve"> where the Court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[57] The onus is on the defendant to prove that the plaintiff could have avoided all or a portion of his loss. In a personal injury case in which the plaintiff has not pursued a course of medical treatment recommended to him by doctors, the defendant must prove two things: (1) that the plaintiff acted unreasonably in eschewing the recommended treatment, and (2) the extent, if any, to which the plaintiff's damages would have been reduced had he acted reasonably. These principles are found in </w:t>
      </w:r>
      <w:r>
        <w:rPr>
          <w:rFonts w:ascii="arial" w:eastAsia="arial" w:hAnsi="arial" w:cs="arial"/>
          <w:i/>
          <w:color w:val="000000"/>
          <w:sz w:val="20"/>
          <w:lang w:val="en-US" w:eastAsia="en-US" w:bidi="ar-SA"/>
        </w:rPr>
        <w:t>Janiak v. Ippolito</w:t>
      </w:r>
      <w:r>
        <w:rPr>
          <w:rFonts w:ascii="arial" w:eastAsia="arial" w:hAnsi="arial" w:cs="arial"/>
          <w:color w:val="000000"/>
          <w:sz w:val="20"/>
          <w:lang w:val="en-US" w:eastAsia="en-US" w:bidi="ar-SA"/>
        </w:rPr>
        <w:t xml:space="preserve">, </w:t>
      </w:r>
      <w:hyperlink r:id="rId510" w:history="1">
        <w:r>
          <w:rPr>
            <w:rFonts w:ascii="arial" w:eastAsia="arial" w:hAnsi="arial" w:cs="arial"/>
            <w:i/>
            <w:color w:val="0077CC"/>
            <w:sz w:val="20"/>
            <w:u w:val="single"/>
            <w:shd w:val="clear" w:color="auto" w:fill="FFFFFF"/>
            <w:lang w:val="en-US" w:eastAsia="en-US" w:bidi="ar-SA"/>
          </w:rPr>
          <w:t>[1985] 1 S.C.R. 146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There are two principal factual and legal difficulties with the position that is advanced by the Defendants. First, and importantly, the Defendants have not led any evidence to establish that the Plaintiff's physical condition would have improved had he undertaken the physiotherapy that Ms. Ugarelli recommended. This issue is not squarely addressed in any of the expert reports that were filed. Indeed, aspects of the relevant evidence do not support this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xml:space="preserve">  The Plaintiff began to undertake physiotherapy almost immediately after the Accident. At some point, Ms. Ugarelli considered that a pool therapy program, rather than physiotherapy, would assist the Plaintiff. In July 2017, after 40 such pool therapy sessions, she reported that the Plaintiff had made very little improvement and she did not believe "that pool therapy is the right avenue for him any longer". It was at that point that she recommended that the Plaintiff again undertake further physiotherapy. Thus, a recommendation for a particular type of treatment does not foreshadow or equate to improvement on the part of a patient. In </w:t>
      </w:r>
      <w:r>
        <w:rPr>
          <w:rFonts w:ascii="arial" w:eastAsia="arial" w:hAnsi="arial" w:cs="arial"/>
          <w:i/>
          <w:color w:val="000000"/>
          <w:sz w:val="20"/>
          <w:lang w:val="en-US" w:eastAsia="en-US" w:bidi="ar-SA"/>
        </w:rPr>
        <w:t>Downey v. O'Connor</w:t>
      </w:r>
      <w:r>
        <w:rPr>
          <w:rFonts w:ascii="arial" w:eastAsia="arial" w:hAnsi="arial" w:cs="arial"/>
          <w:color w:val="000000"/>
          <w:sz w:val="20"/>
          <w:lang w:val="en-US" w:eastAsia="en-US" w:bidi="ar-SA"/>
        </w:rPr>
        <w:t xml:space="preserve">, </w:t>
      </w:r>
      <w:hyperlink r:id="rId901" w:history="1">
        <w:r>
          <w:rPr>
            <w:rFonts w:ascii="arial" w:eastAsia="arial" w:hAnsi="arial" w:cs="arial"/>
            <w:i/>
            <w:color w:val="0077CC"/>
            <w:sz w:val="20"/>
            <w:u w:val="single"/>
            <w:shd w:val="clear" w:color="auto" w:fill="FFFFFF"/>
            <w:lang w:val="en-US" w:eastAsia="en-US" w:bidi="ar-SA"/>
          </w:rPr>
          <w:t>2017 BCSC 1459</w:t>
        </w:r>
      </w:hyperlink>
      <w:r>
        <w:rPr>
          <w:rFonts w:ascii="arial" w:eastAsia="arial" w:hAnsi="arial" w:cs="arial"/>
          <w:color w:val="000000"/>
          <w:sz w:val="20"/>
          <w:lang w:val="en-US" w:eastAsia="en-US" w:bidi="ar-SA"/>
        </w:rPr>
        <w:t xml:space="preserve"> at para. 108, the Court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[108] ... It was not sufficient for the defendant to show that an exercise program </w:t>
      </w:r>
      <w:r>
        <w:rPr>
          <w:rFonts w:ascii="arial" w:eastAsia="arial" w:hAnsi="arial" w:cs="arial"/>
          <w:b/>
          <w:color w:val="000000"/>
          <w:sz w:val="20"/>
          <w:u w:val="single"/>
          <w:lang w:val="en-US" w:eastAsia="en-US" w:bidi="ar-SA"/>
        </w:rPr>
        <w:t>could</w:t>
      </w:r>
      <w:r>
        <w:rPr>
          <w:rFonts w:ascii="arial" w:eastAsia="arial" w:hAnsi="arial" w:cs="arial"/>
          <w:color w:val="000000"/>
          <w:sz w:val="20"/>
          <w:lang w:val="en-US" w:eastAsia="en-US" w:bidi="ar-SA"/>
        </w:rPr>
        <w:t xml:space="preserve"> have been of benefit, but that on a balance of probabilities the program would have reduced her damages.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I should observe that the Plaintiff did attend at least two dozen further appointments with a kinesiologist between July and November 2017.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The second difficulty with the position of the Defendants is that Ms. Ugarelli, in her various reports to ICBC, sought to obtain approval for the physiotherapy she had recommended. It was clear, based on her cross-examination and on the relevant documents, that approval was not provided.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The Plaintiff lives modestly on his old age pension and on a rent supplement that he receives from the government.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In such circumstances I do not think it is open to the Defendants to complain about the Plaintiff's failure to attend physiotherapy. I do not, accordingly, accept that the Plaintiff failed to act reasonably or to mitigate his losses.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G. </w:t>
      </w:r>
      <w:r>
        <w:rPr>
          <w:rFonts w:ascii="arial" w:eastAsia="arial" w:hAnsi="arial" w:cs="arial"/>
          <w:b/>
          <w:color w:val="000000"/>
          <w:sz w:val="20"/>
          <w:u w:val="single"/>
          <w:lang w:val="en-US" w:eastAsia="en-US" w:bidi="ar-SA"/>
        </w:rPr>
        <w:t>NON-PECUNIARY LOSSES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xml:space="preserve">  The object of an award of non-pecuniary damages is to provide comfort to a plaintiff for such things as pain, suffering, disability, inconvenience, and loss of enjoyment of life. The principles that govern an award of nonpecuniary damages are set out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512"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leave to appeal ref'd </w:t>
      </w:r>
      <w:hyperlink r:id="rId757" w:history="1">
        <w:r>
          <w:rPr>
            <w:rFonts w:ascii="arial" w:eastAsia="arial" w:hAnsi="arial" w:cs="arial"/>
            <w:i/>
            <w:color w:val="0077CC"/>
            <w:sz w:val="20"/>
            <w:u w:val="single"/>
            <w:shd w:val="clear" w:color="auto" w:fill="FFFFFF"/>
            <w:lang w:val="en-US" w:eastAsia="en-US" w:bidi="ar-SA"/>
          </w:rPr>
          <w:t>[2006] S.C.C.A. No. 100</w:t>
        </w:r>
      </w:hyperlink>
      <w:r>
        <w:rPr>
          <w:rFonts w:ascii="arial" w:eastAsia="arial" w:hAnsi="arial" w:cs="arial"/>
          <w:color w:val="000000"/>
          <w:sz w:val="20"/>
          <w:lang w:val="en-US" w:eastAsia="en-US" w:bidi="ar-SA"/>
        </w:rPr>
        <w:t xml:space="preserve">. Such awards are highly fact specific and are intended "to meet the specific circumstances of the individual case": para. 45. A non-exhaustive list of relevant considerations are described at para. 46 of </w:t>
      </w:r>
      <w:r>
        <w:rPr>
          <w:rFonts w:ascii="arial" w:eastAsia="arial" w:hAnsi="arial" w:cs="arial"/>
          <w:i/>
          <w:color w:val="000000"/>
          <w:sz w:val="20"/>
          <w:lang w:val="en-US" w:eastAsia="en-US" w:bidi="ar-SA"/>
        </w:rPr>
        <w:t>Stapley</w:t>
      </w:r>
      <w:r>
        <w:rPr>
          <w:rFonts w:ascii="arial" w:eastAsia="arial" w:hAnsi="arial" w:cs="arial"/>
          <w:color w:val="000000"/>
          <w:sz w:val="20"/>
          <w:lang w:val="en-US" w:eastAsia="en-US" w:bidi="ar-SA"/>
        </w:rPr>
        <w:t>. One such consideration is the age of the plaintiff. Courts will regularly recognize that the younger a plaintiff is, the longer that plaintiff will have to deal with an enduring difficulty or injury. That fact, in turn, is often considered in the award a court makes.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xml:space="preserve">  At the same time a number of decisions of this Court have recognized that the impact of an injury on an elderly person, with some ensuing loss of function, can have a particularly acute effect on that person. This premise is sometimes referred to as the "Golden Years" doctrine. Thus, for example, in </w:t>
      </w:r>
      <w:r>
        <w:rPr>
          <w:rFonts w:ascii="arial" w:eastAsia="arial" w:hAnsi="arial" w:cs="arial"/>
          <w:i/>
          <w:color w:val="000000"/>
          <w:sz w:val="20"/>
          <w:lang w:val="en-US" w:eastAsia="en-US" w:bidi="ar-SA"/>
        </w:rPr>
        <w:t>Fata v. Heinonen</w:t>
      </w:r>
      <w:r>
        <w:rPr>
          <w:rFonts w:ascii="arial" w:eastAsia="arial" w:hAnsi="arial" w:cs="arial"/>
          <w:color w:val="000000"/>
          <w:sz w:val="20"/>
          <w:lang w:val="en-US" w:eastAsia="en-US" w:bidi="ar-SA"/>
        </w:rPr>
        <w:t xml:space="preserve">, </w:t>
      </w:r>
      <w:hyperlink r:id="rId902" w:history="1">
        <w:r>
          <w:rPr>
            <w:rFonts w:ascii="arial" w:eastAsia="arial" w:hAnsi="arial" w:cs="arial"/>
            <w:i/>
            <w:color w:val="0077CC"/>
            <w:sz w:val="20"/>
            <w:u w:val="single"/>
            <w:shd w:val="clear" w:color="auto" w:fill="FFFFFF"/>
            <w:lang w:val="en-US" w:eastAsia="en-US" w:bidi="ar-SA"/>
          </w:rPr>
          <w:t>2010 BCSC 385</w:t>
        </w:r>
      </w:hyperlink>
      <w:r>
        <w:rPr>
          <w:rFonts w:ascii="arial" w:eastAsia="arial" w:hAnsi="arial" w:cs="arial"/>
          <w:color w:val="000000"/>
          <w:sz w:val="20"/>
          <w:lang w:val="en-US" w:eastAsia="en-US" w:bidi="ar-SA"/>
        </w:rPr>
        <w:t>, the Court, at para. 88,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[88] The retirement years are special years for they are at a time in a person's life when he realizes his own mortality. When someone who has always been physically active loses his physical function in these years, the enjoyment of retirement can be severely diminished, with less opportunity to replace these activities with other interests in life. Further, what may be a small loss of function to a younger person who is active in many other ways may be a larger loss to an older person whose activities are already constrained by 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xml:space="preserve">  A number of decisions, whose conclusions on the issue I accept, have considered that the competing considerations of a plaintiff's age and application of the "Golden Years" doctrine may, in a sense, balance each other out; see for example </w:t>
      </w:r>
      <w:r>
        <w:rPr>
          <w:rFonts w:ascii="arial" w:eastAsia="arial" w:hAnsi="arial" w:cs="arial"/>
          <w:i/>
          <w:color w:val="000000"/>
          <w:sz w:val="20"/>
          <w:lang w:val="en-US" w:eastAsia="en-US" w:bidi="ar-SA"/>
        </w:rPr>
        <w:t>Johal v. Radek</w:t>
      </w:r>
      <w:r>
        <w:rPr>
          <w:rFonts w:ascii="arial" w:eastAsia="arial" w:hAnsi="arial" w:cs="arial"/>
          <w:color w:val="000000"/>
          <w:sz w:val="20"/>
          <w:lang w:val="en-US" w:eastAsia="en-US" w:bidi="ar-SA"/>
        </w:rPr>
        <w:t xml:space="preserve">, </w:t>
      </w:r>
      <w:hyperlink r:id="rId903" w:history="1">
        <w:r>
          <w:rPr>
            <w:rFonts w:ascii="arial" w:eastAsia="arial" w:hAnsi="arial" w:cs="arial"/>
            <w:i/>
            <w:color w:val="0077CC"/>
            <w:sz w:val="20"/>
            <w:u w:val="single"/>
            <w:shd w:val="clear" w:color="auto" w:fill="FFFFFF"/>
            <w:lang w:val="en-US" w:eastAsia="en-US" w:bidi="ar-SA"/>
          </w:rPr>
          <w:t>2016 BCSC 454</w:t>
        </w:r>
      </w:hyperlink>
      <w:r>
        <w:rPr>
          <w:rFonts w:ascii="arial" w:eastAsia="arial" w:hAnsi="arial" w:cs="arial"/>
          <w:color w:val="000000"/>
          <w:sz w:val="20"/>
          <w:lang w:val="en-US" w:eastAsia="en-US" w:bidi="ar-SA"/>
        </w:rPr>
        <w:t xml:space="preserve"> at para. 52 and the cases that are referred to at that paragraph.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The positions taken by the Plaintiff and the Defendants are markedly different and reflect their respective theories of this case. The Defendants' authorities generally focussed on plaintiffs who had suffered a significant shoulder injury though some of those cases also include circumstances where the plaintiff also had some other soft tissue injuries or had some psychological difficulties. These cases, however, all pertain to plaintiffs whose overall circumstances were much less severely affected than the Plaintiff has been. Importantly, the Defendants recognize that the authorities they rely on do not deal with circumstances where a plaintiff suffered from the sort of cognitive, balance and memory problems that the Plaintiff now lives with.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xml:space="preserve">  For example, in </w:t>
      </w:r>
      <w:r>
        <w:rPr>
          <w:rFonts w:ascii="arial" w:eastAsia="arial" w:hAnsi="arial" w:cs="arial"/>
          <w:i/>
          <w:color w:val="000000"/>
          <w:sz w:val="20"/>
          <w:lang w:val="en-US" w:eastAsia="en-US" w:bidi="ar-SA"/>
        </w:rPr>
        <w:t>Johal</w:t>
      </w:r>
      <w:r>
        <w:rPr>
          <w:rFonts w:ascii="arial" w:eastAsia="arial" w:hAnsi="arial" w:cs="arial"/>
          <w:color w:val="000000"/>
          <w:sz w:val="20"/>
          <w:lang w:val="en-US" w:eastAsia="en-US" w:bidi="ar-SA"/>
        </w:rPr>
        <w:t>, the plaintiff, who was 70 at the time of trial, suffered from periodic headaches, neck, back, shoulder, and arm pain as well as from ongoing difficulties with sleep as a result of her accident. Nevertheless she continued to work on a full-time basis doing janitorial work. Periodically, though infrequently, she did overtime work. She maintained the large home that she owned. She was able to walk regularly, she did her various exercises, and she regularly rode a stationary bike to help with some problems she had with her knees. She continued to see her daughters and her grandchildren several times a week. The plaintiff was awarded $60,000 for her non-pecuniary losses. That award is consistent with what the Defendants say the Plaintiff should receive under this head of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xml:space="preserve">  I consider that the cases relied on by counsel for the Plaintiff more closely align with the findings I have made and with the circumstances of this case. Thus, for example, in </w:t>
      </w:r>
      <w:r>
        <w:rPr>
          <w:rFonts w:ascii="arial" w:eastAsia="arial" w:hAnsi="arial" w:cs="arial"/>
          <w:i/>
          <w:color w:val="000000"/>
          <w:sz w:val="20"/>
          <w:lang w:val="en-US" w:eastAsia="en-US" w:bidi="ar-SA"/>
        </w:rPr>
        <w:t>Paterson v. Hindle</w:t>
      </w:r>
      <w:r>
        <w:rPr>
          <w:rFonts w:ascii="arial" w:eastAsia="arial" w:hAnsi="arial" w:cs="arial"/>
          <w:color w:val="000000"/>
          <w:sz w:val="20"/>
          <w:lang w:val="en-US" w:eastAsia="en-US" w:bidi="ar-SA"/>
        </w:rPr>
        <w:t xml:space="preserve">, </w:t>
      </w:r>
      <w:hyperlink r:id="rId904" w:history="1">
        <w:r>
          <w:rPr>
            <w:rFonts w:ascii="arial" w:eastAsia="arial" w:hAnsi="arial" w:cs="arial"/>
            <w:i/>
            <w:color w:val="0077CC"/>
            <w:sz w:val="20"/>
            <w:u w:val="single"/>
            <w:shd w:val="clear" w:color="auto" w:fill="FFFFFF"/>
            <w:lang w:val="en-US" w:eastAsia="en-US" w:bidi="ar-SA"/>
          </w:rPr>
          <w:t>2017 BCSC 1104</w:t>
        </w:r>
      </w:hyperlink>
      <w:r>
        <w:rPr>
          <w:rFonts w:ascii="arial" w:eastAsia="arial" w:hAnsi="arial" w:cs="arial"/>
          <w:color w:val="000000"/>
          <w:sz w:val="20"/>
          <w:lang w:val="en-US" w:eastAsia="en-US" w:bidi="ar-SA"/>
        </w:rPr>
        <w:t>, the plaintiff was a 79-year-old retiree. As a result of her accident, she suffered a head injury and a concussion, soft tissue injuries to her neck, shoulders and upper and lower back, and injuries to her pelvis and legs. After the accident, the plaintiff gave up many of her outdoor pursuits such as hiking and maintaining a community park and she could no longer farm. She was less involved with her community. Two of her children took time off to assist her with farm maintenance, to take her to appointments, and to shop for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The Court concluded that her injuries resulted in chronic pain and ongoing cognitive and psychological issues which significantly impacted her life and it awarded her non-pecuniary damages of $125,000 as well as damages for loss of housekeeping capacity of $10,000.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xml:space="preserve">  Counsel for the Plaintiff also relied on each of </w:t>
      </w:r>
      <w:r>
        <w:rPr>
          <w:rFonts w:ascii="arial" w:eastAsia="arial" w:hAnsi="arial" w:cs="arial"/>
          <w:i/>
          <w:color w:val="000000"/>
          <w:sz w:val="20"/>
          <w:lang w:val="en-US" w:eastAsia="en-US" w:bidi="ar-SA"/>
        </w:rPr>
        <w:t>Dube v. Dube</w:t>
      </w:r>
      <w:r>
        <w:rPr>
          <w:rFonts w:ascii="arial" w:eastAsia="arial" w:hAnsi="arial" w:cs="arial"/>
          <w:color w:val="000000"/>
          <w:sz w:val="20"/>
          <w:lang w:val="en-US" w:eastAsia="en-US" w:bidi="ar-SA"/>
        </w:rPr>
        <w:t xml:space="preserve">, </w:t>
      </w:r>
      <w:hyperlink r:id="rId905" w:history="1">
        <w:r>
          <w:rPr>
            <w:rFonts w:ascii="arial" w:eastAsia="arial" w:hAnsi="arial" w:cs="arial"/>
            <w:i/>
            <w:color w:val="0077CC"/>
            <w:sz w:val="20"/>
            <w:u w:val="single"/>
            <w:shd w:val="clear" w:color="auto" w:fill="FFFFFF"/>
            <w:lang w:val="en-US" w:eastAsia="en-US" w:bidi="ar-SA"/>
          </w:rPr>
          <w:t>2019 BCSC 687</w:t>
        </w:r>
      </w:hyperlink>
      <w:r>
        <w:rPr>
          <w:rFonts w:ascii="arial" w:eastAsia="arial" w:hAnsi="arial" w:cs="arial"/>
          <w:color w:val="000000"/>
          <w:sz w:val="20"/>
          <w:lang w:val="en-US" w:eastAsia="en-US" w:bidi="ar-SA"/>
        </w:rPr>
        <w:t xml:space="preserve">, where the plaintiff was a 65-year-old woman, and </w:t>
      </w:r>
      <w:r>
        <w:rPr>
          <w:rFonts w:ascii="arial" w:eastAsia="arial" w:hAnsi="arial" w:cs="arial"/>
          <w:i/>
          <w:color w:val="000000"/>
          <w:sz w:val="20"/>
          <w:lang w:val="en-US" w:eastAsia="en-US" w:bidi="ar-SA"/>
        </w:rPr>
        <w:t>Wong v. Towns</w:t>
      </w:r>
      <w:r>
        <w:rPr>
          <w:rFonts w:ascii="arial" w:eastAsia="arial" w:hAnsi="arial" w:cs="arial"/>
          <w:color w:val="000000"/>
          <w:sz w:val="20"/>
          <w:lang w:val="en-US" w:eastAsia="en-US" w:bidi="ar-SA"/>
        </w:rPr>
        <w:t xml:space="preserve">, </w:t>
      </w:r>
      <w:hyperlink r:id="rId906" w:history="1">
        <w:r>
          <w:rPr>
            <w:rFonts w:ascii="arial" w:eastAsia="arial" w:hAnsi="arial" w:cs="arial"/>
            <w:i/>
            <w:color w:val="0077CC"/>
            <w:sz w:val="20"/>
            <w:u w:val="single"/>
            <w:shd w:val="clear" w:color="auto" w:fill="FFFFFF"/>
            <w:lang w:val="en-US" w:eastAsia="en-US" w:bidi="ar-SA"/>
          </w:rPr>
          <w:t>2015 BCSC 1333</w:t>
        </w:r>
      </w:hyperlink>
      <w:r>
        <w:rPr>
          <w:rFonts w:ascii="arial" w:eastAsia="arial" w:hAnsi="arial" w:cs="arial"/>
          <w:color w:val="000000"/>
          <w:sz w:val="20"/>
          <w:lang w:val="en-US" w:eastAsia="en-US" w:bidi="ar-SA"/>
        </w:rPr>
        <w:t xml:space="preserve">, where the plaintiff was an 80-year-old retiree. In </w:t>
      </w:r>
      <w:r>
        <w:rPr>
          <w:rFonts w:ascii="arial" w:eastAsia="arial" w:hAnsi="arial" w:cs="arial"/>
          <w:i/>
          <w:color w:val="000000"/>
          <w:sz w:val="20"/>
          <w:lang w:val="en-US" w:eastAsia="en-US" w:bidi="ar-SA"/>
        </w:rPr>
        <w:t>Dube</w:t>
      </w:r>
      <w:r>
        <w:rPr>
          <w:rFonts w:ascii="arial" w:eastAsia="arial" w:hAnsi="arial" w:cs="arial"/>
          <w:color w:val="000000"/>
          <w:sz w:val="20"/>
          <w:lang w:val="en-US" w:eastAsia="en-US" w:bidi="ar-SA"/>
        </w:rPr>
        <w:t xml:space="preserve"> and in </w:t>
      </w:r>
      <w:r>
        <w:rPr>
          <w:rFonts w:ascii="arial" w:eastAsia="arial" w:hAnsi="arial" w:cs="arial"/>
          <w:i/>
          <w:color w:val="000000"/>
          <w:sz w:val="20"/>
          <w:lang w:val="en-US" w:eastAsia="en-US" w:bidi="ar-SA"/>
        </w:rPr>
        <w:t>Wong</w:t>
      </w:r>
      <w:r>
        <w:rPr>
          <w:rFonts w:ascii="arial" w:eastAsia="arial" w:hAnsi="arial" w:cs="arial"/>
          <w:color w:val="000000"/>
          <w:sz w:val="20"/>
          <w:lang w:val="en-US" w:eastAsia="en-US" w:bidi="ar-SA"/>
        </w:rPr>
        <w:t>, the Court made awards of $160,000 and $180,000, respectively, on account of the non-pecuniary harm these plaintiffs had suffered. I consider, however, that the injuries suffered by the plaintiffs in these two cases were more serious, in several respects, in the injuries suffered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xml:space="preserve">  Counsel for the Plaintiff argued that a non-pecuniary damage award of $125,000-$150,000 would, in the circumstances of this case, be appropriate. I consider that an award of $125,000 would be consistent with the guidance in </w:t>
      </w:r>
      <w:r>
        <w:rPr>
          <w:rFonts w:ascii="arial" w:eastAsia="arial" w:hAnsi="arial" w:cs="arial"/>
          <w:i/>
          <w:color w:val="000000"/>
          <w:sz w:val="20"/>
          <w:lang w:val="en-US" w:eastAsia="en-US" w:bidi="ar-SA"/>
        </w:rPr>
        <w:t>Stapley</w:t>
      </w:r>
      <w:r>
        <w:rPr>
          <w:rFonts w:ascii="arial" w:eastAsia="arial" w:hAnsi="arial" w:cs="arial"/>
          <w:color w:val="000000"/>
          <w:sz w:val="20"/>
          <w:lang w:val="en-US" w:eastAsia="en-US" w:bidi="ar-SA"/>
        </w:rPr>
        <w:t xml:space="preserve"> and would fairly compensate the Plaintiff for his injuries and for his much diminished circumstances. This award recognizes that virtually every aspect of the Plaintiff's life has been adversely affected by the Accident. He is no longer able to engage in many of the activities that gave him pleasure. He suffers from consistent and enduring pain. His memory and mood are adversely affected. His independence has been significantly eroded and his sense of self is diminished.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xml:space="preserve">  This award also recognizes that the Plaintiff was 84 years old at the time of the Accident and that he already suffered, for example, with significant hand and right knee pain, with some sleep disruption, and with some restrictions on his mobility. The need to recognize the "original position" of a plaintiff is confirmed in numerous decisions including: </w:t>
      </w:r>
      <w:r>
        <w:rPr>
          <w:rFonts w:ascii="arial" w:eastAsia="arial" w:hAnsi="arial" w:cs="arial"/>
          <w:i/>
          <w:color w:val="000000"/>
          <w:sz w:val="20"/>
          <w:lang w:val="en-US" w:eastAsia="en-US" w:bidi="ar-SA"/>
        </w:rPr>
        <w:t>Khudabux v. McClary</w:t>
      </w:r>
      <w:r>
        <w:rPr>
          <w:rFonts w:ascii="arial" w:eastAsia="arial" w:hAnsi="arial" w:cs="arial"/>
          <w:color w:val="000000"/>
          <w:sz w:val="20"/>
          <w:lang w:val="en-US" w:eastAsia="en-US" w:bidi="ar-SA"/>
        </w:rPr>
        <w:t xml:space="preserve">, </w:t>
      </w:r>
      <w:hyperlink r:id="rId907" w:history="1">
        <w:r>
          <w:rPr>
            <w:rFonts w:ascii="arial" w:eastAsia="arial" w:hAnsi="arial" w:cs="arial"/>
            <w:i/>
            <w:color w:val="0077CC"/>
            <w:sz w:val="20"/>
            <w:u w:val="single"/>
            <w:shd w:val="clear" w:color="auto" w:fill="FFFFFF"/>
            <w:lang w:val="en-US" w:eastAsia="en-US" w:bidi="ar-SA"/>
          </w:rPr>
          <w:t>2016 BCSC 1886</w:t>
        </w:r>
      </w:hyperlink>
      <w:r>
        <w:rPr>
          <w:rFonts w:ascii="arial" w:eastAsia="arial" w:hAnsi="arial" w:cs="arial"/>
          <w:color w:val="000000"/>
          <w:sz w:val="20"/>
          <w:lang w:val="en-US" w:eastAsia="en-US" w:bidi="ar-SA"/>
        </w:rPr>
        <w:t xml:space="preserve">, aff'd on appeal </w:t>
      </w:r>
      <w:hyperlink r:id="rId908" w:history="1">
        <w:r>
          <w:rPr>
            <w:rFonts w:ascii="arial" w:eastAsia="arial" w:hAnsi="arial" w:cs="arial"/>
            <w:i/>
            <w:color w:val="0077CC"/>
            <w:sz w:val="20"/>
            <w:u w:val="single"/>
            <w:shd w:val="clear" w:color="auto" w:fill="FFFFFF"/>
            <w:lang w:val="en-US" w:eastAsia="en-US" w:bidi="ar-SA"/>
          </w:rPr>
          <w:t>2018 BCCA 234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Benavides v. Doe</w:t>
      </w:r>
      <w:r>
        <w:rPr>
          <w:rFonts w:ascii="arial" w:eastAsia="arial" w:hAnsi="arial" w:cs="arial"/>
          <w:color w:val="000000"/>
          <w:sz w:val="20"/>
          <w:lang w:val="en-US" w:eastAsia="en-US" w:bidi="ar-SA"/>
        </w:rPr>
        <w:t xml:space="preserve">, </w:t>
      </w:r>
      <w:hyperlink r:id="rId909" w:history="1">
        <w:r>
          <w:rPr>
            <w:rFonts w:ascii="arial" w:eastAsia="arial" w:hAnsi="arial" w:cs="arial"/>
            <w:i/>
            <w:color w:val="0077CC"/>
            <w:sz w:val="20"/>
            <w:u w:val="single"/>
            <w:shd w:val="clear" w:color="auto" w:fill="FFFFFF"/>
            <w:lang w:val="en-US" w:eastAsia="en-US" w:bidi="ar-SA"/>
          </w:rPr>
          <w:t>2015 BCSC 1831</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Butterfield v. Choufour</w:t>
      </w:r>
      <w:r>
        <w:rPr>
          <w:rFonts w:ascii="arial" w:eastAsia="arial" w:hAnsi="arial" w:cs="arial"/>
          <w:color w:val="000000"/>
          <w:sz w:val="20"/>
          <w:lang w:val="en-US" w:eastAsia="en-US" w:bidi="ar-SA"/>
        </w:rPr>
        <w:t xml:space="preserve">, </w:t>
      </w:r>
      <w:hyperlink r:id="rId910" w:history="1">
        <w:r>
          <w:rPr>
            <w:rFonts w:ascii="arial" w:eastAsia="arial" w:hAnsi="arial" w:cs="arial"/>
            <w:i/>
            <w:color w:val="0077CC"/>
            <w:sz w:val="20"/>
            <w:u w:val="single"/>
            <w:shd w:val="clear" w:color="auto" w:fill="FFFFFF"/>
            <w:lang w:val="en-US" w:eastAsia="en-US" w:bidi="ar-SA"/>
          </w:rPr>
          <w:t>2005 BCSC 179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H. </w:t>
      </w:r>
      <w:r>
        <w:rPr>
          <w:rFonts w:ascii="arial" w:eastAsia="arial" w:hAnsi="arial" w:cs="arial"/>
          <w:b/>
          <w:color w:val="000000"/>
          <w:sz w:val="20"/>
          <w:u w:val="single"/>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xml:space="preserve">  The legal framework that governs this head of loss is straightforward. An award of future care is based on what is reasonably necessary to promote the mental and physical health of a plaintiff. The relevant authorities establish that there must be a medical justification for claims for cost of future care and that those claims must be reasonable: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539"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(S.C) at 78, 84; aff'd </w:t>
      </w:r>
      <w:hyperlink r:id="rId636" w:history="1">
        <w:r>
          <w:rPr>
            <w:rFonts w:ascii="arial" w:eastAsia="arial" w:hAnsi="arial" w:cs="arial"/>
            <w:i/>
            <w:color w:val="0077CC"/>
            <w:sz w:val="20"/>
            <w:u w:val="single"/>
            <w:shd w:val="clear" w:color="auto" w:fill="FFFFFF"/>
            <w:lang w:val="en-US" w:eastAsia="en-US" w:bidi="ar-SA"/>
          </w:rPr>
          <w:t>(1987) 49 B.C.L.R. (2d) 99</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xml:space="preserve">  Several further principles are relevant in this case. In particular, the Court must be satisfied that the specific care item is one that was made necessary as a result of the accident or injury in question and that it is not a care item that the plaintiff would, in any event, have procured: </w:t>
      </w:r>
      <w:r>
        <w:rPr>
          <w:rFonts w:ascii="arial" w:eastAsia="arial" w:hAnsi="arial" w:cs="arial"/>
          <w:i/>
          <w:color w:val="000000"/>
          <w:sz w:val="20"/>
          <w:lang w:val="en-US" w:eastAsia="en-US" w:bidi="ar-SA"/>
        </w:rPr>
        <w:t>Zell v. Carvajal</w:t>
      </w:r>
      <w:r>
        <w:rPr>
          <w:rFonts w:ascii="arial" w:eastAsia="arial" w:hAnsi="arial" w:cs="arial"/>
          <w:color w:val="000000"/>
          <w:sz w:val="20"/>
          <w:lang w:val="en-US" w:eastAsia="en-US" w:bidi="ar-SA"/>
        </w:rPr>
        <w:t xml:space="preserve">, </w:t>
      </w:r>
      <w:hyperlink r:id="rId911" w:history="1">
        <w:r>
          <w:rPr>
            <w:rFonts w:ascii="arial" w:eastAsia="arial" w:hAnsi="arial" w:cs="arial"/>
            <w:i/>
            <w:color w:val="0077CC"/>
            <w:sz w:val="20"/>
            <w:u w:val="single"/>
            <w:shd w:val="clear" w:color="auto" w:fill="FFFFFF"/>
            <w:lang w:val="en-US" w:eastAsia="en-US" w:bidi="ar-SA"/>
          </w:rPr>
          <w:t>2019 BCSC 1979</w:t>
        </w:r>
      </w:hyperlink>
      <w:r>
        <w:rPr>
          <w:rFonts w:ascii="arial" w:eastAsia="arial" w:hAnsi="arial" w:cs="arial"/>
          <w:color w:val="000000"/>
          <w:sz w:val="20"/>
          <w:lang w:val="en-US" w:eastAsia="en-US" w:bidi="ar-SA"/>
        </w:rPr>
        <w:t xml:space="preserve"> at para. 139 and the further authorities referred to at that paragraph.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xml:space="preserve">  The relevant authorities have also addressed the appropriate standard of proof for future loss of care claim. In </w:t>
      </w:r>
      <w:r>
        <w:rPr>
          <w:rFonts w:ascii="arial" w:eastAsia="arial" w:hAnsi="arial" w:cs="arial"/>
          <w:i/>
          <w:color w:val="000000"/>
          <w:sz w:val="20"/>
          <w:lang w:val="en-US" w:eastAsia="en-US" w:bidi="ar-SA"/>
        </w:rPr>
        <w:t>Suthakar v. Humble</w:t>
      </w:r>
      <w:r>
        <w:rPr>
          <w:rFonts w:ascii="arial" w:eastAsia="arial" w:hAnsi="arial" w:cs="arial"/>
          <w:color w:val="000000"/>
          <w:sz w:val="20"/>
          <w:lang w:val="en-US" w:eastAsia="en-US" w:bidi="ar-SA"/>
        </w:rPr>
        <w:t xml:space="preserve">, </w:t>
      </w:r>
      <w:hyperlink r:id="rId912" w:history="1">
        <w:r>
          <w:rPr>
            <w:rFonts w:ascii="arial" w:eastAsia="arial" w:hAnsi="arial" w:cs="arial"/>
            <w:i/>
            <w:color w:val="0077CC"/>
            <w:sz w:val="20"/>
            <w:u w:val="single"/>
            <w:shd w:val="clear" w:color="auto" w:fill="FFFFFF"/>
            <w:lang w:val="en-US" w:eastAsia="en-US" w:bidi="ar-SA"/>
          </w:rPr>
          <w:t>2016 BCSC 155</w:t>
        </w:r>
      </w:hyperlink>
      <w:r>
        <w:rPr>
          <w:rFonts w:ascii="arial" w:eastAsia="arial" w:hAnsi="arial" w:cs="arial"/>
          <w:color w:val="000000"/>
          <w:sz w:val="20"/>
          <w:lang w:val="en-US" w:eastAsia="en-US" w:bidi="ar-SA"/>
        </w:rPr>
        <w:t xml:space="preserve">, the Court said: "The standard of proof for an award for future care is the determination of the real and substantial future possibilities: </w:t>
      </w:r>
      <w:r>
        <w:rPr>
          <w:rFonts w:ascii="arial" w:eastAsia="arial" w:hAnsi="arial" w:cs="arial"/>
          <w:i/>
          <w:color w:val="000000"/>
          <w:sz w:val="20"/>
          <w:lang w:val="en-US" w:eastAsia="en-US" w:bidi="ar-SA"/>
        </w:rPr>
        <w:t>Anderson v. Rizzardo</w:t>
      </w:r>
      <w:r>
        <w:rPr>
          <w:rFonts w:ascii="arial" w:eastAsia="arial" w:hAnsi="arial" w:cs="arial"/>
          <w:color w:val="000000"/>
          <w:sz w:val="20"/>
          <w:lang w:val="en-US" w:eastAsia="en-US" w:bidi="ar-SA"/>
        </w:rPr>
        <w:t xml:space="preserve">, </w:t>
      </w:r>
      <w:hyperlink r:id="rId913" w:history="1">
        <w:r>
          <w:rPr>
            <w:rFonts w:ascii="arial" w:eastAsia="arial" w:hAnsi="arial" w:cs="arial"/>
            <w:i/>
            <w:color w:val="0077CC"/>
            <w:sz w:val="20"/>
            <w:u w:val="single"/>
            <w:shd w:val="clear" w:color="auto" w:fill="FFFFFF"/>
            <w:lang w:val="en-US" w:eastAsia="en-US" w:bidi="ar-SA"/>
          </w:rPr>
          <w:t>2015 BCSC 2349</w:t>
        </w:r>
      </w:hyperlink>
      <w:r>
        <w:rPr>
          <w:rFonts w:ascii="arial" w:eastAsia="arial" w:hAnsi="arial" w:cs="arial"/>
          <w:color w:val="000000"/>
          <w:sz w:val="20"/>
          <w:lang w:val="en-US" w:eastAsia="en-US" w:bidi="ar-SA"/>
        </w:rPr>
        <w:t xml:space="preserve"> at para. 209."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xml:space="preserve">  Furthermore, in </w:t>
      </w:r>
      <w:r>
        <w:rPr>
          <w:rFonts w:ascii="arial" w:eastAsia="arial" w:hAnsi="arial" w:cs="arial"/>
          <w:i/>
          <w:color w:val="000000"/>
          <w:sz w:val="20"/>
          <w:lang w:val="en-US" w:eastAsia="en-US" w:bidi="ar-SA"/>
        </w:rPr>
        <w:t>Shapiro v. Dailey</w:t>
      </w:r>
      <w:r>
        <w:rPr>
          <w:rFonts w:ascii="arial" w:eastAsia="arial" w:hAnsi="arial" w:cs="arial"/>
          <w:color w:val="000000"/>
          <w:sz w:val="20"/>
          <w:lang w:val="en-US" w:eastAsia="en-US" w:bidi="ar-SA"/>
        </w:rPr>
        <w:t xml:space="preserve">, </w:t>
      </w:r>
      <w:hyperlink r:id="rId914" w:history="1">
        <w:r>
          <w:rPr>
            <w:rFonts w:ascii="arial" w:eastAsia="arial" w:hAnsi="arial" w:cs="arial"/>
            <w:i/>
            <w:color w:val="0077CC"/>
            <w:sz w:val="20"/>
            <w:u w:val="single"/>
            <w:shd w:val="clear" w:color="auto" w:fill="FFFFFF"/>
            <w:lang w:val="en-US" w:eastAsia="en-US" w:bidi="ar-SA"/>
          </w:rPr>
          <w:t>2012 BCCA 128</w:t>
        </w:r>
      </w:hyperlink>
      <w:r>
        <w:rPr>
          <w:rFonts w:ascii="arial" w:eastAsia="arial" w:hAnsi="arial" w:cs="arial"/>
          <w:color w:val="000000"/>
          <w:sz w:val="20"/>
          <w:lang w:val="en-US" w:eastAsia="en-US" w:bidi="ar-SA"/>
        </w:rPr>
        <w:t>, Justice Nielsen, for the Court,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[51] Assessing damages for costs of future care, like other hypothetical future events, has an element of prediction and prophecy. The award should reflect reasonable expectations of what the injured person will require with the aim of placing her in the position she would normally have occupied, but for the accident. The assessment is objective, based on the evidence, and must result in an award that is fair to both parties: </w:t>
      </w:r>
      <w:r>
        <w:rPr>
          <w:rFonts w:ascii="arial" w:eastAsia="arial" w:hAnsi="arial" w:cs="arial"/>
          <w:i/>
          <w:color w:val="000000"/>
          <w:sz w:val="20"/>
          <w:lang w:val="en-US" w:eastAsia="en-US" w:bidi="ar-SA"/>
        </w:rPr>
        <w:t>Krangle (Guardian ad litem of) v. Brisco</w:t>
      </w:r>
      <w:r>
        <w:rPr>
          <w:rFonts w:ascii="arial" w:eastAsia="arial" w:hAnsi="arial" w:cs="arial"/>
          <w:color w:val="000000"/>
          <w:sz w:val="20"/>
          <w:lang w:val="en-US" w:eastAsia="en-US" w:bidi="ar-SA"/>
        </w:rPr>
        <w:t xml:space="preserve">, </w:t>
      </w:r>
      <w:hyperlink r:id="rId540" w:history="1">
        <w:r>
          <w:rPr>
            <w:rFonts w:ascii="arial" w:eastAsia="arial" w:hAnsi="arial" w:cs="arial"/>
            <w:i/>
            <w:color w:val="0077CC"/>
            <w:sz w:val="20"/>
            <w:u w:val="single"/>
            <w:shd w:val="clear" w:color="auto" w:fill="FFFFFF"/>
            <w:lang w:val="en-US" w:eastAsia="en-US" w:bidi="ar-SA"/>
          </w:rPr>
          <w:t>2002 SCC 9</w:t>
        </w:r>
      </w:hyperlink>
      <w:r>
        <w:rPr>
          <w:rFonts w:ascii="arial" w:eastAsia="arial" w:hAnsi="arial" w:cs="arial"/>
          <w:color w:val="000000"/>
          <w:sz w:val="20"/>
          <w:lang w:val="en-US" w:eastAsia="en-US" w:bidi="ar-SA"/>
        </w:rPr>
        <w:t xml:space="preserve"> at paras. 21-22, </w:t>
      </w:r>
      <w:hyperlink r:id="rId540" w:history="1">
        <w:r>
          <w:rPr>
            <w:rFonts w:ascii="arial" w:eastAsia="arial" w:hAnsi="arial" w:cs="arial"/>
            <w:i/>
            <w:color w:val="0077CC"/>
            <w:sz w:val="20"/>
            <w:u w:val="single"/>
            <w:shd w:val="clear" w:color="auto" w:fill="FFFFFF"/>
            <w:lang w:val="en-US" w:eastAsia="en-US" w:bidi="ar-SA"/>
          </w:rPr>
          <w:t>[2002] 1 S.C.R. 205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The positions of the parties are again markedly different. This is not on account of the legal principles that pertain. Instead it is a function of their differing theories on causation. The Defendants argue that the Plaintiff is not entitled to any award on account of his future care costs. This, they argue, is because none of these costs are attributable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Counsel for the Plaintiff argues that an award of $82,112 would be appropriate for the Plaintiff's future care costs. Approximately $78,300 of this amount is on account of a professional caregiver who would continue to provide the Plaintiff with the nearly daily care that he now receives. The need for that particular care item is supported by the opinion of Dr. Fasihy. The relevant calculation is based partly on the opinion of Mr. Gander and partly on the multipliers generated by an economist whose report, on behalf of the Plaintiff, was filed but who was not called for cross-examination. The assumption in that report, based on Statistics Canada's data, is that the Plaintiff has a life expectancy of approximately 93 years. The ensuing calculations that are relied on by the Plaintiff are based on that assumption.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The balance of the cost of future care award sought by the Plaintiff is on account of various medications and care items.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I am satisfied that the whole of the amount being sought on behalf of the Plaintiff in respect of this head of loss is appropriate. I have considered that the Plaintiff already suffered with various difficulties prior to the Accident, that he is an elderly gentleman, and that he may have required some of these care items in any event. On the other hand, I consider that the award being sought on behalf of the Plaintiff is, in some respects, conservative. In particular, it assumes that he will continue to require the same level of care for the next five or six years. This may well be optimistic. I consider that there is a substantial possibility that the Plaintiff may, on account of his deteriorating condition, require greater levels of care in the coming years. I also consider that there is some prospect that the life expectancy assumptions that these various calculations are based on are also conservative. The Plaintiff's daughter commented that family members on her father's side of the family typically enjoyed good health and were youthful for their age. She observed, for example, that her grandfather lived to be more than 100 years 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I. </w:t>
      </w:r>
      <w:r>
        <w:rPr>
          <w:rFonts w:ascii="arial" w:eastAsia="arial" w:hAnsi="arial" w:cs="arial"/>
          <w:b/>
          <w:color w:val="000000"/>
          <w:sz w:val="20"/>
          <w:u w:val="single"/>
          <w:lang w:val="en-US" w:eastAsia="en-US" w:bidi="ar-SA"/>
        </w:rPr>
        <w:t>HOUSEKEEPING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xml:space="preserve">  The Court has discretion whether to include a loss of housekeeping capacity claim within a non-pecuniary damage award or to make a separate award. The leading case that discusses this is </w:t>
      </w:r>
      <w:r>
        <w:rPr>
          <w:rFonts w:ascii="arial" w:eastAsia="arial" w:hAnsi="arial" w:cs="arial"/>
          <w:i/>
          <w:color w:val="000000"/>
          <w:sz w:val="20"/>
          <w:lang w:val="en-US" w:eastAsia="en-US" w:bidi="ar-SA"/>
        </w:rPr>
        <w:t>Kim v. Lin</w:t>
      </w:r>
      <w:r>
        <w:rPr>
          <w:rFonts w:ascii="arial" w:eastAsia="arial" w:hAnsi="arial" w:cs="arial"/>
          <w:color w:val="000000"/>
          <w:sz w:val="20"/>
          <w:lang w:val="en-US" w:eastAsia="en-US" w:bidi="ar-SA"/>
        </w:rPr>
        <w:t xml:space="preserve">, </w:t>
      </w:r>
      <w:hyperlink r:id="rId915" w:history="1">
        <w:r>
          <w:rPr>
            <w:rFonts w:ascii="arial" w:eastAsia="arial" w:hAnsi="arial" w:cs="arial"/>
            <w:i/>
            <w:color w:val="0077CC"/>
            <w:sz w:val="20"/>
            <w:u w:val="single"/>
            <w:shd w:val="clear" w:color="auto" w:fill="FFFFFF"/>
            <w:lang w:val="en-US" w:eastAsia="en-US" w:bidi="ar-SA"/>
          </w:rPr>
          <w:t>2018 BCCA 77</w:t>
        </w:r>
      </w:hyperlink>
      <w:r>
        <w:rPr>
          <w:rFonts w:ascii="arial" w:eastAsia="arial" w:hAnsi="arial" w:cs="arial"/>
          <w:color w:val="000000"/>
          <w:sz w:val="20"/>
          <w:lang w:val="en-US" w:eastAsia="en-US" w:bidi="ar-SA"/>
        </w:rPr>
        <w:t>. Chief Justice Bauman summarized the case law, at paras. 27-32, and then concluded: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[33] Therefore, where a plaintiff suffers an injury which would make a reasonable person in the plaintiff's circumstances unable to perform usual and necessary household work -- i.e., where the plaintiff has suffered a true loss of capacity -- that loss may be compensated by a pecuniary damages award. Where the plaintiff suffers a loss that is more in keeping with a loss of amenities, or increased pain and suffering, that loss may instead be compensated by a non-pecuniary damages award. However, I do not wish to create an inflexible rule for courts addressing these awards, and as this Court said in Liu, "it lies in the trial judge's discretion whether to address such a claim as part of the non-pecuniary loss or as a segregated pecuniary head of damage": at para. 26.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[34] Whichever option a court chooses, when valuing these different types of awards, courts should pay heed to the differing rationales behind them. In particular, when valuing the pecuniary damages for the loss of capacity suffered by a plaintiff, courts may look to the cost of hiring replacement services, but they should ensure that any award for that loss, and any deduction to that award, is tied to the actual loss of capacity which justifies the award in the first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xml:space="preserve">  It is also necessary to avoid duplication between pecuniary awards for housekeeping capacity and cost of future care awards. In </w:t>
      </w:r>
      <w:r>
        <w:rPr>
          <w:rFonts w:ascii="arial" w:eastAsia="arial" w:hAnsi="arial" w:cs="arial"/>
          <w:i/>
          <w:color w:val="000000"/>
          <w:sz w:val="20"/>
          <w:lang w:val="en-US" w:eastAsia="en-US" w:bidi="ar-SA"/>
        </w:rPr>
        <w:t>Firman v. Asadi</w:t>
      </w:r>
      <w:r>
        <w:rPr>
          <w:rFonts w:ascii="arial" w:eastAsia="arial" w:hAnsi="arial" w:cs="arial"/>
          <w:color w:val="000000"/>
          <w:sz w:val="20"/>
          <w:lang w:val="en-US" w:eastAsia="en-US" w:bidi="ar-SA"/>
        </w:rPr>
        <w:t xml:space="preserve">, </w:t>
      </w:r>
      <w:hyperlink r:id="rId916" w:history="1">
        <w:r>
          <w:rPr>
            <w:rFonts w:ascii="arial" w:eastAsia="arial" w:hAnsi="arial" w:cs="arial"/>
            <w:i/>
            <w:color w:val="0077CC"/>
            <w:sz w:val="20"/>
            <w:u w:val="single"/>
            <w:shd w:val="clear" w:color="auto" w:fill="FFFFFF"/>
            <w:lang w:val="en-US" w:eastAsia="en-US" w:bidi="ar-SA"/>
          </w:rPr>
          <w:t>2019 BCSC 270</w:t>
        </w:r>
      </w:hyperlink>
      <w:r>
        <w:rPr>
          <w:rFonts w:ascii="arial" w:eastAsia="arial" w:hAnsi="arial" w:cs="arial"/>
          <w:color w:val="000000"/>
          <w:sz w:val="20"/>
          <w:lang w:val="en-US" w:eastAsia="en-US" w:bidi="ar-SA"/>
        </w:rPr>
        <w:t>, the Court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[236] Duplication in the award must be avoided. Where potential costs for housekeeping assistance are awarded, in the context of costs of future care, then the case for a separate pecuniary award for loss of housekeeping capacity is lessened and perhaps eliminated, depending on the specific facts of the case. In this case a minor award for housekeeping assistance has been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See also </w:t>
      </w:r>
      <w:r>
        <w:rPr>
          <w:rFonts w:ascii="arial" w:eastAsia="arial" w:hAnsi="arial" w:cs="arial"/>
          <w:i/>
          <w:color w:val="000000"/>
          <w:sz w:val="20"/>
          <w:lang w:val="en-US" w:eastAsia="en-US" w:bidi="ar-SA"/>
        </w:rPr>
        <w:t>Tench v. Van Bugnum</w:t>
      </w:r>
      <w:r>
        <w:rPr>
          <w:rFonts w:ascii="arial" w:eastAsia="arial" w:hAnsi="arial" w:cs="arial"/>
          <w:color w:val="000000"/>
          <w:sz w:val="20"/>
          <w:lang w:val="en-US" w:eastAsia="en-US" w:bidi="ar-SA"/>
        </w:rPr>
        <w:t xml:space="preserve">, </w:t>
      </w:r>
      <w:hyperlink r:id="rId917" w:history="1">
        <w:r>
          <w:rPr>
            <w:rFonts w:ascii="arial" w:eastAsia="arial" w:hAnsi="arial" w:cs="arial"/>
            <w:i/>
            <w:color w:val="0077CC"/>
            <w:sz w:val="20"/>
            <w:u w:val="single"/>
            <w:shd w:val="clear" w:color="auto" w:fill="FFFFFF"/>
            <w:lang w:val="en-US" w:eastAsia="en-US" w:bidi="ar-SA"/>
          </w:rPr>
          <w:t>2019 BCSC 1877</w:t>
        </w:r>
      </w:hyperlink>
      <w:r>
        <w:rPr>
          <w:rFonts w:ascii="arial" w:eastAsia="arial" w:hAnsi="arial" w:cs="arial"/>
          <w:color w:val="000000"/>
          <w:sz w:val="20"/>
          <w:lang w:val="en-US" w:eastAsia="en-US" w:bidi="ar-SA"/>
        </w:rPr>
        <w:t xml:space="preserve"> where the plaintiff was awarded damages for cost of future care and loss of housekeeping capacity, recognizing "a gap...between the level of support provided for by the cost of future care award and her loss of capacity": at para. 238.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In the present case, and based on the evidence I have referred to, I consider that a modest loss of housekeeping award, in the amount of $10,000, is appropriate and that that award does not duplicate the earlier awards I have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J. </w:t>
      </w:r>
      <w:r>
        <w:rPr>
          <w:rFonts w:ascii="arial" w:eastAsia="arial" w:hAnsi="arial" w:cs="arial"/>
          <w:b/>
          <w:color w:val="000000"/>
          <w:sz w:val="20"/>
          <w:u w:val="single"/>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Most of the expenses related to the Plaintiff's past treatments have already been paid for by ICBC. The Plaintiff advances a modest special damages claim for a further $1,089. That claim is for a new bed and for the specialty chair that the Plaintiff subsequently purchased. Both were purchased on account of the increased disruption to his sleep. He also seeks an amount of $189 for physical treatments. I consider that the whole of this amount is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K. </w:t>
      </w:r>
      <w:r>
        <w:rPr>
          <w:rFonts w:ascii="arial" w:eastAsia="arial" w:hAnsi="arial" w:cs="arial"/>
          <w:b/>
          <w:color w:val="000000"/>
          <w:sz w:val="20"/>
          <w:u w:val="single"/>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I have awarded the Plaintiff the following amounts: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241"/>
        <w:gridCol w:w="1568"/>
        <w:gridCol w:w="564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Non-pecuniary damages</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$125,000</w:t>
            </w:r>
          </w:p>
        </w:tc>
        <w:tc>
          <w:tcPr>
            <w:tcW w:w="553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Housekeeping capacity</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$ 10,000</w:t>
            </w:r>
          </w:p>
        </w:tc>
        <w:tc>
          <w:tcPr>
            <w:tcW w:w="553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Future care costs</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$ 82,112</w:t>
            </w:r>
          </w:p>
        </w:tc>
        <w:tc>
          <w:tcPr>
            <w:tcW w:w="553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Special damages</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$ 1,089</w:t>
            </w:r>
          </w:p>
        </w:tc>
        <w:tc>
          <w:tcPr>
            <w:tcW w:w="553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17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Total</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$218,201</w:t>
            </w:r>
          </w:p>
        </w:tc>
        <w:tc>
          <w:tcPr>
            <w:tcW w:w="5530"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I consider an award of $218,201 fairly compensates the Plaintiff for his various losses. I further consider that the Plaintiff should have the costs of this trial. If there are any issues that I am unaware of, and if the parties wish to address the issue of costs further, they can contact the Registry and fix a date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P.G. VOITH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06" style="position:absolute;z-index:25180467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18"/>
          <w:headerReference w:type="default" r:id="rId919"/>
          <w:footerReference w:type="even" r:id="rId920"/>
          <w:footerReference w:type="default" r:id="rId921"/>
          <w:headerReference w:type="first" r:id="rId922"/>
          <w:footerReference w:type="first" r:id="rId92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24" w:history="1">
        <w:r>
          <w:rPr>
            <w:rFonts w:ascii="arial" w:eastAsia="arial" w:hAnsi="arial" w:cs="arial"/>
            <w:b/>
            <w:bCs/>
            <w:i/>
            <w:color w:val="0077CC"/>
            <w:kern w:val="32"/>
            <w:sz w:val="28"/>
            <w:szCs w:val="32"/>
            <w:u w:val="single"/>
            <w:shd w:val="clear" w:color="auto" w:fill="FFFFFF"/>
            <w:lang w:val="en-US" w:eastAsia="en-US" w:bidi="ar-SA"/>
          </w:rPr>
          <w:t>Norman v. Maple Ridge (District), [2015] B.C.J. No. 19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R.W. Jenkins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December 18,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8,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Dockets: S129134, S143982, S124827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 and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[2015] B.C.J. No. 19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2015 BCSC 17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Christine Norman, Blake Whitelaw, David Waterhouse, Teresa Waterhouse, Shannon Pineault, Michael Lind, Estelle Lind, Robert Wheeler, Candice Wheeler, Michael Ryan, Lorraine Ryan, Kerry Keller, Lynn Keller, Marco Giacometti, Anna Giacometti, Thi Thao Linh Huynh, Hung Nguyen, Mark Kauhane, Daina Kauhane, Brad Gibson, Lori Gibson, Marc Downey, Angela Downey, Ven-Ding Woo, Tsen-Yee Woo, Joseph Power, Christine Power, Plaintiffs, and District of Maple Ridge, 0733961 B.C. Ltd. dba Kanaka Village Joint Venture, Omni Pacific Construction Corp., Matthew Stogryn, Brian Lamb dba Brian Lamb Marketing &amp; Associates, Thomas Leung Structural Engineering Inc., Valley Geothechnical Engineering Services Ltd., ABC Company and John Doe, Defendants And between Steve Smith and Louise Smith, Plaintiffs, and District of Maple Ridge, 733961 B.C. Ltd. dba Kanaka Village Joint Venture, Omni Pacific Construction Corp., Matthew Stogryn, Thomas Leung Structural Engineering Inc., Valley Geothechnical Engineering Services Ltd., ABC Company, John Doe, Gary Croxford and Leigh Croxford, Defendants And between National Home Warranty Group Inc., Plaintiff, and 0733961 B.C. Ltd., Matthew Stogryn, 745122 B.C. Ltd., Bryan Lamb, 745126 B.C. Ltd., Gordon Arthur Walker, Perception Holdings Inc., Simon Turner, CE Developments Inc., Brian Killins and Jason Killins,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(29 paras.)</w:t>
      </w:r>
    </w:p>
    <w:p>
      <w:pPr>
        <w:jc w:val="both"/>
        <w:rPr>
          <w:rFonts w:ascii="arial" w:eastAsia="arial" w:hAnsi="arial" w:cs="arial"/>
          <w:sz w:val="20"/>
          <w:lang w:val="en-US" w:eastAsia="en-US" w:bidi="ar-SA"/>
        </w:rPr>
      </w:pPr>
      <w:bookmarkStart w:id="220" w:name="Counsel_43"/>
      <w:bookmarkEnd w:id="22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07" style="position:absolute;z-index:2517032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David and Teresa Waterhouse, Michael and Estelle Lind, Shannon Pinealt, Michael and Lorraine Ryan, Kerry and Lynn Keller, Marco and Anna Giacometti, Brad and Lori Gibson, Marc and Angela Downey, Ven-Ding Woo and Tsen-Yee Woo, Joseph Power and Christine Power: E. Fraser.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District of Maple Ridge: V. Pahl, T. Wedge.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733961 B.C. Ltd., dba Kanaka Village Joint Venture, Omni Pacific Construction Corp. and Matthew Stogryn: B. Rhodes.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Brian Lamb dba Brian Lamb Marketing &amp; Associates: G.C. Blanchard.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Thomas Leung Structural Engineering Inc.: M.J. Bryden.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Valley Geotechnical Engineering Services Ltd. C., Wallace M. Stainsby.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Christine Norman and Blake Whitelaw, Robert Wheeler and Candice Wheeler, Thia Thao Linh Huynh and Hung Nguyen, Mark and Daina Kauhane, Self-Represented.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Steve Smith and Louise Smith: R.H.J. Burgess.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Beesley Engineering Ltd.: S.H. Haakonson, K.A. Short.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National Home Warranty Group: D.L. Munn.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CE Developments Inc., Brian Killins, Jason Killins and Gordon Walker: R.W. Parsons.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Perception Holdings Inc. and Simon Turner: B.A. Rebane.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Bryan Lamb and 745122 B.C. Ltd.: R. Swartzberg.</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21" w:name="Judgment_43"/>
      <w:bookmarkEnd w:id="221"/>
      <w:r>
        <w:pict>
          <v:line id="_x0000_s1208" style="position:absolute;z-index:25175449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22" w:name="R.W. JENKINS J."/>
            <w:bookmarkEnd w:id="222"/>
            <w:r>
              <w:rPr>
                <w:rFonts w:ascii="arial" w:eastAsia="arial" w:hAnsi="arial" w:cs="arial"/>
                <w:b/>
                <w:color w:val="000000"/>
                <w:sz w:val="30"/>
                <w:lang w:val="en-US" w:eastAsia="en-US" w:bidi="ar-SA"/>
              </w:rPr>
              <w:t>R.W. JENKINS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This is an application pursuant to Rule 22-5(8)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168/2009</w:t>
      </w:r>
      <w:r>
        <w:rPr>
          <w:rFonts w:ascii="arial" w:eastAsia="arial" w:hAnsi="arial" w:cs="arial"/>
          <w:color w:val="000000"/>
          <w:sz w:val="20"/>
          <w:lang w:val="en-US" w:eastAsia="en-US" w:bidi="ar-SA"/>
        </w:rPr>
        <w:t xml:space="preserve"> that three actions be heard at the same time in New Westminster and for several orders relating to the conduct of the trial should I be inclined to grant the application to have the three actions heard together.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The Original Purchasers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New Westminster Registry Action No. 129134 (the "Original Purchasers Action") involves claims by the purchasers of individual strata lots in a development in Maple Ridge commonly known as Kanaka Creek Village. Currently, the owners of ten of the strata lots are named plaintiffs in this action. The developer of Kanaka Creek Village was 0733961 B.C. Ltd., doing business as Kanaka Creek Village Joint Venture (the "Developer"). There are several defendants in the Original Purchasers Action including the applicant, Thomas Leung Structural Engineering Inc. ("Thomas Leung").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plaintiffs are advancing several claims in breach of contract,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and/or misrepresentation against the Developer, Omni Pacific Construction Corp. ("Omni"), Thomas Leung, Valley Geotechnical Engineering Services Ltd. ("Valley") and the District of Maple Ridge in relation to the design and construction of Kanaka Creek Village. Brian Lamb Marketing &amp; Associates, the realtor engaged to sell the strata lots, has also been named a defendant and faces a claim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 Third Party Notice has been filed in the Original Purchasers Action which names all of the defendants save for "ABC Company" and "John Doe". The style of cause currently lists all of the defendants and Beesley Engineering Ltd. as Third Parties and presumably had previously been referred to as "ABC Company" and "John Doe". Although the Application Record did not include a copy of the Third Party Notice, I understand from submissions that Beesley Engineering Ltd. had been retained as structural engineers by the Developer, although Beesley Engineering Ltd. submits they only provided services on two of the homes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claims of the plaintiffs relate to water ingress into the strata lots below the established flood plain in the area of the development, which has resulted in considerable damage in the basements of the strata lots.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 have been appointed to judicially manage this action which is currently set for trial commencing March 30, 2015 for 28 days. The trial date was set in May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The New Purchasers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New Westminster Registry Action No. 143982 (the "New Purchasers Action") was commenced by Steve and Louise Smith against the same defendants as those named in the Original Purchasers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The claims are essentially the same as those in the Original Purchasers Action, save that the Smiths did not claim against Brian Lamb Marketing &amp; Associates and made an additional claim against Mr. and Mrs. Croxford, who were the original purchasers of their strata lot from the Developer. The claims by the Smiths against the Croxfords are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misrepresentation, and also relate to water ingress into the basement of their strata lot and resulting damage. Beesley Engineering Ltd. had originally been named as a defendant in the New Purchasers Action; however, the claim against Beesley Engineering Ltd. was deleted from the claims included in the Amended Notice of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The Warranty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Vancouver Registry Action No. S124827 (the "Warranty Action") was commenced by National New Home Warranty Group Inc. ("National"), which operates a new home warranty insurance program. National entered into a Builder's Agreement with the Developer in which National issued limited warranty certificates to the purchasers of individual strata lots in Kanaka Creek Village which allegedly covered, among other things, water ingress into the strata lots. Several of the owners of strata lots at Kanaka Creek Village made defect claims under the warranty certificates. National claims in the Warranty Action that it investigated the defect claims and arranged for repair of some of the alleged deficiencies related to water ingress in the strata lots of the claimants. National advances a claim against the Developer for breach of the Builder's Agreement by failing to compensate National's insurance program for the repair costs it incurred to repair the defects alleged by the warranty certificate holders.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or about the time that National was entering into the agreement with the Developer, it also entered into guarantee agreements with the principals and investors in the Kanaka Creek Village development. The guarantees were provided by the other defendants in the Warranty Action, who are Matthew Stogryn, 745122 B.C. Ltd., Bryan Lamb, 745126 B.C. Ltd., Gordon Arthur Walker, Perception Holdings Inc., Simon Turner, CE Developments Inc., Brian Killins and Jason Killins (collectively, the "Guarantors"). National claims that the Guarantors breached their guarantee agreements by failing to compensate National's insurance program for the payments made by National under the Builder's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Warranty Action was commenced in July of 2012. There has been very little progress in the Warranty Action due in part to a need for National to retain new counsel given potential conflicts of interest. National is clearly not prepared to proceed to trial on March 30,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There is some duplication in the plaintiffs in the Original Purchasers Action with the owners who have made defect claims on the warranty certificates issued by National. In other words, some of the plaintiffs in the Original Purchasers Action have claims against the defendants in that action relating to defects in their strata lots, and in the Warranty Action, National is pursuing claims against the defendants in that action for the cost of remedying defects in the same strata lots. The major difference is that the claims in the Original Purchasers Action are against several defendants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misrepresentation, and the claims of National in the Warranty Action are against the Developer for breach of the Builder's Agreement and against the Guarantors for breach of the guarantee agreements.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Developer is the only common defendant in all of the actions. Even though the plaintiffs in the New Purchasers Action, ie. the Smiths, purchased their unit from an original purchaser, ie. the Croxfords, the Smiths are nonetheless asserting a claim in breach of contract against the Developer. The basis of that claim is not at all clear, however, since there apparently was no contract between the Smiths and the Developer.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the Notice of Application issued in this proceeding and in the New Purchasers Action, Thomas Leung submits:</w:t>
      </w:r>
      <w:r>
        <w:rPr>
          <w:rFonts w:ascii="arial" w:eastAsia="arial" w:hAnsi="arial" w:cs="arial"/>
          <w:sz w:val="20"/>
          <w:lang w:val="en-US" w:eastAsia="en-US" w:bidi="ar-SA"/>
        </w:rPr>
        <w:cr/>
      </w:r>
    </w:p>
    <w:p>
      <w:pPr>
        <w:numPr>
          <w:numId w:val="1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Original Purchasers Action, the New Purchasers Action and the Warranty Action all allege breach of contract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Developer.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Although this allegation is generally correct, it fails to point out that the breach of contract claims in the actions are based upon different contracts. In the first two actions, the contracts which were allegedly breached were the purchasers' agreements, whereas the contract allegedly breached in the Warranty Action is the Builder's Agreement between the Developer and National.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It is clear, however, that there is some duplication insofar as the deficiencies alleged in the design and construction of the development.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Counsel for Perception Holdings Ltd., one of the Guarantors, takes the position that since a Notice of Application to have this matter heard has not been issued in the Warranty Action, this application cannot proceed, at least so far as the parties to the Warranty Action are concerned.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 reiterate that counsel for National and the other parties in the Warranty Action have clearly stated that they would not be in a position to go to trial on March 30,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Law Relating to Joinder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The applicant relies upon the decision of Mr. Justice Willcock (as he then was) in </w:t>
      </w:r>
      <w:r>
        <w:rPr>
          <w:rFonts w:ascii="arial" w:eastAsia="arial" w:hAnsi="arial" w:cs="arial"/>
          <w:i/>
          <w:color w:val="000000"/>
          <w:sz w:val="20"/>
          <w:lang w:val="en-US" w:eastAsia="en-US" w:bidi="ar-SA"/>
        </w:rPr>
        <w:t>Globalnet Management Solutions v. Aviva Insurance Company,</w:t>
      </w:r>
      <w:r>
        <w:rPr>
          <w:rFonts w:ascii="arial" w:eastAsia="arial" w:hAnsi="arial" w:cs="arial"/>
          <w:color w:val="000000"/>
          <w:sz w:val="20"/>
          <w:lang w:val="en-US" w:eastAsia="en-US" w:bidi="ar-SA"/>
        </w:rPr>
        <w:t xml:space="preserve"> </w:t>
      </w:r>
      <w:hyperlink r:id="rId925" w:history="1">
        <w:r>
          <w:rPr>
            <w:rFonts w:ascii="arial" w:eastAsia="arial" w:hAnsi="arial" w:cs="arial"/>
            <w:i/>
            <w:color w:val="0077CC"/>
            <w:sz w:val="20"/>
            <w:u w:val="single"/>
            <w:shd w:val="clear" w:color="auto" w:fill="FFFFFF"/>
            <w:lang w:val="en-US" w:eastAsia="en-US" w:bidi="ar-SA"/>
          </w:rPr>
          <w:t>2013 BCSC 829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Globalnet</w:t>
      </w:r>
      <w:r>
        <w:rPr>
          <w:rFonts w:ascii="arial" w:eastAsia="arial" w:hAnsi="arial" w:cs="arial"/>
          <w:color w:val="000000"/>
          <w:sz w:val="20"/>
          <w:lang w:val="en-US" w:eastAsia="en-US" w:bidi="ar-SA"/>
        </w:rPr>
        <w:t xml:space="preserve">] to provide a summary of legal principles which apply to an application to try multiple actions together. The portions of the </w:t>
      </w:r>
      <w:r>
        <w:rPr>
          <w:rFonts w:ascii="arial" w:eastAsia="arial" w:hAnsi="arial" w:cs="arial"/>
          <w:i/>
          <w:color w:val="000000"/>
          <w:sz w:val="20"/>
          <w:lang w:val="en-US" w:eastAsia="en-US" w:bidi="ar-SA"/>
        </w:rPr>
        <w:t>Globalnet</w:t>
      </w:r>
      <w:r>
        <w:rPr>
          <w:rFonts w:ascii="arial" w:eastAsia="arial" w:hAnsi="arial" w:cs="arial"/>
          <w:color w:val="000000"/>
          <w:sz w:val="20"/>
          <w:lang w:val="en-US" w:eastAsia="en-US" w:bidi="ar-SA"/>
        </w:rPr>
        <w:t xml:space="preserve"> decision referred to by counsel are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[35] The application is brought pursuant to Rule 22-5(8) which provides: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Proceedings may be consolidated at any time by order of the court or may be ordered to be tried at the same time or on the same day.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[36] The parties have referred to the same leading cases in support of their description of the applicable standard on the application. Among these the decision of Master Joyce, as he then was, in </w:t>
      </w:r>
      <w:r>
        <w:rPr>
          <w:rFonts w:ascii="arial" w:eastAsia="arial" w:hAnsi="arial" w:cs="arial"/>
          <w:i/>
          <w:color w:val="000000"/>
          <w:sz w:val="20"/>
          <w:lang w:val="en-US" w:eastAsia="en-US" w:bidi="ar-SA"/>
        </w:rPr>
        <w:t>Shah v. Bakken</w:t>
      </w:r>
      <w:r>
        <w:rPr>
          <w:rFonts w:ascii="arial" w:eastAsia="arial" w:hAnsi="arial" w:cs="arial"/>
          <w:color w:val="000000"/>
          <w:sz w:val="20"/>
          <w:lang w:val="en-US" w:eastAsia="en-US" w:bidi="ar-SA"/>
        </w:rPr>
        <w:t xml:space="preserve"> (1996), </w:t>
      </w:r>
      <w:hyperlink r:id="rId926" w:history="1">
        <w:r>
          <w:rPr>
            <w:rFonts w:ascii="arial" w:eastAsia="arial" w:hAnsi="arial" w:cs="arial"/>
            <w:i/>
            <w:color w:val="0077CC"/>
            <w:sz w:val="20"/>
            <w:u w:val="single"/>
            <w:shd w:val="clear" w:color="auto" w:fill="FFFFFF"/>
            <w:lang w:val="en-US" w:eastAsia="en-US" w:bidi="ar-SA"/>
          </w:rPr>
          <w:t>1996 CanLII 2522</w:t>
        </w:r>
      </w:hyperlink>
      <w:r>
        <w:rPr>
          <w:rFonts w:ascii="arial" w:eastAsia="arial" w:hAnsi="arial" w:cs="arial"/>
          <w:color w:val="000000"/>
          <w:sz w:val="20"/>
          <w:lang w:val="en-US" w:eastAsia="en-US" w:bidi="ar-SA"/>
        </w:rPr>
        <w:t xml:space="preserve"> (BC SC), </w:t>
      </w:r>
      <w:hyperlink r:id="rId926" w:history="1">
        <w:r>
          <w:rPr>
            <w:rFonts w:ascii="arial" w:eastAsia="arial" w:hAnsi="arial" w:cs="arial"/>
            <w:i/>
            <w:color w:val="0077CC"/>
            <w:sz w:val="20"/>
            <w:u w:val="single"/>
            <w:shd w:val="clear" w:color="auto" w:fill="FFFFFF"/>
            <w:lang w:val="en-US" w:eastAsia="en-US" w:bidi="ar-SA"/>
          </w:rPr>
          <w:t>20 B.C.L.R. (3d) 393</w:t>
        </w:r>
      </w:hyperlink>
      <w:r>
        <w:rPr>
          <w:rFonts w:ascii="arial" w:eastAsia="arial" w:hAnsi="arial" w:cs="arial"/>
          <w:color w:val="000000"/>
          <w:sz w:val="20"/>
          <w:lang w:val="en-US" w:eastAsia="en-US" w:bidi="ar-SA"/>
        </w:rPr>
        <w:t xml:space="preserve"> (S.C.). In that case Master Joyce considered an application for joinder, not consolidation of actions. He was referred to the existing law, including </w:t>
      </w:r>
      <w:r>
        <w:rPr>
          <w:rFonts w:ascii="arial" w:eastAsia="arial" w:hAnsi="arial" w:cs="arial"/>
          <w:i/>
          <w:color w:val="000000"/>
          <w:sz w:val="20"/>
          <w:lang w:val="en-US" w:eastAsia="en-US" w:bidi="ar-SA"/>
        </w:rPr>
        <w:t>Merritt v. Imasco Enterprises Inc.</w:t>
      </w:r>
      <w:r>
        <w:rPr>
          <w:rFonts w:ascii="arial" w:eastAsia="arial" w:hAnsi="arial" w:cs="arial"/>
          <w:color w:val="000000"/>
          <w:sz w:val="20"/>
          <w:lang w:val="en-US" w:eastAsia="en-US" w:bidi="ar-SA"/>
        </w:rPr>
        <w:t xml:space="preserve"> </w:t>
      </w:r>
      <w:hyperlink r:id="rId927" w:history="1">
        <w:r>
          <w:rPr>
            <w:rFonts w:ascii="arial" w:eastAsia="arial" w:hAnsi="arial" w:cs="arial"/>
            <w:i/>
            <w:color w:val="0077CC"/>
            <w:sz w:val="20"/>
            <w:u w:val="single"/>
            <w:shd w:val="clear" w:color="auto" w:fill="FFFFFF"/>
            <w:lang w:val="en-US" w:eastAsia="en-US" w:bidi="ar-SA"/>
          </w:rPr>
          <w:t>(1992) 2 C.P.C. (3d) 275</w:t>
        </w:r>
      </w:hyperlink>
      <w:r>
        <w:rPr>
          <w:rFonts w:ascii="arial" w:eastAsia="arial" w:hAnsi="arial" w:cs="arial"/>
          <w:color w:val="000000"/>
          <w:sz w:val="20"/>
          <w:lang w:val="en-US" w:eastAsia="en-US" w:bidi="ar-SA"/>
        </w:rPr>
        <w:t xml:space="preserve"> (B.C.S.C.) which he himself regarded as a leading case. He set out the following propositions: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order is discretionary;</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purpose of consolidation is to avoid multiplicity of proceedings;</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among the factors the court should consider is whether the order will result in a saving of time and expense and a better administration of justice.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[37] Master Joyce held the issue is not to be determined solely on the basis of the commonality of issues, although that is described as important, and the first factor to be considered, but that after finding commonality the court should look at factors which were enumerated as follows:</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Will the order sought create a saving in pretrial procedures, (in particular, pre-trial conferences)?</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Will there be a real reduction in the number of trial days taken up by the trials being heard at the same time?</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the potential for a party to be seriously inconvenienced by being required to attend a trial in which that party may have only a marginal interest?</w:t>
      </w:r>
    </w:p>
    <w:p>
      <w:pPr>
        <w:numPr>
          <w:numId w:val="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Will there be a real saving in experts' time and witness fees?</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one of the actions at a more advanced stage than the other?</w:t>
      </w:r>
    </w:p>
    <w:p>
      <w:pPr>
        <w:numPr>
          <w:numId w:val="1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Will the order result a delay of the trial of one of the actions?</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so, does any prejudice which a party may suffer as a result of that delay outweigh the potential benefits which a combined trial might otherwise have?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[38] The same or similar factors are considered in other cases and the approach taken by Master Joyce in </w:t>
      </w:r>
      <w:r>
        <w:rPr>
          <w:rFonts w:ascii="arial" w:eastAsia="arial" w:hAnsi="arial" w:cs="arial"/>
          <w:i/>
          <w:color w:val="000000"/>
          <w:sz w:val="20"/>
          <w:lang w:val="en-US" w:eastAsia="en-US" w:bidi="ar-SA"/>
        </w:rPr>
        <w:t>Shah v. Bakken</w:t>
      </w:r>
      <w:r>
        <w:rPr>
          <w:rFonts w:ascii="arial" w:eastAsia="arial" w:hAnsi="arial" w:cs="arial"/>
          <w:color w:val="000000"/>
          <w:sz w:val="20"/>
          <w:lang w:val="en-US" w:eastAsia="en-US" w:bidi="ar-SA"/>
        </w:rPr>
        <w:t xml:space="preserve"> was adopted and applied by Madam Justice Gray in </w:t>
      </w:r>
      <w:r>
        <w:rPr>
          <w:rFonts w:ascii="arial" w:eastAsia="arial" w:hAnsi="arial" w:cs="arial"/>
          <w:i/>
          <w:color w:val="000000"/>
          <w:sz w:val="20"/>
          <w:lang w:val="en-US" w:eastAsia="en-US" w:bidi="ar-SA"/>
        </w:rPr>
        <w:t>Hurstfield v. Hektoen</w:t>
      </w:r>
      <w:r>
        <w:rPr>
          <w:rFonts w:ascii="arial" w:eastAsia="arial" w:hAnsi="arial" w:cs="arial"/>
          <w:color w:val="000000"/>
          <w:sz w:val="20"/>
          <w:lang w:val="en-US" w:eastAsia="en-US" w:bidi="ar-SA"/>
        </w:rPr>
        <w:t xml:space="preserve">, </w:t>
      </w:r>
      <w:hyperlink r:id="rId928" w:history="1">
        <w:r>
          <w:rPr>
            <w:rFonts w:ascii="arial" w:eastAsia="arial" w:hAnsi="arial" w:cs="arial"/>
            <w:i/>
            <w:color w:val="0077CC"/>
            <w:sz w:val="20"/>
            <w:u w:val="single"/>
            <w:shd w:val="clear" w:color="auto" w:fill="FFFFFF"/>
            <w:lang w:val="en-US" w:eastAsia="en-US" w:bidi="ar-SA"/>
          </w:rPr>
          <w:t>2011 BCSC 1289</w:t>
        </w:r>
      </w:hyperlink>
      <w:r>
        <w:rPr>
          <w:rFonts w:ascii="arial" w:eastAsia="arial" w:hAnsi="arial" w:cs="arial"/>
          <w:color w:val="000000"/>
          <w:sz w:val="20"/>
          <w:lang w:val="en-US" w:eastAsia="en-US" w:bidi="ar-SA"/>
        </w:rPr>
        <w:t xml:space="preserve"> (CanLII).</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[39] I should note that the test to be addressed was stated recently and more simply in a decision of Master Keighley in </w:t>
      </w:r>
      <w:r>
        <w:rPr>
          <w:rFonts w:ascii="arial" w:eastAsia="arial" w:hAnsi="arial" w:cs="arial"/>
          <w:i/>
          <w:color w:val="000000"/>
          <w:sz w:val="20"/>
          <w:lang w:val="en-US" w:eastAsia="en-US" w:bidi="ar-SA"/>
        </w:rPr>
        <w:t>Sohal Estate v. Argitos</w:t>
      </w:r>
      <w:r>
        <w:rPr>
          <w:rFonts w:ascii="arial" w:eastAsia="arial" w:hAnsi="arial" w:cs="arial"/>
          <w:color w:val="000000"/>
          <w:sz w:val="20"/>
          <w:lang w:val="en-US" w:eastAsia="en-US" w:bidi="ar-SA"/>
        </w:rPr>
        <w:t xml:space="preserve">, </w:t>
      </w:r>
      <w:hyperlink r:id="rId929" w:history="1">
        <w:r>
          <w:rPr>
            <w:rFonts w:ascii="arial" w:eastAsia="arial" w:hAnsi="arial" w:cs="arial"/>
            <w:i/>
            <w:color w:val="0077CC"/>
            <w:sz w:val="20"/>
            <w:u w:val="single"/>
            <w:shd w:val="clear" w:color="auto" w:fill="FFFFFF"/>
            <w:lang w:val="en-US" w:eastAsia="en-US" w:bidi="ar-SA"/>
          </w:rPr>
          <w:t>2010 BCSC 916</w:t>
        </w:r>
      </w:hyperlink>
      <w:r>
        <w:rPr>
          <w:rFonts w:ascii="arial" w:eastAsia="arial" w:hAnsi="arial" w:cs="arial"/>
          <w:color w:val="000000"/>
          <w:sz w:val="20"/>
          <w:lang w:val="en-US" w:eastAsia="en-US" w:bidi="ar-SA"/>
        </w:rPr>
        <w:t xml:space="preserve"> (CanLII), where, after reviewing the cases, he said at para. 22:</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22 In the case of </w:t>
      </w:r>
      <w:r>
        <w:rPr>
          <w:rFonts w:ascii="arial" w:eastAsia="arial" w:hAnsi="arial" w:cs="arial"/>
          <w:i/>
          <w:color w:val="000000"/>
          <w:sz w:val="20"/>
          <w:lang w:val="en-US" w:eastAsia="en-US" w:bidi="ar-SA"/>
        </w:rPr>
        <w:t>Murray v. Morgan</w:t>
      </w:r>
      <w:r>
        <w:rPr>
          <w:rFonts w:ascii="arial" w:eastAsia="arial" w:hAnsi="arial" w:cs="arial"/>
          <w:color w:val="000000"/>
          <w:sz w:val="20"/>
          <w:lang w:val="en-US" w:eastAsia="en-US" w:bidi="ar-SA"/>
        </w:rPr>
        <w:t xml:space="preserve">, </w:t>
      </w:r>
      <w:hyperlink r:id="rId930" w:history="1">
        <w:r>
          <w:rPr>
            <w:rFonts w:ascii="arial" w:eastAsia="arial" w:hAnsi="arial" w:cs="arial"/>
            <w:i/>
            <w:color w:val="0077CC"/>
            <w:sz w:val="20"/>
            <w:u w:val="single"/>
            <w:shd w:val="clear" w:color="auto" w:fill="FFFFFF"/>
            <w:lang w:val="en-US" w:eastAsia="en-US" w:bidi="ar-SA"/>
          </w:rPr>
          <w:t>[1999] B.C.J. No. 2871</w:t>
        </w:r>
      </w:hyperlink>
      <w:r>
        <w:rPr>
          <w:rFonts w:ascii="arial" w:eastAsia="arial" w:hAnsi="arial" w:cs="arial"/>
          <w:color w:val="000000"/>
          <w:sz w:val="20"/>
          <w:lang w:val="en-US" w:eastAsia="en-US" w:bidi="ar-SA"/>
        </w:rPr>
        <w:t xml:space="preserve">, Master McCallum paraphrased Master Kirkpatrick's analysis in </w:t>
      </w:r>
      <w:r>
        <w:rPr>
          <w:rFonts w:ascii="arial" w:eastAsia="arial" w:hAnsi="arial" w:cs="arial"/>
          <w:i/>
          <w:color w:val="000000"/>
          <w:sz w:val="20"/>
          <w:lang w:val="en-US" w:eastAsia="en-US" w:bidi="ar-SA"/>
        </w:rPr>
        <w:t>Merritt</w:t>
      </w:r>
      <w:r>
        <w:rPr>
          <w:rFonts w:ascii="arial" w:eastAsia="arial" w:hAnsi="arial" w:cs="arial"/>
          <w:color w:val="000000"/>
          <w:sz w:val="20"/>
          <w:lang w:val="en-US" w:eastAsia="en-US" w:bidi="ar-SA"/>
        </w:rPr>
        <w:t xml:space="preserve"> as "will the order make sense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 accept the summary as set out by Mr. Justice Willcock, which is a most helpful and comprehensive list of considerations in making a decision on applications to have actions heard together. After reviewing the circumstances in these three actions, I have come to the conclusion that although the Original Purchasers Action and the New Purchasers Action should be heard together, the Warranty Action should not be heard together with the first two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Regarding a common hearing for the Original Purchasers Action and the New Purchasers Action, there is considerable commonality between the actions such that having those actions heard together will avoid a multiplicity of proceedings, will avoid the possibility of inconsistent findings on the same issues and similar facts, and will result in a savings in the time of experts and witness expenses. Considering having these two actions heard together may prejudice the existing trial date of March 30, 2015, the delay is not outweighed by the potential benefits of a combined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With the exception of the claims of the Smiths against the Croxford defendants in the New Purchasers Action, the issues are identical in the two actions. Also, with the exception of the Smiths being added as plaintiffs in the trial, the claims against each of the defendants in both actions would appear to be identical save that the Smiths are no longer pursuing a claim against Beesley Engineering Limited in the New Purchasers Action. Regarding the claims against the Croxfords in the New Purchasers Action and Beesley Engineering Company as Third Parties in the Original Purchasers Action, those portions of the trial could easily be heard separately; it and the other defendants in both actions would not need to be present during the evidence relating solely to the Croxfords and Beesley Engineering Ltd.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Expert testimony would likely be common in both actions and engineers and other experts would not be required to appear at trial twice or be forced to prepare separate reports. With one trial, the possibility of inconsistent findings would not be a factor and there is likely to be a savings in time and the costs of trial for all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There are several reasons, consistent with the considerations listed in the </w:t>
      </w:r>
      <w:r>
        <w:rPr>
          <w:rFonts w:ascii="arial" w:eastAsia="arial" w:hAnsi="arial" w:cs="arial"/>
          <w:i/>
          <w:color w:val="000000"/>
          <w:sz w:val="20"/>
          <w:lang w:val="en-US" w:eastAsia="en-US" w:bidi="ar-SA"/>
        </w:rPr>
        <w:t>Globalnet</w:t>
      </w:r>
      <w:r>
        <w:rPr>
          <w:rFonts w:ascii="arial" w:eastAsia="arial" w:hAnsi="arial" w:cs="arial"/>
          <w:color w:val="000000"/>
          <w:sz w:val="20"/>
          <w:lang w:val="en-US" w:eastAsia="en-US" w:bidi="ar-SA"/>
        </w:rPr>
        <w:t xml:space="preserve"> decision, as to why the Warranty Action should not be heard together with the other two actions:</w:t>
      </w:r>
      <w:r>
        <w:rPr>
          <w:rFonts w:ascii="arial" w:eastAsia="arial" w:hAnsi="arial" w:cs="arial"/>
          <w:sz w:val="20"/>
          <w:lang w:val="en-US" w:eastAsia="en-US" w:bidi="ar-SA"/>
        </w:rPr>
        <w:cr/>
      </w:r>
    </w:p>
    <w:p>
      <w:pPr>
        <w:numPr>
          <w:numId w:val="1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issues in the Warranty Action are distinct from those in the other two actions. The Original Purchasers Action and the New Purchasers Action rely upon breach of contract only against the Developer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all of the other defendants. The breach of contract in those two actions would require an interpretation of the facts as they relate to the purchase agreements entered into between the purchasers and the developer. The breach of contract claim in the Warranty Action would require evidence relating to the Builder's Agreement and the guarantees, which could be considerably different than the evidence relevant to the purchase agreements.</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Save for the Developer defendant, there are no common defendants in the Warranty Action and the other two actions.</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in the Original Purchasers Action and the New Purchasers Action would have no interest in the claims against the guarantors in the Warranty Action.</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order for the plaintiffs in the Original Purchasers Action and the New Purchasers Action to prove their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claims, they would be required to present expert evidence as to the standard of care of engineers and contractors designing and building projects such as Kanaka Creek Village and whether or not those standards of care had been satisfied. National would have no interest in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claims as the latter are not being pursued by National. Similarly, as stated above, the plaintiffs in the Original Purchasers Action and the New Purchasers Action would have no interest in the claims against the Guarantors as they have no cause of action against them.</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National's claims would seek recovery of expenditures by National to repair defects as a result of the Developer's breach of contract. The claims of the plaintiffs in the Original Purchasers Action and the New Purchasers Action would similarly be for recovery of expenditures made by those plaintiffs to repair defects. Although some of the plaintiffs in the Original Purchasers Action also submitted claims through National, the evidence I have reviewed does not assert a double recovery if both National and those plaintiffs are successful in their claims.</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may be an apportionment of liability between the various defendants in the Original Purchasers Action and the New Purchasers Action which would not be applicable in the Warranty Action, and accordingly National would have no interest in an apportionment of liability.</w:t>
      </w:r>
    </w:p>
    <w:p>
      <w:pPr>
        <w:numPr>
          <w:numId w:val="1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National may not be required to rely on expert evidence in proving its claims against the Developer, the payment of which have been guaranteed by the Guarantors in the Warranty Action. Liability of the Developer, and hence, the Guarantors to National will rather be dependent on a "default" under the Builder's Agreement, which is defined in para. 7 of that agreement as follows:</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Default by the Builder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Builder shall be in default under this Agreement upon the occurrence of any of the following events:</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Builder shall default in the punctual payment of any monies owing under the Program;</w:t>
      </w:r>
    </w:p>
    <w:p>
      <w:pPr>
        <w:numPr>
          <w:numId w:val="2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Builder fails to perform any of its obligations under this Agreement or under the Limited Warranty given by the Builder to a Purchaser or should the Builder fail to comply with any regulations or requirements made by the Program, from time to time, under the terms of this Agreement;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Evidence relating to a default under the Builder's Agreement would not be relevant to the plaintiffs in the other two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Finally, I note the words quoted by Mr. Justice Willcock in para. 39 of </w:t>
      </w:r>
      <w:r>
        <w:rPr>
          <w:rFonts w:ascii="arial" w:eastAsia="arial" w:hAnsi="arial" w:cs="arial"/>
          <w:i/>
          <w:color w:val="000000"/>
          <w:sz w:val="20"/>
          <w:lang w:val="en-US" w:eastAsia="en-US" w:bidi="ar-SA"/>
        </w:rPr>
        <w:t>Globalnet</w:t>
      </w:r>
      <w:r>
        <w:rPr>
          <w:rFonts w:ascii="arial" w:eastAsia="arial" w:hAnsi="arial" w:cs="arial"/>
          <w:color w:val="000000"/>
          <w:sz w:val="20"/>
          <w:lang w:val="en-US" w:eastAsia="en-US" w:bidi="ar-SA"/>
        </w:rPr>
        <w:t xml:space="preserve"> when referring to a quote from Master McCallum , ie. "will the order make sense in the circumstances?" Considering all of the differences between the Warranty Action and the other two actions, the order that would result from the three actions heard together would not make sense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Due to my finding above, it is not necessary for me to determine whether it would be possible procedurally for the applicant to proceed with this application to join the Warranty Action on the basis that the application in the Warranty Action is not properly before the Court. Counsel for Perception Holdings Inc. submitted that the present Notice of Application is not properly before the Court as no Notice of Application has been issued in the Warranty Action, and accordingly no order can be made joining the parties to the Warranty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Counsel for the applicant referred to the decision of </w:t>
      </w:r>
      <w:r>
        <w:rPr>
          <w:rFonts w:ascii="arial" w:eastAsia="arial" w:hAnsi="arial" w:cs="arial"/>
          <w:i/>
          <w:color w:val="000000"/>
          <w:sz w:val="20"/>
          <w:lang w:val="en-US" w:eastAsia="en-US" w:bidi="ar-SA"/>
        </w:rPr>
        <w:t>Moore v. RFID Systems Corp.,</w:t>
      </w:r>
      <w:r>
        <w:rPr>
          <w:rFonts w:ascii="arial" w:eastAsia="arial" w:hAnsi="arial" w:cs="arial"/>
          <w:color w:val="000000"/>
          <w:sz w:val="20"/>
          <w:lang w:val="en-US" w:eastAsia="en-US" w:bidi="ar-SA"/>
        </w:rPr>
        <w:t xml:space="preserve"> </w:t>
      </w:r>
      <w:hyperlink r:id="rId931" w:history="1">
        <w:r>
          <w:rPr>
            <w:rFonts w:ascii="arial" w:eastAsia="arial" w:hAnsi="arial" w:cs="arial"/>
            <w:i/>
            <w:color w:val="0077CC"/>
            <w:sz w:val="20"/>
            <w:u w:val="single"/>
            <w:shd w:val="clear" w:color="auto" w:fill="FFFFFF"/>
            <w:lang w:val="en-US" w:eastAsia="en-US" w:bidi="ar-SA"/>
          </w:rPr>
          <w:t>[1998] B.C.J. No. 392</w:t>
        </w:r>
      </w:hyperlink>
      <w:r>
        <w:rPr>
          <w:rFonts w:ascii="arial" w:eastAsia="arial" w:hAnsi="arial" w:cs="arial"/>
          <w:color w:val="000000"/>
          <w:sz w:val="20"/>
          <w:lang w:val="en-US" w:eastAsia="en-US" w:bidi="ar-SA"/>
        </w:rPr>
        <w:t xml:space="preserve"> (B.C.S.C.), in which Mr. Justice McEwan agreed that a position similar to the one taken by Perception Holdings Inc. was "technically correct", and that he was bound by </w:t>
      </w:r>
      <w:r>
        <w:rPr>
          <w:rFonts w:ascii="arial" w:eastAsia="arial" w:hAnsi="arial" w:cs="arial"/>
          <w:i/>
          <w:color w:val="000000"/>
          <w:sz w:val="20"/>
          <w:lang w:val="en-US" w:eastAsia="en-US" w:bidi="ar-SA"/>
        </w:rPr>
        <w:t>Daws v. Dailey Sketch &amp; Sunday Graphic, Ltd.,</w:t>
      </w:r>
      <w:r>
        <w:rPr>
          <w:rFonts w:ascii="arial" w:eastAsia="arial" w:hAnsi="arial" w:cs="arial"/>
          <w:color w:val="000000"/>
          <w:sz w:val="20"/>
          <w:lang w:val="en-US" w:eastAsia="en-US" w:bidi="ar-SA"/>
        </w:rPr>
        <w:t xml:space="preserve"> [1960] 1 All E.R. 397 (C.A.) to deny joinder when the other proceedings are not properly before the court. However, Mr. Justice McEwan then continued at para. 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 Having said that, however, I think it merely illustrates the sort of wasteful multiplicity the plaintiffs are seeking to avoid to require motions to be brought in each action. Rather than see that happen, I am prepared to direct, on my own motion, that this action and the other proceedings be set for trial at the same time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and place. . . .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There may be circumstances when it may not be necessary to file notices in all affected actions, as stated by Mr. Justice McEwan. However, I need not make a finding on that issue in light of my finding declining there be a trial of all three actions together.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Regarding the procedural orders sought by the applicant should I order these actions be heard together, the applicant and others may wish to modify the orders sought in view of my order that only the Original Purchasers Action and the New Purchasers Action be heard together. If necessary and upon the request of counsel, I can deliver further reasons on the procedural matters or deal with the same at a future Judicial Management Conference.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light of my findings, based upon submissions made at trial, there is a strong likelihood that the trial of the Original Purchasers Action and the New Purchasers Action may not be able to proceed to trial on March 30, 2015 as currently scheduled. No formal application to adjourn was before me at the hearing of this matter and so I will not make an order to adjourn or confirm the trial date at this time but will received submissions on that issue if the parties cannot reach agreement on the trial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As the applicant has been partially successful and those opposing the application to have the Warranty Action heard with the other two actions have been successful, I will accept submissions on costs if received in writing before January 31,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R.W. JENKINS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09" style="position:absolute;z-index:25180569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32"/>
          <w:headerReference w:type="default" r:id="rId933"/>
          <w:footerReference w:type="even" r:id="rId934"/>
          <w:footerReference w:type="default" r:id="rId935"/>
          <w:headerReference w:type="first" r:id="rId936"/>
          <w:footerReference w:type="first" r:id="rId93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38" w:history="1">
        <w:r>
          <w:rPr>
            <w:rFonts w:ascii="arial" w:eastAsia="arial" w:hAnsi="arial" w:cs="arial"/>
            <w:b/>
            <w:bCs/>
            <w:i/>
            <w:color w:val="0077CC"/>
            <w:kern w:val="32"/>
            <w:sz w:val="28"/>
            <w:szCs w:val="32"/>
            <w:u w:val="single"/>
            <w:shd w:val="clear" w:color="auto" w:fill="FFFFFF"/>
            <w:lang w:val="en-US" w:eastAsia="en-US" w:bidi="ar-SA"/>
          </w:rPr>
          <w:t>Pearlman v. Hawk Estate, [2019] B.C.J. No. 1883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F.E. Verhoeven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9-12,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4,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S149986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[2019] B.C.J. No. 1883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2019 BCSC 1701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David Pearlman, Plaintiff, and The Estate of Dr. H.E. Hawk,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(112 paras.)</w:t>
      </w:r>
    </w:p>
    <w:p>
      <w:pPr>
        <w:jc w:val="both"/>
        <w:rPr>
          <w:rFonts w:ascii="arial" w:eastAsia="arial" w:hAnsi="arial" w:cs="arial"/>
          <w:sz w:val="20"/>
          <w:lang w:val="en-US" w:eastAsia="en-US" w:bidi="ar-SA"/>
        </w:rPr>
      </w:pPr>
      <w:bookmarkStart w:id="223" w:name="Counsel_44"/>
      <w:bookmarkEnd w:id="22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10" style="position:absolute;z-index:2517043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self-represented: D. Pearlman.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A.C.F. Turner, D. Wan.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24" w:name="Judgment_44"/>
      <w:bookmarkEnd w:id="224"/>
      <w:r>
        <w:pict>
          <v:line id="_x0000_s1211" style="position:absolute;z-index:25175552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 THE IME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The Plaintiff's Complaints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 Dr. Hawk Evidence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 Other Evidence About the IME</w:t>
      </w:r>
    </w:p>
    <w:p>
      <w:pPr>
        <w:numPr>
          <w:numId w:val="1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Masri</w:t>
      </w:r>
    </w:p>
    <w:p>
      <w:pPr>
        <w:numPr>
          <w:numId w:val="1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Paquette</w:t>
      </w:r>
    </w:p>
    <w:p>
      <w:pPr>
        <w:numPr>
          <w:numId w:val="1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Baird</w:t>
      </w:r>
    </w:p>
    <w:p>
      <w:pPr>
        <w:numPr>
          <w:numId w:val="1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Other Opinion Evidence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 Findings - The 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 LIABILITY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Negligence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 Assault and Battery, Trespass to the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 CONCLUSION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121"/>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25" w:name="F.E. VERHOEVEN J."/>
            <w:bookmarkEnd w:id="225"/>
            <w:r>
              <w:rPr>
                <w:rFonts w:ascii="arial" w:eastAsia="arial" w:hAnsi="arial" w:cs="arial"/>
                <w:b/>
                <w:color w:val="000000"/>
                <w:sz w:val="30"/>
                <w:lang w:val="en-US" w:eastAsia="en-US" w:bidi="ar-SA"/>
              </w:rPr>
              <w:t>F.E. VERHOEVEN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Mr. Pearlman claims damages for personal injuries he claims he suffered in an independent medical examination ("IME") conducted May 11, 2011 by an orthopedic surgeon, Dr. H.E. Hawk.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This action was brought in May 2013. Dr. Hawk died in April 2018. At the outset of the trial I made an order substituting the estate of Dr. Hawk for Dr. Hawk personally as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In order to place the evidence I heard in this trial into context, it is necessary to set out some history of Mr. Pearlman's accidents and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plaintiff was involved in a motor vehicle accident ("MVA") that occurred November 25, 2004. He brought an action in September 2006: </w:t>
      </w:r>
      <w:r>
        <w:rPr>
          <w:rFonts w:ascii="arial" w:eastAsia="arial" w:hAnsi="arial" w:cs="arial"/>
          <w:i/>
          <w:color w:val="000000"/>
          <w:sz w:val="20"/>
          <w:lang w:val="en-US" w:eastAsia="en-US" w:bidi="ar-SA"/>
        </w:rPr>
        <w:t>Pearlman v. Atlantic Trading Company Ltd. and Rebecca Lee Spence</w:t>
      </w:r>
      <w:r>
        <w:rPr>
          <w:rFonts w:ascii="arial" w:eastAsia="arial" w:hAnsi="arial" w:cs="arial"/>
          <w:color w:val="000000"/>
          <w:sz w:val="20"/>
          <w:lang w:val="en-US" w:eastAsia="en-US" w:bidi="ar-SA"/>
        </w:rPr>
        <w:t>, No. M101344, New Westminster registry (the "2004 MVA action"). The plaintiff's claims for damages in the 2004 MVA action were dismissed after a trial with a jury, in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 dismissal of those claims resulted in Mr. Pearlman bringing several other actions, described in the reasons for judgment of Gropper J. in </w:t>
      </w:r>
      <w:r>
        <w:rPr>
          <w:rFonts w:ascii="arial" w:eastAsia="arial" w:hAnsi="arial" w:cs="arial"/>
          <w:i/>
          <w:color w:val="000000"/>
          <w:sz w:val="20"/>
          <w:lang w:val="en-US" w:eastAsia="en-US" w:bidi="ar-SA"/>
        </w:rPr>
        <w:t>Pearlman v. Critchley</w:t>
      </w:r>
      <w:r>
        <w:rPr>
          <w:rFonts w:ascii="arial" w:eastAsia="arial" w:hAnsi="arial" w:cs="arial"/>
          <w:color w:val="000000"/>
          <w:sz w:val="20"/>
          <w:lang w:val="en-US" w:eastAsia="en-US" w:bidi="ar-SA"/>
        </w:rPr>
        <w:t xml:space="preserve">, </w:t>
      </w:r>
      <w:hyperlink r:id="rId939" w:history="1">
        <w:r>
          <w:rPr>
            <w:rFonts w:ascii="arial" w:eastAsia="arial" w:hAnsi="arial" w:cs="arial"/>
            <w:i/>
            <w:color w:val="0077CC"/>
            <w:sz w:val="20"/>
            <w:u w:val="single"/>
            <w:shd w:val="clear" w:color="auto" w:fill="FFFFFF"/>
            <w:lang w:val="en-US" w:eastAsia="en-US" w:bidi="ar-SA"/>
          </w:rPr>
          <w:t>2012 BCSC 170</w:t>
        </w:r>
      </w:hyperlink>
      <w:r>
        <w:rPr>
          <w:rFonts w:ascii="arial" w:eastAsia="arial" w:hAnsi="arial" w:cs="arial"/>
          <w:color w:val="000000"/>
          <w:sz w:val="20"/>
          <w:lang w:val="en-US" w:eastAsia="en-US" w:bidi="ar-SA"/>
        </w:rPr>
        <w:t>, at paras. 2 to 4. In that decision Gropper J. found Mr. Pearlman to be a vexatious litigant. However, by an order dated May 6, 2013 Gropper J. granted Mr. Pearlman leave to bring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The IME conducted by Dr. Hawk related to an action for personal injury damages brought by Mr. Pearlman in relation to another MVA that occurred February 9, 2007. The plaintiff's claims arising from that MVA were tried before Madam Justice Kloegman in September, 2011. Mr. Pearlman represented himself at the trial. Kloegman J. released reasons for judgment December 12, 2011: </w:t>
      </w:r>
      <w:r>
        <w:rPr>
          <w:rFonts w:ascii="arial" w:eastAsia="arial" w:hAnsi="arial" w:cs="arial"/>
          <w:i/>
          <w:color w:val="000000"/>
          <w:sz w:val="20"/>
          <w:lang w:val="en-US" w:eastAsia="en-US" w:bidi="ar-SA"/>
        </w:rPr>
        <w:t>Pearlman v. Phelps Leasing Ltd. and Phan</w:t>
      </w:r>
      <w:r>
        <w:rPr>
          <w:rFonts w:ascii="arial" w:eastAsia="arial" w:hAnsi="arial" w:cs="arial"/>
          <w:color w:val="000000"/>
          <w:sz w:val="20"/>
          <w:lang w:val="en-US" w:eastAsia="en-US" w:bidi="ar-SA"/>
        </w:rPr>
        <w:t xml:space="preserve">, </w:t>
      </w:r>
      <w:hyperlink r:id="rId940" w:history="1">
        <w:r>
          <w:rPr>
            <w:rFonts w:ascii="arial" w:eastAsia="arial" w:hAnsi="arial" w:cs="arial"/>
            <w:i/>
            <w:color w:val="0077CC"/>
            <w:sz w:val="20"/>
            <w:u w:val="single"/>
            <w:shd w:val="clear" w:color="auto" w:fill="FFFFFF"/>
            <w:lang w:val="en-US" w:eastAsia="en-US" w:bidi="ar-SA"/>
          </w:rPr>
          <w:t>2011 BCSC 1696</w:t>
        </w:r>
      </w:hyperlink>
      <w:r>
        <w:rPr>
          <w:rFonts w:ascii="arial" w:eastAsia="arial" w:hAnsi="arial" w:cs="arial"/>
          <w:color w:val="000000"/>
          <w:sz w:val="20"/>
          <w:lang w:val="en-US" w:eastAsia="en-US" w:bidi="ar-SA"/>
        </w:rPr>
        <w:t xml:space="preserve"> (the "2007 MVA action"). Kloegman J. awarded $20,000 for non-pecuniary damages. She held that Mr. Pearlman suffered only a slight aggravation of a chronic, symptomatic, disabling, pre-existing condition in the 2007 accident. The pre-existing condition was, generally, degenerative disease of the cervical and lumbar spine, with neuropathic and mechanical neck and low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Kloegman J. noted that the plaintiff's testimony before her was nearly identical to his testimony at the 2008 trial, in which he blamed the 2004 accident for all of the problems he was experiencing in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By the time of the trial of the 2007 MVA action before Kloegman J. in September 2011, Mr. Pearlman had also been involved in another MVA that occurred December 23, 2010. He commenced an action in relation to that accident on October 29, 2012: </w:t>
      </w:r>
      <w:r>
        <w:rPr>
          <w:rFonts w:ascii="arial" w:eastAsia="arial" w:hAnsi="arial" w:cs="arial"/>
          <w:i/>
          <w:color w:val="000000"/>
          <w:sz w:val="20"/>
          <w:lang w:val="en-US" w:eastAsia="en-US" w:bidi="ar-SA"/>
        </w:rPr>
        <w:t>Pearlman v. Tabakman</w:t>
      </w:r>
      <w:r>
        <w:rPr>
          <w:rFonts w:ascii="arial" w:eastAsia="arial" w:hAnsi="arial" w:cs="arial"/>
          <w:color w:val="000000"/>
          <w:sz w:val="20"/>
          <w:lang w:val="en-US" w:eastAsia="en-US" w:bidi="ar-SA"/>
        </w:rPr>
        <w:t xml:space="preserve">, M-126452, Vancouver Registry (the "2010 MVA action"). Mr. Pearlman alleges that the 2010 MVA action was settled by his legal counsel without instructions. He commenced an action February 20, 2019 seeking damages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contract: </w:t>
      </w:r>
      <w:r>
        <w:rPr>
          <w:rFonts w:ascii="arial" w:eastAsia="arial" w:hAnsi="arial" w:cs="arial"/>
          <w:i/>
          <w:color w:val="000000"/>
          <w:sz w:val="20"/>
          <w:lang w:val="en-US" w:eastAsia="en-US" w:bidi="ar-SA"/>
        </w:rPr>
        <w:t>Pearlman v. Edwards, Edwards &amp; Edwards Law Corporation</w:t>
      </w:r>
      <w:r>
        <w:rPr>
          <w:rFonts w:ascii="arial" w:eastAsia="arial" w:hAnsi="arial" w:cs="arial"/>
          <w:color w:val="000000"/>
          <w:sz w:val="20"/>
          <w:lang w:val="en-US" w:eastAsia="en-US" w:bidi="ar-SA"/>
        </w:rPr>
        <w:t>, No. 211589, New Westminster Registry. The action remains ongoing.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the trial before me, Mr. Pearlman relied on several medical-legal or expert reports prepared for purposes of the 2010 MVA action, specifically: (1) Dr. O'Neill [Chiropractic], (2) Dr. Parhar [G.P.], (3) Mr. Teasley [economist], and (4) Ms. Kaczmarek [costs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Before Kloegman J., Mr. Pearlman alleged that the injuries he complained of were in some measure caused by the IME performed by Dr. Hawk May 11, 2011. It does not appear that Kloegman J. was asked to or attempted to segregate his claims of injury resulting from the IME from those alleged to have been caused by the 2007 MVA. Nevertheless, counsel for Dr. Hawk does not argue that Mr. Pearlman's claims in this action are the subject of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or </w:t>
      </w:r>
      <w:r>
        <w:rPr>
          <w:rFonts w:ascii="arial" w:eastAsia="arial" w:hAnsi="arial" w:cs="arial"/>
          <w:i/>
          <w:color w:val="000000"/>
          <w:sz w:val="20"/>
          <w:lang w:val="en-US" w:eastAsia="en-US" w:bidi="ar-SA"/>
        </w:rPr>
        <w:t>issue estoppel</w:t>
      </w:r>
      <w:r>
        <w:rPr>
          <w:rFonts w:ascii="arial" w:eastAsia="arial" w:hAnsi="arial" w:cs="arial"/>
          <w:color w:val="000000"/>
          <w:sz w:val="20"/>
          <w:lang w:val="en-US" w:eastAsia="en-US" w:bidi="ar-SA"/>
        </w:rPr>
        <w:t>. These doctrines, while pleaded, have been abandoned.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Based upon the IME in issue here, Dr. Hawk prepared a medical-legal report for purposes of the 2007 MVA action. Dr. Hawk testified at length before Kloegman J. Although he was called as a witness by Mr. Pearlman, Kloegman J. allowed considerable latitude to Mr. Pearlman, so in effect Dr. Hawk was cross-examined by Mr. Pearlman. For purposes of this trial, I have Dr. Hawk's report, clinical records, and the transcript of his testimony at the 2011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Pearlman alleges that he was injured in another accident that occurred February 23, 2014 while he was a passenger on the Skytrain. On December 23, 2015 he brought an action for personal injury damages against the South Coast British Columbia Transportation Authority doing business as Translink in this respect (the "2014 Translink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plaintiff is a retired lawyer. He graduated from law school in Manitoba in 1960. He practised law in Manitoba for approximately 30 years until 1990. He testified that he was forced to retire at that time due to cardiac health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He testified that in the past he had been very active as an athlete in playing various sports, including hockey and soccer. More recently he has been active in speed skating, and in competitive whistling. Currently, he resides in the Louis Brier intermediate care home, in Vancouver. He has suffered heart attacks recently but in general he says his health is good. If he had sufficient funds, he would prefer to reside in the Weinberg residence, which is adjacent to the Louis Brier.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 THE IME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The Plaintiff's Complaints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Dr. Hawk was retained by the defendants in the 2007 MVA action. Mr. Pearlman attended the IME voluntarily at the request of the defendants, through their legal counsel, Mr. Critchley.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Pearlman's main complaint is that during the IME Dr. Hawk injured his sciatic nerve on the left side, resulting in sciatic pain on his left side, and associated injury and disability, which persisted for about six years, until about two years ago, when the pain stopped. He alleges that due to this injury, he was required to undergo fourteen cortisone injections into his spine, over the course of several years. He has no further sciatica or lumbar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Pearlman has three main complaints about the IME:</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testified that Dr. Hawk asked him to walk (or at least, stand) on the heels of his feet. He protested, saying that he had "plantar fascia" under the right heel, and so he could not stand or walk on his heels. Dr. Hawk insisted that he do so, over his protests, three times. It caused extreme pain, like "walking on a tack". (I interpret the plaintiff's reference to "plantar fascia" to the condition of plantar fasciitis).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third attempt to walk or stand on his heels, he began to fall, or collapse (as I understood his description). When this occurred, Dr. Hawk violently "body-checked" him, (or "bashed" or "smashed" him) by striking him with a very hard, shoulder to shoulder blow, causing his body to be driven upwards, backwards, and rotated, landing face-down on the examining table. This caused immediate pain in the cervical and lumbar spine;</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Hawk instructed him to lie face down on the examining table. Without warning, he grabbed Mr. Pearlman's legs, and violently "slapped", "slammed", "smashed", "banged", or "crashed" his legs together. His knees were banged together. He says that he shrieked in pain after this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Pearlman testified that he has a great deal of experience in playing competitive hockey. Therefore when he uses the term "body-check" it is clear to me that he means a deliberate, forceful blow. He testified that Dr. Hawk had told him that he was a former football player. He also described the body check as "tackle".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Pearlman testified that he had no pain and in particular no sciatic pain when he went to see Dr. Pearlman, but when he departed from the examination, he was in great pain, and could barely walk. He alleges that Dr. Hawk's actions in "body-checking" him and slamming his legs together caused his sciatic nerve to be crushed, or injured.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He contends that Dr. Hawk assaulted him during the course of the IME. As this is a civil case, he pleads assault and battery. Although he denies that he consented to the physical examination, as he did not sign a consent form, the gist of his case is that he did not consent to the procedures carried out by Dr. Hawk in the examination that he complains 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I described the tort of assault and battery in a decision I rendered in </w:t>
      </w:r>
      <w:r>
        <w:rPr>
          <w:rFonts w:ascii="arial" w:eastAsia="arial" w:hAnsi="arial" w:cs="arial"/>
          <w:i/>
          <w:color w:val="000000"/>
          <w:sz w:val="20"/>
          <w:lang w:val="en-US" w:eastAsia="en-US" w:bidi="ar-SA"/>
        </w:rPr>
        <w:t>McBeth-Kearns v. Marples</w:t>
      </w:r>
      <w:r>
        <w:rPr>
          <w:rFonts w:ascii="arial" w:eastAsia="arial" w:hAnsi="arial" w:cs="arial"/>
          <w:color w:val="000000"/>
          <w:sz w:val="20"/>
          <w:lang w:val="en-US" w:eastAsia="en-US" w:bidi="ar-SA"/>
        </w:rPr>
        <w:t xml:space="preserve">, </w:t>
      </w:r>
      <w:hyperlink r:id="rId941" w:history="1">
        <w:r>
          <w:rPr>
            <w:rFonts w:ascii="arial" w:eastAsia="arial" w:hAnsi="arial" w:cs="arial"/>
            <w:i/>
            <w:color w:val="0077CC"/>
            <w:sz w:val="20"/>
            <w:u w:val="single"/>
            <w:shd w:val="clear" w:color="auto" w:fill="FFFFFF"/>
            <w:lang w:val="en-US" w:eastAsia="en-US" w:bidi="ar-SA"/>
          </w:rPr>
          <w:t>2009 BCSC 802</w:t>
        </w:r>
      </w:hyperlink>
      <w:r>
        <w:rPr>
          <w:rFonts w:ascii="arial" w:eastAsia="arial" w:hAnsi="arial" w:cs="arial"/>
          <w:color w:val="000000"/>
          <w:sz w:val="20"/>
          <w:lang w:val="en-US" w:eastAsia="en-US" w:bidi="ar-SA"/>
        </w:rPr>
        <w:t>, at para. 67: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Assault is the intentional creation of the apprehension of imminent harmful or offensive contact. Battery consists of intentionally causing a harmful or offensive contact with another person. Assault should be distinguished from battery, although the two are often blurred together and called "assault": Allen M. Linden and Bruce Feldthusen, Canadian Tort Law, 8th ed. (LexisNexis Butterworths, 2006) at 46. In this case, as in most cases, blurring of the terms does not matter very much as the assault and the battery occurred in rapid succession, and for the purposes of assessment of damages, the assault is insignificant.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The plaintiff also pleads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and trespass to the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plaintiff's Notice of Civil Claim states that as a result of the IME, the plaintiff has suffered permanent injury to the sciatic nerve in the left leg, with pain radiating down the left leg, and inability to walk properly, injuries from falls caused by the initial injury, loss of independence, the need to use a cane when walking, the need for medications and multiple cortisone injections. At trial Mr. Pearlman testified that he now uses a scooter for mobility.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Pearlman acknowledges that he had sciatic pain at times before the IME, but he says it was only on the right side of his body. He contends that injuries inflicted by Dr. Hawk during the IME caused the sciatic nerve injury and associated pain and disability that he suffered for six years after the IME.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Dr. Hawk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Pursuant to an order of Master Harper at the TMC, as well as the document agreement of the parties, the evidence of Dr. Hawk was received by way of his medical-legal report, the trial transcript of his evidence, and his clinical records pertaining to the 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Dr. Hawk practiced as an orthopedic surgeon from 1971 to 2003, at St. Paul's Hospital. After 2003 he had what he described as an "office practice" until retiring in July 2011. He testified that he had been seeing two to three people per week for IME purposes, mostly for ICBC.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Pearlman reported previous sciatica to Dr. Hawk, as reflected in Dr. Hawk's IME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Unsurprisingly, Dr. Hawk's report does not specifically refer to incidents the plaintiff complains of. He states that the plaintiff, "...was able to walk on his toes and heels. He had occasional right foot pain." He added, "He has tenderness of this right heel when heel walking." Dr. Hawk refers to various range of motion tests. He performed straight leg raising tests, which "allowed 40 deg. elevation on the right and 45 deg. on the left." He added, "He complained of pain in his right posterior thigh and lower back with the straight leg raising" and, "Active and passive extension of the lumbosacral spine caused him lower back pain." Dr. Hawk's report notes the presence of an "incidental small posterior calcaneal spur" on the left foot, as shown on a May 18, 2007 x-ray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Pearlman insisted on raising his allegations against Dr. Hawk about the IME during the trial before Kloegman J. even though it was tangential at best to the trial of the 2007 MVA action, as Kloegman J. commented at para. 21of her reasons for judgment. During the course of Dr. Hawk's cross-examination by Mr. Pearlman, Kloegman J. eventually reached the limit of her patience, saying, [page 50]: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have to contain this lawsuit to the issues that are in this lawsuit. And I have had enough of hearing you accuse Dr. Hawk of whatever it is you are accusing Dr. Hawk of by having him do this examination. If you want to proceed with that further you will have to do it in another action in another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However from the point of view of this lawsuit, fortunately, Dr. Hawk was afforded some limited opportunity to respond under oath to the plaintiff's allegations. The opportunity was limited, as Mr. Pearlman's allegations about the IME were not considered relevant to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Dr. Hawk confirmed in his testimony that he had asked the plaintiff to walk on his heels, in order to determine if his muscles would allow him to do so, and the plaintiff performed the test in a very unusual manner. He confirmed that the plaintiff told him he had pain in his heel, and that walking on the heel felt like "walking on a tack" and that he had a calcaneal spur.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Dr. Hawk denied that the plaintiff shouted (in pain, presumably) in attempting to perform the heel walking test. He denied that he insisted that it be done three times. He testified that the test was stopped after the first attempt, and that he did not ask for the test to be repeated a second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Mr. Pearlman did not put to Dr. Hawk that he had "body-checked" him up and over the examining table. The transcript is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CRITCHLEY: My Lady, I'm going to rise again. It's most inappropriate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PEARLMAN: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732"/>
        <w:gridCol w:w="731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16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no, no.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732"/>
        <w:gridCol w:w="731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16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 are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CRITCHLEY: And especially the tone of Mr. Pearlman's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PEARLMAN: No, no, no.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I think the witness is doing just fine and I'm going to ask you, Mr. Critchley, to let me control the tone of the proceedings.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You are raising your voice.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PEARLMAN: Yes.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You are interrupting the witness.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PEARLMAN: No.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Well, you did that time. He -- he never got a chance to finish. So let's let him finish what he has to say.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PEARLMAN: Okay.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And then why can't you just say -- ask did you ask me to do it a second time? Why are you shouting at him?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PEARLMAN: Okay. Okay. Well, he says -- he says no, he didn't.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Yup.</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PEARLMAN: Okay. I'll start the questions again.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Dr. Hawk, did you ask me to walk on the heel the third time </w:t>
            </w:r>
            <w:r>
              <w:rPr>
                <w:rFonts w:ascii="arial" w:eastAsia="arial" w:hAnsi="arial" w:cs="arial"/>
                <w:color w:val="000000"/>
                <w:sz w:val="18"/>
                <w:u w:val="single"/>
                <w:lang w:val="en-US" w:eastAsia="en-US" w:bidi="ar-SA"/>
              </w:rPr>
              <w:t>upon which time I fell to the left, you caught me. You put me up. I fell on the examining table on the right and I shrieked</w:t>
            </w:r>
            <w:r>
              <w:rPr>
                <w:rFonts w:ascii="arial" w:eastAsia="arial" w:hAnsi="arial" w:cs="arial"/>
                <w:color w:val="000000"/>
                <w:sz w:val="18"/>
                <w:lang w:val="en-US" w:eastAsia="en-US" w:bidi="ar-SA"/>
              </w:rPr>
              <w:t>. I shouted each time and you continued -- you had me walk on the heel three times. Is that -- am I telling the truth?</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No. But, no, you're not giving evidence.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PEARLMAN: No.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You say did that happen.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PEARLMAN: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732"/>
        <w:gridCol w:w="731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16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Did that happen?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He did during that heel walk lean to the table</w:t>
            </w:r>
            <w:r>
              <w:rPr>
                <w:rFonts w:ascii="arial" w:eastAsia="arial" w:hAnsi="arial" w:cs="arial"/>
                <w:color w:val="000000"/>
                <w:sz w:val="18"/>
                <w:lang w:val="en-US" w:eastAsia="en-US" w:bidi="ar-SA"/>
              </w:rPr>
              <w:t xml:space="preserve"> and he was showing me that he was struggling with that. I -- I did not tell him to walk on his heel again.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Is there anything in your notes regarding your having me walk on my heels? Anything in those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Page 30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732"/>
        <w:gridCol w:w="731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16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Read it. What does it say? I want to know. You -- you conducted your experiment, your examination. What did you write in your notes?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He has tenderness in his right heel while heel walking.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PEARLMAN: Is that all you put in there?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That's argument.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PEARLMAN: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732"/>
        <w:gridCol w:w="731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16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it's a question.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Is that everything? Did you put anything else in there regarding the heel walking?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I did not put anything there. I expect that you would have some pain if you had a spur, a calcaneous spur, and that was not something that I -- I was -- of any further problem in -- in - my examination is -- what I'm looking for is - I know you told me that -- that you had it. I was looking at your -- your foot and your leg to see that you were able to elevate your - your forefoot when -- when you were doing the heel walking. That's what I was wanting you to do. If -- you know, I have a report -- you know, I have examined, you know, a number of people with this type of problem and they have almost always been able to walk, heel walk. Yes, it's painful. And they -- they withdraw and we -- and we stop. This is not a time that I am trying to hurt this man and -- but I'm not sure about ever making you walk any -- any more.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Dr. Hawk, you just told this court you you're not trying to hurt this man?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732"/>
        <w:gridCol w:w="731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16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 hurt me and I told you that you hurt me and you didn't put it in your notes. And I told you that I can't walk on the heel. You had me do that three times, Dr. Hawk; isn't that true?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732"/>
        <w:gridCol w:w="731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16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What do you mean by three times?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I told you that I couldn't walk on the heel of my right foot because I had a spur. It was like walking on a tack. No. You said no, no. You had me walk on my heels. I exhibited pain and I made a shouting noise. You insisted that I do it a second time. I made the same noise. I couldn't do it. </w:t>
            </w:r>
            <w:r>
              <w:rPr>
                <w:rFonts w:ascii="arial" w:eastAsia="arial" w:hAnsi="arial" w:cs="arial"/>
                <w:color w:val="000000"/>
                <w:sz w:val="18"/>
                <w:u w:val="single"/>
                <w:lang w:val="en-US" w:eastAsia="en-US" w:bidi="ar-SA"/>
              </w:rPr>
              <w:t>The third time you insisted that I do it I fell on you and I -you pushed me, I fell onto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Page 31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the examining table on the right. That's three times Dr. Hawk</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732"/>
        <w:gridCol w:w="731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16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That is not correct</w:t>
            </w:r>
            <w:r>
              <w:rPr>
                <w:rFonts w:ascii="arial" w:eastAsia="arial" w:hAnsi="arial" w:cs="arial"/>
                <w:color w:val="000000"/>
                <w:sz w:val="18"/>
                <w:lang w:val="en-US" w:eastAsia="en-US" w:bidi="ar-SA"/>
              </w:rPr>
              <w: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no, no. It is true. I'm not asking you if it's correct. I'm suggesting that what I say is true and what you are saying is not true and it's not true when you say he walks with a normal gait in the examining room?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732"/>
        <w:gridCol w:w="731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16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you did.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PEARLMAN: I did not. And I told you that I walked with my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Now you're just arguing with him. And that's the danger because you are also a witness in the case.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PEARLMAN: Okay. I'll go on to a different thing.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Okay.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Yes. I think we've exhausted that.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Page 40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Now, when you examined me, or when you had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me walk on my heels, did I shout or make any sound of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you didn't.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Are you certain?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Not -- not when you were doing that, but you -- all of a sudden you couldn't stand and you - you did have some pain I -- I take that, 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Now, as the pain upon walking on my heels caused by my age?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Was it by your -- for your age?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Yeah, because -- did that pain -- did I encounter that pain because of my age?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can't -- I don't know.</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it would be fair to say no. You're not saying no?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I don't know why you did that. I -- I have done -- I have examined many, many people when they're walking on their heels and I have never had </w:t>
            </w:r>
            <w:r>
              <w:rPr>
                <w:rFonts w:ascii="arial" w:eastAsia="arial" w:hAnsi="arial" w:cs="arial"/>
                <w:color w:val="000000"/>
                <w:sz w:val="18"/>
                <w:u w:val="single"/>
                <w:lang w:val="en-US" w:eastAsia="en-US" w:bidi="ar-SA"/>
              </w:rPr>
              <w:t>somebody slump over- over me</w:t>
            </w:r>
            <w:r>
              <w:rPr>
                <w:rFonts w:ascii="arial" w:eastAsia="arial" w:hAnsi="arial" w:cs="arial"/>
                <w:color w:val="000000"/>
                <w:sz w:val="18"/>
                <w:lang w:val="en-US" w:eastAsia="en-US" w:bidi="ar-SA"/>
              </w:rPr>
              <w: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But you did -- but you did with me?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What do you mean?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you said I slumped over onto the examining table?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Yes. Yes, </w:t>
            </w:r>
            <w:r>
              <w:rPr>
                <w:rFonts w:ascii="arial" w:eastAsia="arial" w:hAnsi="arial" w:cs="arial"/>
                <w:color w:val="000000"/>
                <w:sz w:val="18"/>
                <w:u w:val="single"/>
                <w:lang w:val="en-US" w:eastAsia="en-US" w:bidi="ar-SA"/>
              </w:rPr>
              <w:t>I had to hold you - you</w:t>
            </w:r>
            <w:r>
              <w:rPr>
                <w:rFonts w:ascii="arial" w:eastAsia="arial" w:hAnsi="arial" w:cs="arial"/>
                <w:color w:val="000000"/>
                <w:sz w:val="18"/>
                <w:lang w:val="en-US" w:eastAsia="en-US" w:bidi="ar-SA"/>
              </w:rPr>
              <w:t xml:space="preserve">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That's right</w:t>
            </w:r>
            <w:r>
              <w:rPr>
                <w:rFonts w:ascii="arial" w:eastAsia="arial" w:hAnsi="arial" w:cs="arial"/>
                <w:color w:val="000000"/>
                <w:sz w:val="18"/>
                <w:lang w:val="en-US" w:eastAsia="en-US" w:bidi="ar-SA"/>
              </w:rPr>
              <w: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 </w:t>
            </w:r>
            <w:r>
              <w:rPr>
                <w:rFonts w:ascii="arial" w:eastAsia="arial" w:hAnsi="arial" w:cs="arial"/>
                <w:color w:val="000000"/>
                <w:sz w:val="18"/>
                <w:u w:val="single"/>
                <w:lang w:val="en-US" w:eastAsia="en-US" w:bidi="ar-SA"/>
              </w:rPr>
              <w:t>because you - you would - you would probably have fallen</w:t>
            </w:r>
            <w:r>
              <w:rPr>
                <w:rFonts w:ascii="arial" w:eastAsia="arial" w:hAnsi="arial" w:cs="arial"/>
                <w:color w:val="000000"/>
                <w:sz w:val="18"/>
                <w:lang w:val="en-US" w:eastAsia="en-US" w:bidi="ar-SA"/>
              </w:rPr>
              <w: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As can be seen, the version of events about the "body-check" put to Dr. Hawk at the trial is quite different than the plaintiff's testimony before me. At the trial, Mr. Pearlman asserted that he "fell to the left, you caught me. You put me up" or, "I fell on the examining table" or, "I fell on you" and "you pushed me" and "I fell onto the examining table on the right". Dr. Hawk states that Mr. Pearlman "slumped over" him, and he had to hold him. It appears the examining table was somehow involved but that is not clear.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Dr. Hawk denied injuring Mr. Pearlman's sciatic nerve during the leg lift test, which was conducted with Mr. Pearlman lying on his back on the examining table. Mr. Pearlman did not accuse Dr. Hawk of "slamming" etc. his legs together. The transcript is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Let -- let me put it this way. I'll make it easy for you. After you had me walk on the heel you had me lie down on the examining table.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On my stomach. Is that 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On your stomach?</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On my stomach.</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 -- he was put on the table. You -- and he was -- what did I do? You -- you sat -- you sat on the table and he -- we did some examinations of his reflexes and -- and then you laid on your back, not on your stomach, and you -- and I examined your -- your legs. Did I? You also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PEARLMAN: Well, your -- it's your evidence. I don't know. This is what you did. If you want to go through this.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You just tell your memory. These matters are always very difficult. But you're just - you are here as an expert witness to give your evidence of what happened and when it comes to what your opinion is. You're not here to argue or fight with Mr. Pearlman, even though I can see how that can happen from both of you falling into that trap. I'm here to make sure that doesn't happen.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Okay. So you will tell your version.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Pearlman may then ask you, well, didn't it happen this way? Didn't it happen that way? He's obliged to confront you with that if he's going to give contrary evidence. But you just tell the truth.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Let me -- let me just backtrack a little,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Hawk. The purpose of your examination was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Page 33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examine me with regard to the injuries that I suffered in a motor vehicle on February 9th, 2007; is that correct?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732"/>
        <w:gridCol w:w="731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16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Now, I suggest -- well, suggest - after you had me walk on my heels you instructed me to lie on my stomach on the examining table; isn't that 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732"/>
        <w:gridCol w:w="731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16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how I got you onto the table.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732"/>
        <w:gridCol w:w="731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16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On my stomach?</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732"/>
        <w:gridCol w:w="731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16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He was -- okay.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What did you do with my legs? You did something with my legs. Please tell the court what you did.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suspect he's talking about a leg lift lying -- and he was on his back when we did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732"/>
        <w:gridCol w:w="731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16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you took my legs together; is that 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732"/>
        <w:gridCol w:w="731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16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Mm'hmm.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732"/>
        <w:gridCol w:w="731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16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you manipulated them in some manner?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732"/>
        <w:gridCol w:w="731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16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732"/>
        <w:gridCol w:w="731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16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in so doing you caused me pain. I shrieked.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Isn't that 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he had some pain in his legs. There was a -- tight hamstring muscles in his legs, both legs.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 and that's -- that's in the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732"/>
        <w:gridCol w:w="731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16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 your report?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732"/>
        <w:gridCol w:w="731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16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Mm'hmm.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 the report. What you did was you used my legs like a nutcracker and you crushed the sciatic nerve; isn't that so?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732"/>
        <w:gridCol w:w="731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16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732"/>
        <w:gridCol w:w="731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16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 say no?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732"/>
        <w:gridCol w:w="731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16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Later, Mr. Pearlman accused Dr. Hawk of "cranking" his legs, which Dr. Hawk denied: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Page 49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One other question. When you - you manipulated my legs did I make a sound of pain?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you did.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Was that caused by my age?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Was it caused by arthritis?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 was -- you're -- you're taking my legs like a nutcracker and cranking the sciatica nerve.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That's got to do with arthritis?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I'm sorry, but I did not cause any sciatica type of pain with -- with that manoeuvre.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Oh, hold 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What -- what I did -- when he was lying on his stomach we do an examination of -- causing the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Page 50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lower back to move and -- but when he -- that did move a little bit he complained of pain. And that is due to arthritis in the lower lumbar spine.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It's got to do with your manipulation. You caused trauma?</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 was not trauma. That was tension on - on the arthritis.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had no pain and no -- was making no sounds of pain until you took my legs and cranked them, did I?</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don't like the wording that he has - cranking in -- that's not what I did. And -- and these are examinations that -- that I put you through is -- most physicians would be doing that for looking at what -- what your situation was.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Other Evidence About the IME</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1. Dr. Masri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Mr. Pearlman did not present any evidence as to the applicable standard of care for an IME by an orthopedic surgeon.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defendant relies upon an expert opinion of Dr. B.A. Masri, orthopedic surgeon, as to the standard of care of Dr. Hawk when he conducted the IME, as well with respect to possible injury arising from the 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Dr. Masri testified that in the course of his practice he has performed hundreds of independent medical examinations and personal injury and medical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cases for both the plaintiff and the defence. Dr. Masri states that: For the most part, the symptoms that precipitated the litigation involve painful conditions. For this reason, the examiner needs to elicit the sources and causes of the pain. By necessity, certain portions of the examination will be painful. For example, palpation for tenderness will elicit some pain. Furthermore, certain examinations are designed to elicit pain. These include, in addition to palpation for tenderness, examinations such as range of motion examinations to see if there is pain at the end of the range of motion. Other examinations that may elicit pain include a straight leg raising test to elicit pain caused by sciatica or spinal stenosis, for example. In addition, in every standard orthopedic examination, a functional assessment of gross motor power is required. In order to test the gross motor part of the lower extremities, every examinee is asked to walk to elicit any gait changes. They are also asked to walk on tiptoes to see if there is any weakness in S1, walk on their heels to see if there is any weakness in the L4-L5 distribution, and to squat to see if there is any weakness in the L3-L4 distribution. If the plaintiff is able to perform these activities, then a gross motor deficit is excluded. This is a part of every 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Dr. Masri reviewed the transcript of Dr. Hawk's report and his testimony at the trial. He states: "[a]ll of these examinations are within the expected standard of care." With respect to the leg raising test, Dr. Masri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normal straight leg raising test involves elevating the lower extremity as high as possible, and certainly much higher than 40 degrees or 45 degrees. A positive test means that the examinee complains of pain radiating down the back of the lower extremity. When this is articulated by the examinee, the examiner stops the elevation at the noted angle at which pain was elicited. In this case, the examination was stopped at 40 degrees of elevation on the right and 45 degrees elevation on the left. This also meant that there was nerve root compression in the lumbar spine that prevented Mr. Pearlman from elevating his lower extremity beyond the noted degrees above. This is certainly in keeping with how a standard examination is done, and therefore, I believe that Dr. Hawk met the expected standard of care. Considering Mr. Pearlman's long-standing complaints of back pain and "sciatica", it would have been improper for Dr. Hawk not to perform the motor power testing stated above, and it would also have been improper of Dr. Hawk not to perform the straight leg raising test noted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Dr. Masri is of the view that Dr. Hawk's examination could not have caused injury to the sciatic nerve. He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underlying pathology that Mr. Pearlman has is severe degenerative changes in the lower lumbar spine with severe bilateral L5-S1 foraminal narrowing, which causes compression of the associated nerve roots, thus leading to the positive straight leg raising test. Therefore, the reason for the ongoing pain is the underlying abnormality in the lumbar spine, and not the physical examination. Therefore, in my opinion, it is impossible for Dr. Hawk to have caused an injury to Mr. Pearlman's sciatic nerve, regardless of what Mr. Pearlman believed. A much more credible cause of his symptoms is his underlying degenerative changes. His symptoms were clearly aggravated by the December 23, 2010 motor vehicle accident as outlined by Dr. Parhar in his report dated July 11, 2016 and by Dr. O'Neill as outlined in his report dated June 30, 2016, which is also a much more credible reason for the worsening of the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In cross-examination Dr. Masri testified that he does not obtain a written consent signed by the patient when conducting an IME. In his view, the patient expressly consents to the examination by virtue of attending for the examination. In his view, the risks involved in the examination do not warrant discussion with the patient.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walking on heels test involves taking a few steps only, usually. In Dr. Masri's view, a heel spur does not necessarily indicate an abnormality or pain, and does not necessarily mean that a patient will not be able to walk on his or her heels.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Dr. Masri was not aware of any orthopaedic IME procedure which involved "slamming" of the legs together.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In cross-examination, Mr. Pearlman confirmed that when he saw an orthopedic surgeon, Dr. Paul Bishop, for purposes of a medical/legal report relating to the 2004 MVA action and the 2007 MVA action, he had experienced sciatica (i.e., bilateral lower extremity symptoms) in the past, but that he had not experienced sciatica for approximately three years prior to the November 25, 2004 MVA.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Mr. Pearlman referred to several reported decisions wherein Dr. Masri had testified. He argues that the decisions reflect adversely on Dr. Masri's credibility as an expert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Mr. Pearlman referred to the following decisions involving commentary on Dr. Masri's opinions or testimony:</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Betteridge v. Mattu</w:t>
      </w:r>
      <w:r>
        <w:rPr>
          <w:rFonts w:ascii="arial" w:eastAsia="arial" w:hAnsi="arial" w:cs="arial"/>
          <w:color w:val="000000"/>
          <w:sz w:val="20"/>
          <w:lang w:val="en-US" w:eastAsia="en-US" w:bidi="ar-SA"/>
        </w:rPr>
        <w:t xml:space="preserve">, </w:t>
      </w:r>
      <w:hyperlink r:id="rId942" w:history="1">
        <w:r>
          <w:rPr>
            <w:rFonts w:ascii="arial" w:eastAsia="arial" w:hAnsi="arial" w:cs="arial"/>
            <w:i/>
            <w:color w:val="0077CC"/>
            <w:sz w:val="20"/>
            <w:u w:val="single"/>
            <w:shd w:val="clear" w:color="auto" w:fill="FFFFFF"/>
            <w:lang w:val="en-US" w:eastAsia="en-US" w:bidi="ar-SA"/>
          </w:rPr>
          <w:t>2000 BCSC 321</w:t>
        </w:r>
      </w:hyperlink>
      <w:r>
        <w:rPr>
          <w:rFonts w:ascii="arial" w:eastAsia="arial" w:hAnsi="arial" w:cs="arial"/>
          <w:color w:val="000000"/>
          <w:sz w:val="20"/>
          <w:lang w:val="en-US" w:eastAsia="en-US" w:bidi="ar-SA"/>
        </w:rPr>
        <w:t>;</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WCAT-2014-01327 (Re)</w:t>
      </w:r>
      <w:r>
        <w:rPr>
          <w:rFonts w:ascii="arial" w:eastAsia="arial" w:hAnsi="arial" w:cs="arial"/>
          <w:color w:val="000000"/>
          <w:sz w:val="20"/>
          <w:lang w:val="en-US" w:eastAsia="en-US" w:bidi="ar-SA"/>
        </w:rPr>
        <w:t>, 2014 CanLII 42429 (BC WCAT); and</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A1604605 (Re)</w:t>
      </w:r>
      <w:r>
        <w:rPr>
          <w:rFonts w:ascii="arial" w:eastAsia="arial" w:hAnsi="arial" w:cs="arial"/>
          <w:color w:val="000000"/>
          <w:sz w:val="20"/>
          <w:lang w:val="en-US" w:eastAsia="en-US" w:bidi="ar-SA"/>
        </w:rPr>
        <w:t>, 2017 CanLII 145284 (BC WCAT).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Betteridge</w:t>
      </w:r>
      <w:r>
        <w:rPr>
          <w:rFonts w:ascii="arial" w:eastAsia="arial" w:hAnsi="arial" w:cs="arial"/>
          <w:color w:val="000000"/>
          <w:sz w:val="20"/>
          <w:lang w:val="en-US" w:eastAsia="en-US" w:bidi="ar-SA"/>
        </w:rPr>
        <w:t>, a 19-year old decision, Justice Macaulay agreed with some opinions of Dr. Masri, and not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WCAT-2014-01327</w:t>
      </w:r>
      <w:r>
        <w:rPr>
          <w:rFonts w:ascii="arial" w:eastAsia="arial" w:hAnsi="arial" w:cs="arial"/>
          <w:color w:val="000000"/>
          <w:sz w:val="20"/>
          <w:lang w:val="en-US" w:eastAsia="en-US" w:bidi="ar-SA"/>
        </w:rPr>
        <w:t>, the sole issue was whether the worker was entitled to an elliptical trainer, as an appropriate health care expenditure, pursuant to the statute and Board policy. Dr. Masri had recommended the use of an elliptical trainer. The Board did not consider it compensable. There was no criticism of Dr. Masri.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A1604605</w:t>
      </w:r>
      <w:r>
        <w:rPr>
          <w:rFonts w:ascii="arial" w:eastAsia="arial" w:hAnsi="arial" w:cs="arial"/>
          <w:color w:val="000000"/>
          <w:sz w:val="20"/>
          <w:lang w:val="en-US" w:eastAsia="en-US" w:bidi="ar-SA"/>
        </w:rPr>
        <w:t>, it does not appear to me that there was any criticism of Dr. Masri's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In none of these decisions is there any criticism of Dr. Masri's professionalism.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Dr. Masri estimated that he has probably testified on 20 or 30 occasions in the British Columbia Supreme Court over the last decade, and may have provided as many as 1000 IME reports during that time. In such circumstances, it would be surprising if every court or tribunal always agreed with everything Dr. Masri said.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If anything, the absence of any decisions wherein Dr. Masri's opinions or professionalism are directly criticized tends to support rather than undermine his credibility, given the volume of such work that Dr. Masri has carried out over the past decade.</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2. Dr. Paquette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Dr. Scott Paquette is a neurosurgeon who saw Mr. Pearlman as an outpatient at Vancouver General Hospital spine clinic between February 2012 and January 2015. Mr. Pearlman's complaint was of left-sided sciatica. He prescribed nerve root injections to the spine periodically. Mr. Pearlman requested that Dr. Paquette provide a report evaluating the injuries he asserts Dr. Hawk inflicted during the IME, and to comment on the standard of care. Dr. Paquette's report does not do so. Dr. Paquette reiterates the complaints that Mr. Pearlman made to him about the IME but does not provide an opinion about them, or about the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At trial, Dr. Paquette testified that Mr. Pearlman was referred to him for back and leg pain in 2012. The referral for spinal injections was for treatment for foraminal stenosis with sciatica. The injections are guided by x-ray. Imaging studies noted foraminal stenosis on the left, affecting the exiting L5 nerve root. He explained that sciatica refers to radiating pain down the leg. Aging, and spinal degenerative changes can lead to foraminal stenosis. The injections were for symptom control. Mr. Pearlman reported that the injections were helpful, so they were continued.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In summary, Dr. Paquette's evidence supports that Mr. Pearlman's sciatic pain problems stemmed from degenerative disease, specifically foraminal stenosis on the left affecting the exiting L5 nerve root. Mr. Pearlman received a number of injections for this condition, which gave him good intermittent improvement. The evidence of Dr. Paquette does not support that the injury Mr. Pearlman complained of was caused by the IME. To the contrary, and consistent with the opinion of Dr. Masri, the evidence of Dr. Paquette supports that the actual cause of the sciatica condition on Mr. Pearlman's left side was the underlying pathology.</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3. Dr. Baird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Dr. Baird was called by Mr. Pearlman as a factual witness in this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Dr. Baird was Mr. Pearlman's general practitioner from 2006 until 2011. Over that period of time he saw him on 27 occasions. The doctor/patient relationship ended acrimoniously when Dr. Baird discharged Mr. Pearlman as a patient June 6, 2011. Nevertheless, under pressure from Mr. Pearlman, and in fulfilment of his professional duty as he saw it, he provided a medical/legal report dated September 14, 2011, which Mr. Pearlman relied upon at the trial of the 2007 MVA action. He did not testify at that trial as he was out of the country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Dr. Baird also prepared a previous medical/legal report dealing with the 2004 MVA, dated January 27,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In summary, Dr. Baird's clinical records and evidence support that Mr. Pearlman had ongoing symptoms of the lower back caused by underlying pathology combined with the three motor vehicle accidents when he went to see Dr. Hawk for the IME. He had suffered from sciatica in the past, including left-sided sciatica. It appears that over the years the lower back symptoms were variable.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Therefore, the evidence of Dr. Baird supports the opinion of Dr. Masri about the cause of Mr. Pearlman's complaints.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On February 12, 2007, a few days after the February 9, 2007 MVA, Mr. Pearlman complained to Dr. Baird of sharp pain in the low back and sacrum extending to the gluteal muscles, hips, and shooting down the left lateral leg. He continued to complain of lumbar and sacral pain causing a limp and altered gait throughout 2007. His back condition was deteriorating. He complained of pain radiating down the left leg and hip on November 26, 2007. On December 17, 2007, among other issues, Mr. Pearlman complained of left-sided sciatica in the previous month, lasting four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His complaints of neck and back problems continued in 2008. On July 14, 2008 he complained that his gait was abnormal, in that he couldn't swing his left leg through normally, and was "hobbling" on walking. He said his lower back was killing him at night. He could not speed skate due to neck problems. He had pain radiating from his lower back into both legs.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Dr. Baird's January 27, 2008 report diagnosed diffuse lumbar spine disc disease and an osteoarthritic bulge at L5. His low back pain was seen as mechanical as well as neuropathic.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Mr. Pearlman complained to Dr. Baird of lower back pain February 16,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On September 28, 2009 Mr. Pearlman reported to Dr. Baird that he continued to have significant pain in the lower back which interfered with his ability to straighten up, so he was stooped over much of the time. However, he indicated that his legs were free of radiating pain or sciatica.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In 2010 Dr. Baird referred Mr. Pearlman to a physiatrist, Dr. Mark Adrian, for neck, right upper extremity, and low back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Dr. Baird's records also show Mr. Pearlman consistently complaining of lower back pain after the December 23, 2010 MVA.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On May 31, 2011, Mr. Pearlman complained to Dr. Baird that the IME with Dr. Hawk had caused quite severe pain in the right heel, worsening of his lumbar pain, and pain travelling down the left side of his left leg into the foot. Mr. Pearlman reported "he has been not able to go do his little bit of 15 minute skating-walk around with his friends for the past ten weeks". On July 20, 2011, Mr. Pearlman reported that his left leg sciatica, which he attributed to the IME, persisted and had worsened.</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4. The Plaintiff's Other Opinion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At this trial, Mr. Pearlman relied upon several expert reports that were prepared in relation to the December 23, 2010 MVA. These opinions do not assist 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A G.P., Dr. Parhar, prepared a report dated July 11, 2016 relating to the effects of the December 23, 2010 MVA. The report does not mention any problem with Dr. Hawk's IME, although Dr. Hawk's report is extensively referred to. Dr. Parhar diagnosed various injuries arising from the December 23, 2010 MVA, including musculoligamentous injuries of the lumbar spine, aggravation of pre-existing asymptomatic osteoarthritis (degenerative arthritis) of the cervical spine, and of the lumbar spine, and left hip musculoligamentous injuries. Dr. Parhar noted that he was aware that Mr. Pearlman had prior motor vehicle accident injuries in 2004 and 2007, which resulted in neck pain, back pain, right shoulder pain and right hip pain. Dr. Parhar does not attribute any of Mr. Pearlman's injuries or symptoms to the 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A chiropractor, Dr. G. O'Neill, records Mr. Pearlman stating that: "the physical examination performed by Dr. Hawk aggravated his low back pain and 'sciatica'". Dr. O'Neill opined that his symptoms were consistent with mechanical back and neck pain associated with "late whiplash syndrome". His opinion was that the MVA caused injury to and exacerbated pre-existing pain in the facet joints, muscles, and ligaments of the left low back, upper back, and cervical spine.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As with the opinion of Dr. Parhar, the opinion of Dr. O'Neill does not assist Mr. Pearlman with respect to the issues in this case, as the opinion does not attribute any injury to the IME performed by Dr. Hawk. As Dr. Masri noted, the opinions of Dr. Parhar and Dr. O'Neill support that his worsened symptoms in 2011 resulted from the December 23, 2010 MVA.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economist's report of Mr. Teasley and the cost of future care assessment of Ms. Kaczmarek are not relevant to the liability issues in this case.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 Findings - The 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 do not accept the plaintiff's testimony about the manner in which the IME was conducted. In my view, the plaintiff has wildly exaggerated these events to such an extent that they are essentially fabrications.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 accept that Dr. Hawk directed Mr. Pearlman to walk on his heels. This is a standard test on orthopedic examinations. I accept that Mr. Pearlman told Dr. Hawk that he had plantar fasciitis on the right heel, and I accept that performing the manoeuvre caused Mr. Pearlman some pain. I accept the evidence of Dr. Hawk that upon Mr. Pearlman exhibiting pain, the test was discontinued. Whether the test was attempted once or more than once is not material. There is no evidence that the test caused any injury to Mr. Pearlman, although temporary pain was caused.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As to the "body check", I accept that upon attempting to walk on his heels, Mr. Pearlman became unstable, or "slumped", or in some manner or other seemed to be falling, or in danger of falling. There was some kind of physical contact with Dr. Hawk. Most probably, Dr. Hawk attempted to assist Mr. Pearlman to prevent him from falling and injuring himself. I reject Mr. Pearlman's contention that Dr. Hawk "body-checked" him. The gist of this contention is that Dr. Hawk deliberately and very forcefully struck Mr. Pearlman, in a manner consistent with an intention to injure him. In my view this allegation, as described by Mr. Pearlman, is preposterous. There is of course no reason suggested as to why Dr. Hawk would do such a thing in the circumstances of the IME, and every reason why he would not do so. Had this actually occurred as stated by Mr. Pearlman, I would have expected him to end the examination. To say the least, Mr. Pearlman is not a shy or unassertive person, especially when he feels aggrieved, as his correspondence and record of litigation demonstrates. Yet on his evidence he simply remained and allowed the examination to carry on, without leaving, or protesting, or saying anything. This does not make sense.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As noted, the version of events described by Mr. Pearlman at this trial is not consistent with the manner in which he described it to Dr. Hawk at the trial of the 2007 MVA in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In his letter of complaint to Dr. Hawk the day after the IME, he made no mention of the so-called "body-check" incident. He referred only to the heel walking and lumbar spine examination. Again, had the event occurred in anything like the manner Mr. Pearlman testified to, he would have referred to it in the letter, which was written for the express purpose of complaining about the 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Mr. Pearlman's credibility is compromised for other reasons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He testified that when he arrived at Dr. Hawk's office for the IME he was in no pain whatsoever. This is not consistent with Dr. Baird's records. In his most recent visit with Dr. Baird preceding the IME, March 1, 2011, he had several complaints, including considerable pain in the lumbar/sacral spine. The records show that this pain, while variable, and only sometimes involving sciatica, had persisted for many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In his testimony at this trial Mr. Pearlman portrayed himself as generally active and healthy prior to the IME. This is not consistent with his medical history, and with the positions he took in the 2004 and 2007 MVA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In both actions he pleaded that the MVA caused injury to the lumbar spine and "sciatic pain". When cross-examined at trial, he testified that these references were to right-sided sciatic pain, only. He might credibly have argued that the IME exacerbated his lumbar pain and sciatica, but his allegations go well beyond this. As noted, Mr. Pearlman contends that the IME caused the sciatica and attendant pain and disability that persisted for six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Mr. Pearlman has a very high degree of animosity towards Dr. Hawk. Shortly after receiving Kloegman J.'s decision released December 12, 2011, Mr. Pearlman wrote to Dr. Hawk. The level of vitriol in the letter is staggering. Mr. Pearlman accused Dr. Hawk of being a "liar and a perjurer", a "fraud and a criminal", "a cancer on the medical profession", and "a disgrace to the human race". He threatened Dr. Hawk, saying, "You are going to pay for your actions". This kind of unrestrained and unwarranted invective must cause me to distrust Mr. Pearlman's testimony about his interactions with Dr. Hawk.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In addition, in my view Mr. Pearlman's very firm belief that Dr. Hawk caused him injury has strongly influenced his testimony. His testimony is also influenced by his personal beliefs about Dr. Hawk's relationship with ICBC. He is an advocate for 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Mr. Pearlman also threatened Dr. Baird, his GP. He demanded that Dr. Baird revise various entries in his clinical records relating to Mr. Pearlman. Dr. Baird complied.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In summary, Mr. Pearlman's evidence is not credible.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There was no "body check".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 also reject Mr. Pearlman's evidence that Dr. Hawk "slammed" or "smashed" his legs together, at some point in the 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There was some physical examination of Mr. Pearlman's lumbar spine, but I reject Mr. Pearlman's testimony as to the manner in which this examination was conducted, and his theory that the manoeuvre he described, or any manoeuvre conducted by Dr. Hawk, caused injury to the sciatic nerve.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Dr. Masri indicates, and all of the medical evidence supports, that an orthopedic examination will result in some pain. I accept the opinion of Dr. Masri that ordinarily such pain would be expected to be transient and short term.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In this case, Mr. Pearlman suffered from severe pre-existing spinal disease and symptoms. He had suffered three motor vehicle accidents in the recent past, and claimed injury arising from all of them, very similar in nature to the injuries he alleges were caused by Dr. Hawk's IME. I accept that the IME may have caused some aggravation of his pre-existing injuries. However, I do not accept that the IME caused any real or significant injury. Mr. Pearlman's sciatica and lower back problems were caused by his underlying physical conditions, combined with the injuries from the three MVAs.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It is unfortunate that Mr. Pearlman believes so strongly that Dr. Hawk caused the sciatica problem, but the evidence is to the contrary.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 LIABILITY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A. </w:t>
      </w: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xml:space="preserve">  The defence accepts that Dr. Hawk had a duty of care in relation to Mr. Pearlman, in carrying out the IME. The duty of care is a limited one: to avoid harming the examinee: </w:t>
      </w:r>
      <w:r>
        <w:rPr>
          <w:rFonts w:ascii="arial" w:eastAsia="arial" w:hAnsi="arial" w:cs="arial"/>
          <w:i/>
          <w:color w:val="000000"/>
          <w:sz w:val="20"/>
          <w:lang w:val="en-US" w:eastAsia="en-US" w:bidi="ar-SA"/>
        </w:rPr>
        <w:t>Branco v. Sunnybrook &amp; Women's College Health Sciences Centre</w:t>
      </w:r>
      <w:r>
        <w:rPr>
          <w:rFonts w:ascii="arial" w:eastAsia="arial" w:hAnsi="arial" w:cs="arial"/>
          <w:color w:val="000000"/>
          <w:sz w:val="20"/>
          <w:lang w:val="en-US" w:eastAsia="en-US" w:bidi="ar-SA"/>
        </w:rPr>
        <w:t xml:space="preserve">, </w:t>
      </w:r>
      <w:hyperlink r:id="rId943" w:history="1">
        <w:r>
          <w:rPr>
            <w:rFonts w:ascii="arial" w:eastAsia="arial" w:hAnsi="arial" w:cs="arial"/>
            <w:i/>
            <w:color w:val="0077CC"/>
            <w:sz w:val="20"/>
            <w:u w:val="single"/>
            <w:shd w:val="clear" w:color="auto" w:fill="FFFFFF"/>
            <w:lang w:val="en-US" w:eastAsia="en-US" w:bidi="ar-SA"/>
          </w:rPr>
          <w:t>[2003] O.J. No. 3287</w:t>
        </w:r>
      </w:hyperlink>
      <w:r>
        <w:rPr>
          <w:rFonts w:ascii="arial" w:eastAsia="arial" w:hAnsi="arial" w:cs="arial"/>
          <w:color w:val="000000"/>
          <w:sz w:val="20"/>
          <w:lang w:val="en-US" w:eastAsia="en-US" w:bidi="ar-SA"/>
        </w:rPr>
        <w:t>. I would add that the duty must be not to negligently harm the plaintiff. It is not a matter of strict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xml:space="preserve">  In relation to the standard of care, physicians have a duty to conduct their practice in accordance with the conduct of a prudent and diligent doctor in the same circumstances. A specialist must exercise the degree of skill of an average specialist in his field: </w:t>
      </w:r>
      <w:r>
        <w:rPr>
          <w:rFonts w:ascii="arial" w:eastAsia="arial" w:hAnsi="arial" w:cs="arial"/>
          <w:i/>
          <w:color w:val="000000"/>
          <w:sz w:val="20"/>
          <w:lang w:val="en-US" w:eastAsia="en-US" w:bidi="ar-SA"/>
        </w:rPr>
        <w:t>ter Neuzen v. Korn</w:t>
      </w:r>
      <w:r>
        <w:rPr>
          <w:rFonts w:ascii="arial" w:eastAsia="arial" w:hAnsi="arial" w:cs="arial"/>
          <w:color w:val="000000"/>
          <w:sz w:val="20"/>
          <w:lang w:val="en-US" w:eastAsia="en-US" w:bidi="ar-SA"/>
        </w:rPr>
        <w:t xml:space="preserve">, </w:t>
      </w:r>
      <w:hyperlink r:id="rId740" w:history="1">
        <w:r>
          <w:rPr>
            <w:rFonts w:ascii="arial" w:eastAsia="arial" w:hAnsi="arial" w:cs="arial"/>
            <w:i/>
            <w:color w:val="0077CC"/>
            <w:sz w:val="20"/>
            <w:u w:val="single"/>
            <w:shd w:val="clear" w:color="auto" w:fill="FFFFFF"/>
            <w:lang w:val="en-US" w:eastAsia="en-US" w:bidi="ar-SA"/>
          </w:rPr>
          <w:t>[1995] 3 S.C.R. 674</w:t>
        </w:r>
      </w:hyperlink>
      <w:r>
        <w:rPr>
          <w:rFonts w:ascii="arial" w:eastAsia="arial" w:hAnsi="arial" w:cs="arial"/>
          <w:color w:val="000000"/>
          <w:sz w:val="20"/>
          <w:lang w:val="en-US" w:eastAsia="en-US" w:bidi="ar-SA"/>
        </w:rPr>
        <w:t>, para. 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Expert evidence as to the standard of care applicable is usually required</w:t>
      </w:r>
      <w:r>
        <w:rPr>
          <w:rFonts w:ascii="arial" w:eastAsia="arial" w:hAnsi="arial" w:cs="arial"/>
          <w:i/>
          <w:color w:val="000000"/>
          <w:sz w:val="20"/>
          <w:lang w:val="en-US" w:eastAsia="en-US" w:bidi="ar-SA"/>
        </w:rPr>
        <w:t>: ter Neuzen</w:t>
      </w:r>
      <w:r>
        <w:rPr>
          <w:rFonts w:ascii="arial" w:eastAsia="arial" w:hAnsi="arial" w:cs="arial"/>
          <w:color w:val="000000"/>
          <w:sz w:val="20"/>
          <w:lang w:val="en-US" w:eastAsia="en-US" w:bidi="ar-SA"/>
        </w:rPr>
        <w:t xml:space="preserve">, para. 44; </w:t>
      </w:r>
      <w:r>
        <w:rPr>
          <w:rFonts w:ascii="arial" w:eastAsia="arial" w:hAnsi="arial" w:cs="arial"/>
          <w:i/>
          <w:color w:val="000000"/>
          <w:sz w:val="20"/>
          <w:lang w:val="en-US" w:eastAsia="en-US" w:bidi="ar-SA"/>
        </w:rPr>
        <w:t>Branco</w:t>
      </w:r>
      <w:r>
        <w:rPr>
          <w:rFonts w:ascii="arial" w:eastAsia="arial" w:hAnsi="arial" w:cs="arial"/>
          <w:color w:val="000000"/>
          <w:sz w:val="20"/>
          <w:lang w:val="en-US" w:eastAsia="en-US" w:bidi="ar-SA"/>
        </w:rPr>
        <w:t>, para. 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Mr. Pearlman has not adduced expert opinion evidence addressing the standard of care, and whether Dr. Hawk's IME failed to meet the applicable standard. The only specific expert opinion evidence I have in this regard is that of Dr. Masri, whose evidence I accept.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The standard of care Dr. Hawk was required to meet was to exercise the degree of skill of an average orthopedic surgeon conducting an independent medical examination. The plaintiff has not established that Dr. Hawk failed to meet that standard. The tests conducted were routine. Some manipulation of painful and injured or diseased parts of the body is inherent in the examination. I have rejected Mr. Pearlman's wildly hyperbolic description of the examination procedures. There was no breach of duty in the manner in which the IME was conducted. If the IME resulted in some increase in his symptoms, that does not mean that the manner in which it was conducted was deficient.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The plaintiff also argues that Dr. Hawk failed to obtain his informed consent to the procedures carried out in the 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xml:space="preserve">  Unless there has been misrepresentation or fraud to secure consent to the treatment, a failure to disclose attendant risks, however serious, sounds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rather than battery: </w:t>
      </w:r>
      <w:r>
        <w:rPr>
          <w:rFonts w:ascii="arial" w:eastAsia="arial" w:hAnsi="arial" w:cs="arial"/>
          <w:i/>
          <w:color w:val="000000"/>
          <w:sz w:val="20"/>
          <w:lang w:val="en-US" w:eastAsia="en-US" w:bidi="ar-SA"/>
        </w:rPr>
        <w:t>Reibl v. Hughes</w:t>
      </w:r>
      <w:r>
        <w:rPr>
          <w:rFonts w:ascii="arial" w:eastAsia="arial" w:hAnsi="arial" w:cs="arial"/>
          <w:color w:val="000000"/>
          <w:sz w:val="20"/>
          <w:lang w:val="en-US" w:eastAsia="en-US" w:bidi="ar-SA"/>
        </w:rPr>
        <w:t xml:space="preserve">, </w:t>
      </w:r>
      <w:hyperlink r:id="rId742" w:history="1">
        <w:r>
          <w:rPr>
            <w:rFonts w:ascii="arial" w:eastAsia="arial" w:hAnsi="arial" w:cs="arial"/>
            <w:i/>
            <w:color w:val="0077CC"/>
            <w:sz w:val="20"/>
            <w:u w:val="single"/>
            <w:shd w:val="clear" w:color="auto" w:fill="FFFFFF"/>
            <w:lang w:val="en-US" w:eastAsia="en-US" w:bidi="ar-SA"/>
          </w:rPr>
          <w:t>[1980] 2 S.C.R. 880</w:t>
        </w:r>
      </w:hyperlink>
      <w:r>
        <w:rPr>
          <w:rFonts w:ascii="arial" w:eastAsia="arial" w:hAnsi="arial" w:cs="arial"/>
          <w:color w:val="000000"/>
          <w:sz w:val="20"/>
          <w:lang w:val="en-US" w:eastAsia="en-US" w:bidi="ar-SA"/>
        </w:rPr>
        <w:t>, p. 891-892.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It is clear that Mr. Pearlman consented to an orthopedic IME. This necessarily encompassed consent to all typical procedures involved in such an examination. I do not accept that any unusual or inappropriate procedures were employed. There is no such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Mr. Pearlman was not undergoing surgery or even any form of medical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I accept the evidence of Dr. Masri that the procedures involved in a standard orthopedic IME do not pose material risks to the examinee. There was nothing done in Mr. Pearlman's IME which raised a material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Mr. Pearlman has not established that the IME or any procedures employed would pose such risks that specific consent ought to have been obtained.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xml:space="preserve">  The law relating to claims alleging lack of informed consent was recently summarized by Horsman J. in </w:t>
      </w:r>
      <w:r>
        <w:rPr>
          <w:rFonts w:ascii="arial" w:eastAsia="arial" w:hAnsi="arial" w:cs="arial"/>
          <w:i/>
          <w:color w:val="000000"/>
          <w:sz w:val="20"/>
          <w:lang w:val="en-US" w:eastAsia="en-US" w:bidi="ar-SA"/>
        </w:rPr>
        <w:t>Liu v. Chuo</w:t>
      </w:r>
      <w:r>
        <w:rPr>
          <w:rFonts w:ascii="arial" w:eastAsia="arial" w:hAnsi="arial" w:cs="arial"/>
          <w:color w:val="000000"/>
          <w:sz w:val="20"/>
          <w:lang w:val="en-US" w:eastAsia="en-US" w:bidi="ar-SA"/>
        </w:rPr>
        <w:t xml:space="preserve">, </w:t>
      </w:r>
      <w:hyperlink r:id="rId737" w:history="1">
        <w:r>
          <w:rPr>
            <w:rFonts w:ascii="arial" w:eastAsia="arial" w:hAnsi="arial" w:cs="arial"/>
            <w:i/>
            <w:color w:val="0077CC"/>
            <w:sz w:val="20"/>
            <w:u w:val="single"/>
            <w:shd w:val="clear" w:color="auto" w:fill="FFFFFF"/>
            <w:lang w:val="en-US" w:eastAsia="en-US" w:bidi="ar-SA"/>
          </w:rPr>
          <w:t>2019 BCSC 109</w:t>
        </w:r>
      </w:hyperlink>
      <w:r>
        <w:rPr>
          <w:rFonts w:ascii="arial" w:eastAsia="arial" w:hAnsi="arial" w:cs="arial"/>
          <w:color w:val="000000"/>
          <w:sz w:val="20"/>
          <w:lang w:val="en-US" w:eastAsia="en-US" w:bidi="ar-SA"/>
        </w:rPr>
        <w:t>, at paras. 80-84: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[80] A claim that a physician has not obtained a patient's informed consent to a medical procedure is a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not battery. A claim in battery would only arise if the claim was in the nature of a misrepresentation of the surgery or treatment for which consent was elicited and a different surgical procedure or treatment was carried out: </w:t>
      </w:r>
      <w:r>
        <w:rPr>
          <w:rFonts w:ascii="arial" w:eastAsia="arial" w:hAnsi="arial" w:cs="arial"/>
          <w:i/>
          <w:color w:val="000000"/>
          <w:sz w:val="20"/>
          <w:lang w:val="en-US" w:eastAsia="en-US" w:bidi="ar-SA"/>
        </w:rPr>
        <w:t>Reibl</w:t>
      </w:r>
      <w:r>
        <w:rPr>
          <w:rFonts w:ascii="arial" w:eastAsia="arial" w:hAnsi="arial" w:cs="arial"/>
          <w:color w:val="000000"/>
          <w:sz w:val="20"/>
          <w:lang w:val="en-US" w:eastAsia="en-US" w:bidi="ar-SA"/>
        </w:rPr>
        <w:t xml:space="preserve"> at pp. 888-892.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[81] A plaintiff who alleged a lack of informed consent must establish on a balance of probabilities that:</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was not fully informed of the nature of any material risk of the surgery and any special or unusual risks attendant on the surgery;</w:t>
      </w:r>
    </w:p>
    <w:p>
      <w:pPr>
        <w:numPr>
          <w:numId w:val="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reasonable person in the plaintiff's position, properly informed, would not have proceeded with the surgery; and</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undisclosed material or special or unusual risk actually materialized and caused the plaintiff damage.</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Rasman v. Regan</w:t>
      </w:r>
      <w:r>
        <w:rPr>
          <w:rFonts w:ascii="arial" w:eastAsia="arial" w:hAnsi="arial" w:cs="arial"/>
          <w:color w:val="000000"/>
          <w:sz w:val="20"/>
          <w:lang w:val="en-US" w:eastAsia="en-US" w:bidi="ar-SA"/>
        </w:rPr>
        <w:t xml:space="preserve">, </w:t>
      </w:r>
      <w:hyperlink r:id="rId744" w:history="1">
        <w:r>
          <w:rPr>
            <w:rFonts w:ascii="arial" w:eastAsia="arial" w:hAnsi="arial" w:cs="arial"/>
            <w:i/>
            <w:color w:val="0077CC"/>
            <w:sz w:val="20"/>
            <w:u w:val="single"/>
            <w:shd w:val="clear" w:color="auto" w:fill="FFFFFF"/>
            <w:lang w:val="en-US" w:eastAsia="en-US" w:bidi="ar-SA"/>
          </w:rPr>
          <w:t>2012 BCSC 1650</w:t>
        </w:r>
      </w:hyperlink>
      <w:r>
        <w:rPr>
          <w:rFonts w:ascii="arial" w:eastAsia="arial" w:hAnsi="arial" w:cs="arial"/>
          <w:color w:val="000000"/>
          <w:sz w:val="20"/>
          <w:lang w:val="en-US" w:eastAsia="en-US" w:bidi="ar-SA"/>
        </w:rPr>
        <w:t xml:space="preserve"> at para. 7 [</w:t>
      </w:r>
      <w:r>
        <w:rPr>
          <w:rFonts w:ascii="arial" w:eastAsia="arial" w:hAnsi="arial" w:cs="arial"/>
          <w:i/>
          <w:color w:val="000000"/>
          <w:sz w:val="20"/>
          <w:lang w:val="en-US" w:eastAsia="en-US" w:bidi="ar-SA"/>
        </w:rPr>
        <w:t>Rasman</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[82] A material risk is one that a reasonable person in the patient's position would want to know before deciding whether to proceed with the proposed treatment: </w:t>
      </w:r>
      <w:r>
        <w:rPr>
          <w:rFonts w:ascii="arial" w:eastAsia="arial" w:hAnsi="arial" w:cs="arial"/>
          <w:i/>
          <w:color w:val="000000"/>
          <w:sz w:val="20"/>
          <w:lang w:val="en-US" w:eastAsia="en-US" w:bidi="ar-SA"/>
        </w:rPr>
        <w:t>Reibl</w:t>
      </w:r>
      <w:r>
        <w:rPr>
          <w:rFonts w:ascii="arial" w:eastAsia="arial" w:hAnsi="arial" w:cs="arial"/>
          <w:color w:val="000000"/>
          <w:sz w:val="20"/>
          <w:lang w:val="en-US" w:eastAsia="en-US" w:bidi="ar-SA"/>
        </w:rPr>
        <w:t xml:space="preserve"> at p. 895.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[83] A modified objective analysis is used to determine whether a reasonable person in the plaintiff's position would have undergone the same surgery if properly informed of the risks: </w:t>
      </w:r>
      <w:r>
        <w:rPr>
          <w:rFonts w:ascii="arial" w:eastAsia="arial" w:hAnsi="arial" w:cs="arial"/>
          <w:i/>
          <w:color w:val="000000"/>
          <w:sz w:val="20"/>
          <w:lang w:val="en-US" w:eastAsia="en-US" w:bidi="ar-SA"/>
        </w:rPr>
        <w:t>Reibl</w:t>
      </w:r>
      <w:r>
        <w:rPr>
          <w:rFonts w:ascii="arial" w:eastAsia="arial" w:hAnsi="arial" w:cs="arial"/>
          <w:color w:val="000000"/>
          <w:sz w:val="20"/>
          <w:lang w:val="en-US" w:eastAsia="en-US" w:bidi="ar-SA"/>
        </w:rPr>
        <w:t xml:space="preserve"> at pp. 898-900. The question is whether a "reasonable person" who possesses the patient's reasonable beliefs, fears, desires and expectations would have undergone surgery if fully informed: </w:t>
      </w:r>
      <w:r>
        <w:rPr>
          <w:rFonts w:ascii="arial" w:eastAsia="arial" w:hAnsi="arial" w:cs="arial"/>
          <w:i/>
          <w:color w:val="000000"/>
          <w:sz w:val="20"/>
          <w:lang w:val="en-US" w:eastAsia="en-US" w:bidi="ar-SA"/>
        </w:rPr>
        <w:t>Arndt v. Smith</w:t>
      </w:r>
      <w:r>
        <w:rPr>
          <w:rFonts w:ascii="arial" w:eastAsia="arial" w:hAnsi="arial" w:cs="arial"/>
          <w:color w:val="000000"/>
          <w:sz w:val="20"/>
          <w:lang w:val="en-US" w:eastAsia="en-US" w:bidi="ar-SA"/>
        </w:rPr>
        <w:t xml:space="preserve">, </w:t>
      </w:r>
      <w:hyperlink r:id="rId745" w:history="1">
        <w:r>
          <w:rPr>
            <w:rFonts w:ascii="arial" w:eastAsia="arial" w:hAnsi="arial" w:cs="arial"/>
            <w:i/>
            <w:color w:val="0077CC"/>
            <w:sz w:val="20"/>
            <w:u w:val="single"/>
            <w:shd w:val="clear" w:color="auto" w:fill="FFFFFF"/>
            <w:lang w:val="en-US" w:eastAsia="en-US" w:bidi="ar-SA"/>
          </w:rPr>
          <w:t>[1997] 2 S.C.R. 539</w:t>
        </w:r>
      </w:hyperlink>
      <w:r>
        <w:rPr>
          <w:rFonts w:ascii="arial" w:eastAsia="arial" w:hAnsi="arial" w:cs="arial"/>
          <w:color w:val="000000"/>
          <w:sz w:val="20"/>
          <w:lang w:val="en-US" w:eastAsia="en-US" w:bidi="ar-SA"/>
        </w:rPr>
        <w:t xml:space="preserve"> at para. 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[84] Information about the risks attendant on surgery need not come from the physician. It is sufficient if some responsible person, such as a medical office assistant, provides the patient with information about the risks: </w:t>
      </w:r>
      <w:r>
        <w:rPr>
          <w:rFonts w:ascii="arial" w:eastAsia="arial" w:hAnsi="arial" w:cs="arial"/>
          <w:i/>
          <w:color w:val="000000"/>
          <w:sz w:val="20"/>
          <w:lang w:val="en-US" w:eastAsia="en-US" w:bidi="ar-SA"/>
        </w:rPr>
        <w:t>Maher v. Sutton</w:t>
      </w:r>
      <w:r>
        <w:rPr>
          <w:rFonts w:ascii="arial" w:eastAsia="arial" w:hAnsi="arial" w:cs="arial"/>
          <w:color w:val="000000"/>
          <w:sz w:val="20"/>
          <w:lang w:val="en-US" w:eastAsia="en-US" w:bidi="ar-SA"/>
        </w:rPr>
        <w:t xml:space="preserve">, </w:t>
      </w:r>
      <w:hyperlink r:id="rId746" w:history="1">
        <w:r>
          <w:rPr>
            <w:rFonts w:ascii="arial" w:eastAsia="arial" w:hAnsi="arial" w:cs="arial"/>
            <w:i/>
            <w:color w:val="0077CC"/>
            <w:sz w:val="20"/>
            <w:u w:val="single"/>
            <w:shd w:val="clear" w:color="auto" w:fill="FFFFFF"/>
            <w:lang w:val="en-US" w:eastAsia="en-US" w:bidi="ar-SA"/>
          </w:rPr>
          <w:t>2013 BCSC 1808</w:t>
        </w:r>
      </w:hyperlink>
      <w:r>
        <w:rPr>
          <w:rFonts w:ascii="arial" w:eastAsia="arial" w:hAnsi="arial" w:cs="arial"/>
          <w:color w:val="000000"/>
          <w:sz w:val="20"/>
          <w:lang w:val="en-US" w:eastAsia="en-US" w:bidi="ar-SA"/>
        </w:rPr>
        <w:t xml:space="preserve"> at paras. 81-82.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A reasonable person in the plaintiff's position, properly informed, would have proceeded with the IME. It was in his interests to undergo the IME in order to establish the extent of the injuries he alleged he suffered in the 2007 MVA. The plaintiff had undergone previous IMEs, including an orthopedic IME conducted by Dr. Paul Bishop in 2008, relating to injuries sustained in the 2004 and 2007 MVAs.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xml:space="preserve">  Subsequent to the conclusion of the trial, Mr. Pearlman sent a British law journal article discussing the law of medical consent in England or the United Kingdom. Leave was not granted to make further submissions. Nevertheless, as Mr. Pearlman is self-represented, I reviewed the article. One of the decisions referred to in the article is the decision of the UK Supreme Court in </w:t>
      </w:r>
      <w:r>
        <w:rPr>
          <w:rFonts w:ascii="arial" w:eastAsia="arial" w:hAnsi="arial" w:cs="arial"/>
          <w:i/>
          <w:color w:val="000000"/>
          <w:sz w:val="20"/>
          <w:lang w:val="en-US" w:eastAsia="en-US" w:bidi="ar-SA"/>
        </w:rPr>
        <w:t>Montgomery v. Lanarkshire Health Board</w:t>
      </w:r>
      <w:r>
        <w:rPr>
          <w:rFonts w:ascii="arial" w:eastAsia="arial" w:hAnsi="arial" w:cs="arial"/>
          <w:color w:val="000000"/>
          <w:sz w:val="20"/>
          <w:lang w:val="en-US" w:eastAsia="en-US" w:bidi="ar-SA"/>
        </w:rPr>
        <w:t>, [2015] UKSC 11, which sets out the test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 adult person of sound mind is entitled to decide which, if any, of the available forms of treatment to undergo, and her consent must be obtained before treatment interfering with her bodily integrity is undertaken. The doctor is therefore under a duty to take reasonable care to ensure that the patient is aware of any material risks involved in any recommended treatment, and of any reasonable alternative or variant treatments. The test of materiality is whether, in the circumstances of the particular case, a reasonable person in the patient's position would be likely to attach significance to the risk, or the doctor is or should reasonably be aware that the particular patient would be likely to attach significance to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xml:space="preserve">  As can be seen the </w:t>
      </w:r>
      <w:r>
        <w:rPr>
          <w:rFonts w:ascii="arial" w:eastAsia="arial" w:hAnsi="arial" w:cs="arial"/>
          <w:i/>
          <w:color w:val="000000"/>
          <w:sz w:val="20"/>
          <w:lang w:val="en-US" w:eastAsia="en-US" w:bidi="ar-SA"/>
        </w:rPr>
        <w:t>Montgomery</w:t>
      </w:r>
      <w:r>
        <w:rPr>
          <w:rFonts w:ascii="arial" w:eastAsia="arial" w:hAnsi="arial" w:cs="arial"/>
          <w:color w:val="000000"/>
          <w:sz w:val="20"/>
          <w:lang w:val="en-US" w:eastAsia="en-US" w:bidi="ar-SA"/>
        </w:rPr>
        <w:t xml:space="preserve"> test is very similar to the test that applies in Canadian law. One difference is that it adds, "...or the doctor is or should reasonably be aware that the particular patient would be likely to attach significance to it." This aspect of the </w:t>
      </w:r>
      <w:r>
        <w:rPr>
          <w:rFonts w:ascii="arial" w:eastAsia="arial" w:hAnsi="arial" w:cs="arial"/>
          <w:i/>
          <w:color w:val="000000"/>
          <w:sz w:val="20"/>
          <w:lang w:val="en-US" w:eastAsia="en-US" w:bidi="ar-SA"/>
        </w:rPr>
        <w:t>Montgomery</w:t>
      </w:r>
      <w:r>
        <w:rPr>
          <w:rFonts w:ascii="arial" w:eastAsia="arial" w:hAnsi="arial" w:cs="arial"/>
          <w:color w:val="000000"/>
          <w:sz w:val="20"/>
          <w:lang w:val="en-US" w:eastAsia="en-US" w:bidi="ar-SA"/>
        </w:rPr>
        <w:t xml:space="preserve"> test is not applicable on the evidence in this case. In the circumstances I have not requested the defendant to make any further submissions in response to Mr. Pearlman's unsolicited further submission. I am satisfied that the Canadian authorities I have referred to are controlling, and that I do not need to refer to the British authorities referred to in the article. In any event, even if I were to apply the </w:t>
      </w:r>
      <w:r>
        <w:rPr>
          <w:rFonts w:ascii="arial" w:eastAsia="arial" w:hAnsi="arial" w:cs="arial"/>
          <w:i/>
          <w:color w:val="000000"/>
          <w:sz w:val="20"/>
          <w:lang w:val="en-US" w:eastAsia="en-US" w:bidi="ar-SA"/>
        </w:rPr>
        <w:t>Montgomery</w:t>
      </w:r>
      <w:r>
        <w:rPr>
          <w:rFonts w:ascii="arial" w:eastAsia="arial" w:hAnsi="arial" w:cs="arial"/>
          <w:color w:val="000000"/>
          <w:sz w:val="20"/>
          <w:lang w:val="en-US" w:eastAsia="en-US" w:bidi="ar-SA"/>
        </w:rPr>
        <w:t xml:space="preserve"> test, the result would be the same.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In summary, I find that Dr. Hawk met the requisite standard of care in relation to the IME, and was not negligent in conducting it.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Assault and Battery, Trespass to the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xml:space="preserve">  These contentions may conveniently be dealt with together. Mr. Pearlman's essential complaint is of battery. A battery is the intentional infliction of unlawful force on another person: </w:t>
      </w:r>
      <w:r>
        <w:rPr>
          <w:rFonts w:ascii="arial" w:eastAsia="arial" w:hAnsi="arial" w:cs="arial"/>
          <w:i/>
          <w:color w:val="000000"/>
          <w:sz w:val="20"/>
          <w:lang w:val="en-US" w:eastAsia="en-US" w:bidi="ar-SA"/>
        </w:rPr>
        <w:t>Norberg v. Wynrib</w:t>
      </w:r>
      <w:r>
        <w:rPr>
          <w:rFonts w:ascii="arial" w:eastAsia="arial" w:hAnsi="arial" w:cs="arial"/>
          <w:color w:val="000000"/>
          <w:sz w:val="20"/>
          <w:lang w:val="en-US" w:eastAsia="en-US" w:bidi="ar-SA"/>
        </w:rPr>
        <w:t xml:space="preserve">, </w:t>
      </w:r>
      <w:hyperlink r:id="rId944" w:history="1">
        <w:r>
          <w:rPr>
            <w:rFonts w:ascii="arial" w:eastAsia="arial" w:hAnsi="arial" w:cs="arial"/>
            <w:i/>
            <w:color w:val="0077CC"/>
            <w:sz w:val="20"/>
            <w:u w:val="single"/>
            <w:shd w:val="clear" w:color="auto" w:fill="FFFFFF"/>
            <w:lang w:val="en-US" w:eastAsia="en-US" w:bidi="ar-SA"/>
          </w:rPr>
          <w:t>[1992] 2 S.C.R. 226</w:t>
        </w:r>
      </w:hyperlink>
      <w:r>
        <w:rPr>
          <w:rFonts w:ascii="arial" w:eastAsia="arial" w:hAnsi="arial" w:cs="arial"/>
          <w:color w:val="000000"/>
          <w:sz w:val="20"/>
          <w:lang w:val="en-US" w:eastAsia="en-US" w:bidi="ar-SA"/>
        </w:rPr>
        <w:t xml:space="preserve"> at p. 246. Consent, express or implied, is a defence to battery: </w:t>
      </w:r>
      <w:r>
        <w:rPr>
          <w:rFonts w:ascii="arial" w:eastAsia="arial" w:hAnsi="arial" w:cs="arial"/>
          <w:i/>
          <w:color w:val="000000"/>
          <w:sz w:val="20"/>
          <w:lang w:val="en-US" w:eastAsia="en-US" w:bidi="ar-SA"/>
        </w:rPr>
        <w:t>Norberg</w:t>
      </w:r>
      <w:r>
        <w:rPr>
          <w:rFonts w:ascii="arial" w:eastAsia="arial" w:hAnsi="arial" w:cs="arial"/>
          <w:color w:val="000000"/>
          <w:sz w:val="20"/>
          <w:lang w:val="en-US" w:eastAsia="en-US" w:bidi="ar-SA"/>
        </w:rPr>
        <w:t>, at p. 246.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As already stated, Mr. Pearlman consented to the IME, including consent to all procedures that would ordinarily be encompassed within an orthopedic IME. In conducting the IME, Dr. Hawk did not go beyond the bounds of the express and implied consent of Mr. Pearlman. Moreover, Dr. Hawk did not intentionally cause injury to the plaintiff, nor did he negligently cause injury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For the reasons stated, the plaintiff's case fails on liability. It is therefore unnecessary to consider or to assess damages. The plaintiff's case is dismissed, with costs payable to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F.E. VERHOEVEN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12" style="position:absolute;z-index:25180672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45"/>
          <w:headerReference w:type="default" r:id="rId946"/>
          <w:footerReference w:type="even" r:id="rId947"/>
          <w:footerReference w:type="default" r:id="rId948"/>
          <w:headerReference w:type="first" r:id="rId949"/>
          <w:footerReference w:type="first" r:id="rId95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51" w:history="1">
        <w:r>
          <w:rPr>
            <w:rFonts w:ascii="arial" w:eastAsia="arial" w:hAnsi="arial" w:cs="arial"/>
            <w:b/>
            <w:bCs/>
            <w:i/>
            <w:color w:val="0077CC"/>
            <w:kern w:val="32"/>
            <w:sz w:val="28"/>
            <w:szCs w:val="32"/>
            <w:u w:val="single"/>
            <w:shd w:val="clear" w:color="auto" w:fill="FFFFFF"/>
            <w:lang w:val="en-US" w:eastAsia="en-US" w:bidi="ar-SA"/>
          </w:rPr>
          <w:t>Peon v. Huron Street Developments Ltd., [2007] B.C.J. No. 392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Metzger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15,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28,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Victoria Registry No. 04/5444</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[2007] B.C.J. No. 392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2007 BCSC 270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155 A.C.W.S. (3d) 1090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Maria Luisa Santa Cruz Peon, Plaintiff, and Huron Street Developments Ltd., Huron Street Development Limited Partnership and Leslee Farrell &amp; Associates Inc., also known as Leslee Thonger &amp; Associates Inc., doing business as Re/Max Ports West and Norma Butterfield and David Butterfield and Doug Makaroff, Defendants, and Coast Capital Real Estate Ltd. and Norma Campbell,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(21 paras.)</w:t>
      </w:r>
    </w:p>
    <w:p>
      <w:pPr>
        <w:jc w:val="both"/>
        <w:rPr>
          <w:rFonts w:ascii="arial" w:eastAsia="arial" w:hAnsi="arial" w:cs="arial"/>
          <w:sz w:val="20"/>
          <w:lang w:val="en-US" w:eastAsia="en-US" w:bidi="ar-SA"/>
        </w:rPr>
      </w:pPr>
      <w:bookmarkStart w:id="226" w:name="Counsel_45"/>
      <w:bookmarkEnd w:id="22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13" style="position:absolute;z-index:2517053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 one appearing for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Huron Street Developments Ltd., Huron Street Development Limited Partnership, Norma Butterfield, David Butterfield and Doug Makaroff: F.D. Corbett.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Third Parties (Appeared via telephone conference on February 23, 2007): K.A. Murray.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 Giesen (as agent for K.A. Murray).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27" w:name="Judgment_45"/>
      <w:bookmarkEnd w:id="227"/>
      <w:r>
        <w:pict>
          <v:line id="_x0000_s1214" style="position:absolute;z-index:251756544"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0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28" w:name="METZGER J."/>
            <w:bookmarkEnd w:id="228"/>
            <w:r>
              <w:rPr>
                <w:rFonts w:ascii="arial" w:eastAsia="arial" w:hAnsi="arial" w:cs="arial"/>
                <w:b/>
                <w:color w:val="000000"/>
                <w:sz w:val="30"/>
                <w:lang w:val="en-US" w:eastAsia="en-US" w:bidi="ar-SA"/>
              </w:rPr>
              <w:t>METZGER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application by the third parties that the third party notice be struck for failure to disclose a reasonable claim against them, pursuant to Rule 19(24)(a).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following is a summary of the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alleges that the defendants, Huron Street Developments Ltd., Re/Max Ports West, Norma and David Butterfield, and Doug Makaroff, made the following warranties and representations to the plaintiff:</w:t>
      </w:r>
      <w:r>
        <w:rPr>
          <w:rFonts w:ascii="arial" w:eastAsia="arial" w:hAnsi="arial" w:cs="arial"/>
          <w:sz w:val="20"/>
          <w:lang w:val="en-US" w:eastAsia="en-US" w:bidi="ar-SA"/>
        </w:rPr>
        <w:cr/>
      </w:r>
    </w:p>
    <w:p>
      <w:pPr>
        <w:numPr>
          <w:numId w:val="1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Promotional Materials accurately demonstrated the plans and specifications to which Shoal Point would be built.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Penthouse 1101 of Phase I at Shoal Point (the "Property") would be built as represented by the Promotional Materials.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property would have unobstructed and dramatic ocean and city views on all sides.</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property would have attractive easterly views of glass conservatories and gardens in Phase II of Shoal Point, below the Property's eastern windows, which would not obstruct the Property's ocean and city views.</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Property, including its exterior balconies, would have a high degree of privacy.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claims that she relied on the above warranties and representations when she entered into a written contract of purchase and sale for the Property and agreed to pay $1,550,000 for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 alleges that Huron Street breached the warranties listed above because:</w:t>
      </w:r>
      <w:r>
        <w:rPr>
          <w:rFonts w:ascii="arial" w:eastAsia="arial" w:hAnsi="arial" w:cs="arial"/>
          <w:sz w:val="20"/>
          <w:lang w:val="en-US" w:eastAsia="en-US" w:bidi="ar-SA"/>
        </w:rPr>
        <w:cr/>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No conservatories, gardens or glass passage were constructed.</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Instead of the conservatories, gardens and glass passage, Huron Street constructed further condominiums topped by a high gravel roof with projecting metal smoke stacks.</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either side of the gravel roof, Huron Street constructed further condominiums topped with the metal roofs.</w:t>
      </w:r>
    </w:p>
    <w:p>
      <w:pPr>
        <w:numPr>
          <w:numId w:val="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Huron Street obliterated the living room view and the view from the most east facing windows of the property.</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Huron Street constructed balconies in close proximity to the Property, significantly eroding the privacy offered by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claims that the defendants:</w:t>
      </w:r>
      <w:r>
        <w:rPr>
          <w:rFonts w:ascii="arial" w:eastAsia="arial" w:hAnsi="arial" w:cs="arial"/>
          <w:sz w:val="20"/>
          <w:lang w:val="en-US" w:eastAsia="en-US" w:bidi="ar-SA"/>
        </w:rPr>
        <w:cr/>
      </w:r>
    </w:p>
    <w:p>
      <w:pPr>
        <w:numPr>
          <w:numId w:val="1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owed a duty to the plaintiff to disclose the true plans, designs and specifications in the construction of Shoal Point and the Property; and</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breached the duty of care by negligently or recklessly misrepresenting the plans, designs, and specifications for Shoal Point and the Property to induce the plaintiff into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Alternatively, the plaintiff claims that the defendants fraudulently misrepresented the plans, designs, and specifications for Shoal Point and the Property to induce the plaintiff into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its statement of defence, Huron Street pleads the following:</w:t>
      </w:r>
      <w:r>
        <w:rPr>
          <w:rFonts w:ascii="arial" w:eastAsia="arial" w:hAnsi="arial" w:cs="arial"/>
          <w:sz w:val="20"/>
          <w:lang w:val="en-US" w:eastAsia="en-US" w:bidi="ar-SA"/>
        </w:rPr>
        <w:cr/>
      </w:r>
    </w:p>
    <w:p>
      <w:pPr>
        <w:numPr>
          <w:numId w:val="1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did not make any representations or warranties other than those in the Contract for Purchase and Sale.</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Phases II and III of Shoal Point were constructed substantially in accordance with the plans, commercial drawings, brochures, architectural models and other promotional materials.</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it did make representations and warranties, which is denied, those representations and warranties were true and were not breached.</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retained her own realtor who was not the agent for Huron Street and not authorized to make any representations or warranties on behalf of Huron Street.</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any representations or warranties were made to the plaintiff, they were made by the plaintiff's realtor, Norma Campbell.</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Huron Street is not liable to the plaintiff for any representations or warranties made by the plaintiff's realtor.</w:t>
      </w:r>
    </w:p>
    <w:p>
      <w:pPr>
        <w:numPr>
          <w:numId w:val="1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relied solely on the advice, representations and warranties of her realtor.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The defendants' third party notice against Coast Capital Real Estate Ltd. and Norma Campbell claims contribution and indemnity from the third parties for any claim or amount which Huron Street is found to be liable to the plaintiff pursuant to the </w:t>
      </w:r>
      <w:r>
        <w:rPr>
          <w:rFonts w:ascii="arial" w:eastAsia="arial" w:hAnsi="arial" w:cs="arial"/>
          <w:b/>
          <w:i/>
          <w:color w:val="000000"/>
          <w:sz w:val="20"/>
          <w:u w:val="single"/>
          <w:lang w:val="en-US" w:eastAsia="en-US" w:bidi="ar-SA"/>
        </w:rPr>
        <w:t>Negligence</w:t>
      </w:r>
      <w:r>
        <w:rPr>
          <w:rFonts w:ascii="arial" w:eastAsia="arial" w:hAnsi="arial" w:cs="arial"/>
          <w:b/>
          <w:i/>
          <w:color w:val="000000"/>
          <w:sz w:val="20"/>
          <w:lang w:val="en-US" w:eastAsia="en-US" w:bidi="ar-SA"/>
        </w:rPr>
        <w:t xml:space="preserve"> Act</w:t>
      </w:r>
      <w:r>
        <w:rPr>
          <w:rFonts w:ascii="arial" w:eastAsia="arial" w:hAnsi="arial" w:cs="arial"/>
          <w:color w:val="000000"/>
          <w:sz w:val="20"/>
          <w:lang w:val="en-US" w:eastAsia="en-US" w:bidi="ar-SA"/>
        </w:rPr>
        <w:t>. Huron Street claims that:</w:t>
      </w:r>
      <w:r>
        <w:rPr>
          <w:rFonts w:ascii="arial" w:eastAsia="arial" w:hAnsi="arial" w:cs="arial"/>
          <w:sz w:val="20"/>
          <w:lang w:val="en-US" w:eastAsia="en-US" w:bidi="ar-SA"/>
        </w:rPr>
        <w:cr/>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third parties, who were not agents for Huron Street, were responsible for all representations and warranties made to the plaintiff.</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plaintiff suffered any loss as a result of any misrepresentations, which is denied, the representations were made by the third parties.</w:t>
      </w:r>
    </w:p>
    <w:p>
      <w:pPr>
        <w:numPr>
          <w:numId w:val="2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Huron is found liable to the plaintiff for any damages, costs, or interest, such damages, costs, or interest were caused or contributed to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third parties.</w:t>
      </w:r>
    </w:p>
    <w:p>
      <w:pPr>
        <w:numPr>
          <w:numId w:val="24"/>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alternative, if any fraudulent or reckless misrepresentations were made to the plaintiff, they were made by the third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Before a pleading is struck, it must be perfectly clear that it discloses no reasonable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Hunt v. Carey Canada Inc</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[1990] 2 S.C.R. 959</w:t>
      </w:r>
      <w:r>
        <w:rPr>
          <w:rFonts w:ascii="arial" w:eastAsia="arial" w:hAnsi="arial" w:cs="arial"/>
          <w:color w:val="000000"/>
          <w:sz w:val="20"/>
          <w:lang w:val="en-US" w:eastAsia="en-US" w:bidi="ar-SA"/>
        </w:rPr>
        <w:t xml:space="preserve"> at p. 980, the court provides that the test in Canada governing the application of provisions like Rule 19(24)(a) of the British Columbia </w:t>
      </w:r>
      <w:r>
        <w:rPr>
          <w:rFonts w:ascii="arial" w:eastAsia="arial" w:hAnsi="arial" w:cs="arial"/>
          <w:b/>
          <w:i/>
          <w:color w:val="000000"/>
          <w:sz w:val="20"/>
          <w:lang w:val="en-US" w:eastAsia="en-US" w:bidi="ar-SA"/>
        </w:rPr>
        <w:t>Rules of Court</w:t>
      </w:r>
      <w:r>
        <w:rPr>
          <w:rFonts w:ascii="arial" w:eastAsia="arial" w:hAnsi="arial" w:cs="arial"/>
          <w:color w:val="000000"/>
          <w:sz w:val="20"/>
          <w:lang w:val="en-US" w:eastAsia="en-US" w:bidi="ar-SA"/>
        </w:rPr>
        <w:t xml:space="preserve"> assumes that the facts as stated in the statement of claim can be proved. Is it "plain and obvious" that the plaintiff's statement of claim discloses no reasonable cause of action? Only if the action is certain to fail because it contains a radical defect should the relevant portions of a plaintiff's statement of claim be struck out under Rule 19(24)(a).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McNaughton v. Baker</w:t>
      </w:r>
      <w:r>
        <w:rPr>
          <w:rFonts w:ascii="arial" w:eastAsia="arial" w:hAnsi="arial" w:cs="arial"/>
          <w:color w:val="000000"/>
          <w:sz w:val="20"/>
          <w:lang w:val="en-US" w:eastAsia="en-US" w:bidi="ar-SA"/>
        </w:rPr>
        <w:t xml:space="preserve"> </w:t>
      </w:r>
      <w:hyperlink r:id="rId475" w:history="1">
        <w:r>
          <w:rPr>
            <w:rFonts w:ascii="arial" w:eastAsia="arial" w:hAnsi="arial" w:cs="arial"/>
            <w:i/>
            <w:color w:val="0077CC"/>
            <w:sz w:val="20"/>
            <w:u w:val="single"/>
            <w:shd w:val="clear" w:color="auto" w:fill="FFFFFF"/>
            <w:lang w:val="en-US" w:eastAsia="en-US" w:bidi="ar-SA"/>
          </w:rPr>
          <w:t>(1988), 25 B.C.L.R. (2d) 17</w:t>
        </w:r>
      </w:hyperlink>
      <w:r>
        <w:rPr>
          <w:rFonts w:ascii="arial" w:eastAsia="arial" w:hAnsi="arial" w:cs="arial"/>
          <w:color w:val="000000"/>
          <w:sz w:val="20"/>
          <w:lang w:val="en-US" w:eastAsia="en-US" w:bidi="ar-SA"/>
        </w:rPr>
        <w:t xml:space="preserve"> (B.C.C.A.), the court states at p. 22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third party notice can be struck out on the same basis that a statement of claim may be struck out under Rule 19(24) - that it discloses no reasonable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court further explains at page 27: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that the right to bring or maintain a third party claim is not dependent on establishing by affidavit or otherwise that there is evidence to support the claim. Rather, a motion to strike out ... a third party claim should be considered on the assumption that the facts pleaded can be established.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Adams v. Thompson, Berwick, Pratt &amp; Partners</w:t>
      </w:r>
      <w:r>
        <w:rPr>
          <w:rFonts w:ascii="arial" w:eastAsia="arial" w:hAnsi="arial" w:cs="arial"/>
          <w:color w:val="000000"/>
          <w:sz w:val="20"/>
          <w:lang w:val="en-US" w:eastAsia="en-US" w:bidi="ar-SA"/>
        </w:rPr>
        <w:t xml:space="preserve"> </w:t>
      </w:r>
      <w:hyperlink r:id="rId952" w:history="1">
        <w:r>
          <w:rPr>
            <w:rFonts w:ascii="arial" w:eastAsia="arial" w:hAnsi="arial" w:cs="arial"/>
            <w:i/>
            <w:color w:val="0077CC"/>
            <w:sz w:val="20"/>
            <w:u w:val="single"/>
            <w:shd w:val="clear" w:color="auto" w:fill="FFFFFF"/>
            <w:lang w:val="en-US" w:eastAsia="en-US" w:bidi="ar-SA"/>
          </w:rPr>
          <w:t>(1987), 15 B.C.L.R. (2d) 51</w:t>
        </w:r>
      </w:hyperlink>
      <w:r>
        <w:rPr>
          <w:rFonts w:ascii="arial" w:eastAsia="arial" w:hAnsi="arial" w:cs="arial"/>
          <w:color w:val="000000"/>
          <w:sz w:val="20"/>
          <w:lang w:val="en-US" w:eastAsia="en-US" w:bidi="ar-SA"/>
        </w:rPr>
        <w:t xml:space="preserve"> (B.C.C.A.), the B.C. Court of Appeal limited the entitlement to add a third party when the plaintiff contracts with two different parties. The Court states at p. 54: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where a plaintiff contracts with two separate parties ... and later sues one of them, the one sued cannot claim contribution or indemnity from the other on the ground that the other failed to properly execute his duties, where the substance of the third party claim can be raised against the plaintiff by way of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court further elaborates at p. 55: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third party claim will not lie against another person with respect to an obligation belonging to the plaintiff which the defendant can raise directly against the plaintiff by way of defence. Where the only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alleged against the third party is attributable to the plaintiff, there is no need for third party proceedings since the defendant has his full remedy against the plaintiff. On the other hand, where the pleadings and the alleged facts raise the possibility of a claim against the third party for which the plaintiff may not be responsible, the third party claim should be allowed to stand.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Bingham v. BMO Nesbitt Burns Inc</w:t>
      </w:r>
      <w:r>
        <w:rPr>
          <w:rFonts w:ascii="arial" w:eastAsia="arial" w:hAnsi="arial" w:cs="arial"/>
          <w:b/>
          <w:color w:val="000000"/>
          <w:sz w:val="20"/>
          <w:lang w:val="en-US" w:eastAsia="en-US" w:bidi="ar-SA"/>
        </w:rPr>
        <w:t>.</w:t>
      </w:r>
      <w:r>
        <w:rPr>
          <w:rFonts w:ascii="arial" w:eastAsia="arial" w:hAnsi="arial" w:cs="arial"/>
          <w:color w:val="000000"/>
          <w:sz w:val="20"/>
          <w:lang w:val="en-US" w:eastAsia="en-US" w:bidi="ar-SA"/>
        </w:rPr>
        <w:t xml:space="preserve">, </w:t>
      </w:r>
      <w:hyperlink r:id="rId953" w:history="1">
        <w:r>
          <w:rPr>
            <w:rFonts w:ascii="arial" w:eastAsia="arial" w:hAnsi="arial" w:cs="arial"/>
            <w:i/>
            <w:color w:val="0077CC"/>
            <w:sz w:val="20"/>
            <w:u w:val="single"/>
            <w:shd w:val="clear" w:color="auto" w:fill="FFFFFF"/>
            <w:lang w:val="en-US" w:eastAsia="en-US" w:bidi="ar-SA"/>
          </w:rPr>
          <w:t>2006 BCSC 304</w:t>
        </w:r>
      </w:hyperlink>
      <w:r>
        <w:rPr>
          <w:rFonts w:ascii="arial" w:eastAsia="arial" w:hAnsi="arial" w:cs="arial"/>
          <w:color w:val="000000"/>
          <w:sz w:val="20"/>
          <w:lang w:val="en-US" w:eastAsia="en-US" w:bidi="ar-SA"/>
        </w:rPr>
        <w:t xml:space="preserve"> at para. 15, Macaulay J. explains that "... </w:t>
      </w:r>
      <w:r>
        <w:rPr>
          <w:rFonts w:ascii="arial" w:eastAsia="arial" w:hAnsi="arial" w:cs="arial"/>
          <w:i/>
          <w:color w:val="000000"/>
          <w:sz w:val="20"/>
          <w:lang w:val="en-US" w:eastAsia="en-US" w:bidi="ar-SA"/>
        </w:rPr>
        <w:t>Adams</w:t>
      </w:r>
      <w:r>
        <w:rPr>
          <w:rFonts w:ascii="arial" w:eastAsia="arial" w:hAnsi="arial" w:cs="arial"/>
          <w:color w:val="000000"/>
          <w:sz w:val="20"/>
          <w:lang w:val="en-US" w:eastAsia="en-US" w:bidi="ar-SA"/>
        </w:rPr>
        <w:t xml:space="preserve"> does not allow for the striking of a third party notice where the conduct may not be attributable to the plaintiff". What the court must determine is whether the case at bar fits within the exception expressed in </w:t>
      </w:r>
      <w:r>
        <w:rPr>
          <w:rFonts w:ascii="arial" w:eastAsia="arial" w:hAnsi="arial" w:cs="arial"/>
          <w:i/>
          <w:color w:val="000000"/>
          <w:sz w:val="20"/>
          <w:lang w:val="en-US" w:eastAsia="en-US" w:bidi="ar-SA"/>
        </w:rPr>
        <w:t>Adams</w:t>
      </w:r>
      <w:r>
        <w:rPr>
          <w:rFonts w:ascii="arial" w:eastAsia="arial" w:hAnsi="arial" w:cs="arial"/>
          <w:color w:val="000000"/>
          <w:sz w:val="20"/>
          <w:lang w:val="en-US" w:eastAsia="en-US" w:bidi="ar-SA"/>
        </w:rPr>
        <w:t xml:space="preserve">, namely whether the third party notice is one for which the plaintiff might not be responsible (see </w:t>
      </w:r>
      <w:r>
        <w:rPr>
          <w:rFonts w:ascii="arial" w:eastAsia="arial" w:hAnsi="arial" w:cs="arial"/>
          <w:b/>
          <w:i/>
          <w:color w:val="000000"/>
          <w:sz w:val="20"/>
          <w:lang w:val="en-US" w:eastAsia="en-US" w:bidi="ar-SA"/>
        </w:rPr>
        <w:t>Loewen v. Seaboard Life Insurance Co</w:t>
      </w:r>
      <w:r>
        <w:rPr>
          <w:rFonts w:ascii="arial" w:eastAsia="arial" w:hAnsi="arial" w:cs="arial"/>
          <w:color w:val="000000"/>
          <w:sz w:val="20"/>
          <w:lang w:val="en-US" w:eastAsia="en-US" w:bidi="ar-SA"/>
        </w:rPr>
        <w:t xml:space="preserve">., </w:t>
      </w:r>
      <w:hyperlink r:id="rId954" w:history="1">
        <w:r>
          <w:rPr>
            <w:rFonts w:ascii="arial" w:eastAsia="arial" w:hAnsi="arial" w:cs="arial"/>
            <w:i/>
            <w:color w:val="0077CC"/>
            <w:sz w:val="20"/>
            <w:u w:val="single"/>
            <w:shd w:val="clear" w:color="auto" w:fill="FFFFFF"/>
            <w:lang w:val="en-US" w:eastAsia="en-US" w:bidi="ar-SA"/>
          </w:rPr>
          <w:t>[1999] B.C.J. No. 2625</w:t>
        </w:r>
      </w:hyperlink>
      <w:r>
        <w:rPr>
          <w:rFonts w:ascii="arial" w:eastAsia="arial" w:hAnsi="arial" w:cs="arial"/>
          <w:color w:val="000000"/>
          <w:sz w:val="20"/>
          <w:lang w:val="en-US" w:eastAsia="en-US" w:bidi="ar-SA"/>
        </w:rPr>
        <w:t xml:space="preserve"> (B.C.S.C.) at para. 18; </w:t>
      </w:r>
      <w:r>
        <w:rPr>
          <w:rFonts w:ascii="arial" w:eastAsia="arial" w:hAnsi="arial" w:cs="arial"/>
          <w:b/>
          <w:i/>
          <w:color w:val="000000"/>
          <w:sz w:val="20"/>
          <w:lang w:val="en-US" w:eastAsia="en-US" w:bidi="ar-SA"/>
        </w:rPr>
        <w:t>Bingham</w:t>
      </w:r>
      <w:r>
        <w:rPr>
          <w:rFonts w:ascii="arial" w:eastAsia="arial" w:hAnsi="arial" w:cs="arial"/>
          <w:color w:val="000000"/>
          <w:sz w:val="20"/>
          <w:lang w:val="en-US" w:eastAsia="en-US" w:bidi="ar-SA"/>
        </w:rPr>
        <w:t xml:space="preserve"> at para. 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All acts falling within the scope of an agency between the proposed third party and the plaintiff are acts for which the plaintiff is responsible and will not be the subject of a third party claim (see </w:t>
      </w:r>
      <w:r>
        <w:rPr>
          <w:rFonts w:ascii="arial" w:eastAsia="arial" w:hAnsi="arial" w:cs="arial"/>
          <w:b/>
          <w:i/>
          <w:color w:val="000000"/>
          <w:sz w:val="20"/>
          <w:lang w:val="en-US" w:eastAsia="en-US" w:bidi="ar-SA"/>
        </w:rPr>
        <w:t>Adams</w:t>
      </w:r>
      <w:r>
        <w:rPr>
          <w:rFonts w:ascii="arial" w:eastAsia="arial" w:hAnsi="arial" w:cs="arial"/>
          <w:color w:val="000000"/>
          <w:sz w:val="20"/>
          <w:lang w:val="en-US" w:eastAsia="en-US" w:bidi="ar-SA"/>
        </w:rPr>
        <w:t xml:space="preserve"> at p. 56).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For the purposes of this application, the court must assume that Huron Street Developments caused the plaintiff loss and damages because it breached its duty of care by negligently, recklessly or fraudulently misrepresenting the plans, designs, and specifications for Shoal Point and the Property to induce the plaintiff into the Contract for Purchase and 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 court must also assume that the facts alleged in the third party notice are true. The only fact that can be assumed to be true, if the plaintiff is successful in her action, is that the third parties'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contributed to the plaintiff's loss and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The question is whether the loss caused by the third parties'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attributable to the plaintiff because the third parties were acting within the scope of their authority as the plaintiff's agents. If the third parties made negligent, reckless or fraudulent misrepresentations on which the plaintiff relied, this would be outside the scope of the agency relationship, and thus, not the plaintiff's responsibility.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The case at bar raises an issue about the potential application of s. 4 of the </w:t>
      </w:r>
      <w:r>
        <w:rPr>
          <w:rFonts w:ascii="arial" w:eastAsia="arial" w:hAnsi="arial" w:cs="arial"/>
          <w:b/>
          <w:i/>
          <w:color w:val="000000"/>
          <w:sz w:val="20"/>
          <w:u w:val="single"/>
          <w:lang w:val="en-US" w:eastAsia="en-US" w:bidi="ar-SA"/>
        </w:rPr>
        <w:t>Negligence</w:t>
      </w:r>
      <w:r>
        <w:rPr>
          <w:rFonts w:ascii="arial" w:eastAsia="arial" w:hAnsi="arial" w:cs="arial"/>
          <w:b/>
          <w:i/>
          <w:color w:val="000000"/>
          <w:sz w:val="20"/>
          <w:lang w:val="en-US" w:eastAsia="en-US" w:bidi="ar-SA"/>
        </w:rPr>
        <w:t xml:space="preserve"> Act</w:t>
      </w:r>
      <w:r>
        <w:rPr>
          <w:rFonts w:ascii="arial" w:eastAsia="arial" w:hAnsi="arial" w:cs="arial"/>
          <w:color w:val="000000"/>
          <w:sz w:val="20"/>
          <w:lang w:val="en-US" w:eastAsia="en-US" w:bidi="ar-SA"/>
        </w:rPr>
        <w:t>, R.S.B.C., c. 333. Section 4 reads:</w:t>
      </w:r>
      <w:r>
        <w:rPr>
          <w:rFonts w:ascii="arial" w:eastAsia="arial" w:hAnsi="arial" w:cs="arial"/>
          <w:sz w:val="20"/>
          <w:lang w:val="en-US" w:eastAsia="en-US" w:bidi="ar-SA"/>
        </w:rPr>
        <w:cr/>
      </w:r>
    </w:p>
    <w:p>
      <w:pPr>
        <w:numPr>
          <w:numId w:val="25"/>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damage or loss has been caused by the fault of 2 or more persons, the court must determine the degree to which each person was at fault.</w:t>
      </w:r>
    </w:p>
    <w:p>
      <w:pPr>
        <w:numPr>
          <w:numId w:val="25"/>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Except as provided in section 5 if 2 or more persons are found at fault</w:t>
      </w:r>
    </w:p>
    <w:p>
      <w:pPr>
        <w:numPr>
          <w:numId w:val="26"/>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they are jointly and severally liable to the person suffering the damage or loss, and</w:t>
      </w:r>
    </w:p>
    <w:p>
      <w:pPr>
        <w:numPr>
          <w:numId w:val="26"/>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as between themselves, in the absence of a contract express or implied, they are liable to contribute to and indemnify each other in the degree to which they are respectively found to have been at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The loss claimed by the plaintiff is the same loss that arises from the alleged wrongdoing of the defendants and the third parties. If the third parties are found to be negligent, it is unlikely that such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would be imputed to the plaintiff. The case at bar falls into the exception created in </w:t>
      </w:r>
      <w:r>
        <w:rPr>
          <w:rFonts w:ascii="arial" w:eastAsia="arial" w:hAnsi="arial" w:cs="arial"/>
          <w:b/>
          <w:i/>
          <w:color w:val="000000"/>
          <w:sz w:val="20"/>
          <w:lang w:val="en-US" w:eastAsia="en-US" w:bidi="ar-SA"/>
        </w:rPr>
        <w:t>Adams</w:t>
      </w:r>
      <w:r>
        <w:rPr>
          <w:rFonts w:ascii="arial" w:eastAsia="arial" w:hAnsi="arial" w:cs="arial"/>
          <w:color w:val="000000"/>
          <w:sz w:val="20"/>
          <w:lang w:val="en-US" w:eastAsia="en-US" w:bidi="ar-SA"/>
        </w:rPr>
        <w:t>. Consequently, the third party proceedings should be allowed to stand.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third party application is dismissed. The defendants will have their costs of this application at level three.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METZGER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15" style="position:absolute;z-index:25180774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55"/>
          <w:headerReference w:type="default" r:id="rId956"/>
          <w:footerReference w:type="even" r:id="rId957"/>
          <w:footerReference w:type="default" r:id="rId958"/>
          <w:headerReference w:type="first" r:id="rId959"/>
          <w:footerReference w:type="first" r:id="rId96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61" w:history="1">
        <w:r>
          <w:rPr>
            <w:rFonts w:ascii="arial" w:eastAsia="arial" w:hAnsi="arial" w:cs="arial"/>
            <w:b/>
            <w:bCs/>
            <w:i/>
            <w:color w:val="0077CC"/>
            <w:kern w:val="32"/>
            <w:sz w:val="28"/>
            <w:szCs w:val="32"/>
            <w:u w:val="single"/>
            <w:shd w:val="clear" w:color="auto" w:fill="FFFFFF"/>
            <w:lang w:val="en-US" w:eastAsia="en-US" w:bidi="ar-SA"/>
          </w:rPr>
          <w:t>Pushee (Guardian ad litem of) v. Roland, [2002] B.C.J. No. 2877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Burnyeat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December 16 and 17,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20,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S010094</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[2002] B.C.J. No. 2877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2002 BCSC 1771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118 A.C.W.S. (3d) 744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Kathryn Weaver Pushee, an infant by her Guardian ad litem, Gordon Edward Pushee, plaintiff, and Dr. Elke Roland, Dr. Michael Stephenson, Dr. Alan McGregor, British Columbia Children's Hospital operated by Children's &amp; Women's Health Centre of British Columbia, Sunny Hill Hospital for Children operated by Chldren's &amp; Women's Health Centre of British Columbia, and the said Children's &amp; Women's Health Centre of British Columbia,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(26 paras.)</w:t>
      </w:r>
    </w:p>
    <w:p>
      <w:pPr>
        <w:jc w:val="both"/>
        <w:rPr>
          <w:rFonts w:ascii="arial" w:eastAsia="arial" w:hAnsi="arial" w:cs="arial"/>
          <w:sz w:val="20"/>
          <w:lang w:val="en-US" w:eastAsia="en-US" w:bidi="ar-SA"/>
        </w:rPr>
      </w:pPr>
      <w:bookmarkStart w:id="229" w:name="Counsel_46"/>
      <w:bookmarkEnd w:id="22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16" style="position:absolute;z-index:2517063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A.E. Farber, for the plaintiff. M.L. McBride and S.L. Ion, for the defendant, Dr. Michael Stephenson.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30" w:name="Judgment_46"/>
      <w:bookmarkEnd w:id="230"/>
      <w:r>
        <w:pict>
          <v:line id="_x0000_s1217" style="position:absolute;z-index:251757568"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31" w:name="BURNYEAT J._1"/>
            <w:bookmarkEnd w:id="231"/>
            <w:r>
              <w:rPr>
                <w:rFonts w:ascii="arial" w:eastAsia="arial" w:hAnsi="arial" w:cs="arial"/>
                <w:b/>
                <w:color w:val="000000"/>
                <w:sz w:val="30"/>
                <w:lang w:val="en-US" w:eastAsia="en-US" w:bidi="ar-SA"/>
              </w:rPr>
              <w:t>BURNYEAT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Dr. Stephenson applies pursuant to Rule 18A of the Rules of Court that the action against him be dismissed. This is a medical malpractice action relating to an alleged delay in diagnosis and treatment of homocystinuria in the infant Plaintiff. The application of Dr. Stephenson is opposed by the Plaintiff who submits that it is inappropriate for the issues between the parties to be determined under Rule 18A and that the issue should be referred to the trial which is scheduled to commence in March,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CLAIM AGAINST DR. STEPHENSON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General and special damages are claimed against Dr. Stephenson on the basis that he owed a duty of care to the infant Plaintiff and that he "...negligently failed to use reasonable care, skill and diligence in providing medical examinations, diagnosis and ongoing treatment and advice to [the infant Plaintiff]...." of the metabolic disorder known as homocystinuria.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Particulars given of the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include advising that a formal medical investigation for diagnostic purposes was not necessary, failing to obtain an adequate medical history, failing to consider the medical history obtained in formulating a course of treatment for the infant Plaintiff, failing to undertake or to order adequate diagnostic tests or examinations, failing to respond to the symptoms of the disorder in order to obtain further diagnostic testing, failing to admit the infant Plaintiff to hospital for further diagnosis and monitoring, failing to observe the signs which were the manifestation of the illness, failing to diagnose the illness, failing to refer the infant Plaintiff to a metabolic specialist, failing to ensure that diagnostic testing of the infant Plaintiff was completed within a reasonable time after it had been ordered, and failing to obtain the results of the diagnostic tests within a reasonable time after they had been performed.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In the Statement of Defence, Dr. Stephenson denies that he was guilty of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with respect to any care or treatment given to the infant Plaintiff and that all medical care, treatment and advice given was in accordance with standard and approved medical practice.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daycare operator of the infant Plaintiff observed certain delays in her development which gave her concern. That included difficulty in socializing, her lack of balance, the manner in which she walked, the fact that she kept falling over, the fact that she was walking into doorways, and her general lack of concentration. The daycare operator suggested to the mother of the infant Plaintiff that the infant Plaintiff appeared to be a "special needs child" and suggested that she be taken to the family doctor in order that a referral to a paediatric neurologist could be obtained.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 referral was made to the Defendant, Dr. Elke Roland, who is a paediatric neurologist. The mother of the infant Plaintiff and the infant Plaintiff met with her on October 7, 1993. When questioned about the cause of the delay in development, the mother reports Dr. Roland as saying "Sometimes these things just happen". Dr. Roland suggested a referral to Sunny Hill Hospital for Children for developmental testing. In her October 1, 2002 Affidavit, the mother of the infant Plaintiff states that the purpose of the referral to Sunny Hill: "...to determine the extent of the developmental delay and a recommended course of action for Kathryn [the infant Plaintiff] with respect to her educational needs and her social needs".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Dr. Stephenson is a physician with a specialty as a developmental paediatrician. He retired from practice in 1998. In the mid-1980s, he began to work at Sunny Hill as a developmental paediatrician. He described his specialty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Developmental paediatrics is a sub-specialty that first involves the assessment of children with disabilities and second, helps determine the appropriate remediation for those children. This remediation would largely involve training the child to function with his or her disabilities, rather than the prescriptions of medicine.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Dr. Stephenson saw the infant Plaintiff and her mother on May 9, 1994 and spent approximately 90 minutes with them. His "Assessment Summary" stated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has had both physiotherapy and occupational therapy assessments through the Health Department. At 3 years 8 months she was found to have a 1 1/2 year delay in her gross motor skills and a similar delay in her fine motor skills.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found:</w:t>
      </w:r>
    </w:p>
    <w:p>
      <w:pPr>
        <w:numPr>
          <w:numId w:val="1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her verbal skills are in the slow learned to low average range of ability, but that</w:t>
      </w:r>
    </w:p>
    <w:p>
      <w:pPr>
        <w:numPr>
          <w:numId w:val="1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Her non-verbal skills were in the mildly mentally handicapped range. These are quite scattered, but all weak.</w:t>
      </w:r>
    </w:p>
    <w:p>
      <w:pPr>
        <w:numPr>
          <w:numId w:val="1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These findings agree with mother's assessment on the Alpern and Boll.</w:t>
      </w:r>
    </w:p>
    <w:p>
      <w:pPr>
        <w:numPr>
          <w:numId w:val="1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During the testing Kathryn exhibited lots of symptoms of ADHD such as impulsiveness and distractibility and restlessness.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recommend:</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Kathryn would benefit from being in a special needs daycare program.</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needs a speech and language assessment which we shall arrange here.</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should benefit from formal occupational and physiotherapy through the Neurological Centre.</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Her eyes should be and will be rechecked shortly.</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should have a formal hearing assessment.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don't believe that any formal medical investigation is indicated.</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We will get a progress report on how she is doing in kindergarten with the idea that we would see her through this program and the end of the kindergarten year to evaluate her progress.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Dr. Stephenson also completed a "Medical Report" which stated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didn't have very much success in examining Kathryn. As in her daycare she had her own agenda and I was not included. Like Dr. Roland [the paediatric neurolo-gist] I don't think there is any mileage to be gained by medical investigation in the way of CT scan or plasma amino acid surveys. I am [a] little bit puzzled by the occurrence of myopia in the absence of any family history. I learned that there had been a problem with wax in the ears, but this has now been resolved and the eardrums appeared grossly normal. I do think it is important that she have a formal hearing evaluation when mother can arrange this through the Health Department or the Speech and Hearing Clinic.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understand that direct occupational therapy is not available through the Health Department so I have arranged referral to the Neurological Centre in Vancouver.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reference to myopia being absent in any family history was in error and this error was subsequently corrected by the mother of the infant Plaintiff in a discussion with Dr. Stephenson.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Dr. Stephenson states that, during the May 9, 1994 assessment, he was advised by the infant's mother that the possibility of further investigations including blood amino acids surveys had been discussed between the mother and Dr. Roland and that they had decided against such further investigation. The mother denies that there was such a conversation on May 9, 1994. Whether or not there was and whether or not Dr. Stephenson was aware of the recommendation made by Dr. Roland, it is clear that Dr. Roland had recommended a deferral of further investigations regarding the cause of the development delay of the infant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We now know that blood amino acids surveys would have led to a diagnosis and treatment of homocystinuria. Unfortunately, that diagnosis of this metabolic disorder was not made until June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DISCUSSION AND CASE AUTHORITIES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To succeed against Dr. Stephenson, the Plaintiff must establish that he failed to meet the standard of care of an ordinary competent paediatrician in the same circumstances. The duty of care of a physician was set out in Wilson v. Swanson </w:t>
      </w:r>
      <w:hyperlink r:id="rId962" w:history="1">
        <w:r>
          <w:rPr>
            <w:rFonts w:ascii="arial" w:eastAsia="arial" w:hAnsi="arial" w:cs="arial"/>
            <w:i/>
            <w:color w:val="0077CC"/>
            <w:sz w:val="20"/>
            <w:u w:val="single"/>
            <w:shd w:val="clear" w:color="auto" w:fill="FFFFFF"/>
            <w:lang w:val="en-US" w:eastAsia="en-US" w:bidi="ar-SA"/>
          </w:rPr>
          <w:t>[1956] S.C.R. 804</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"...must possess and use that reasonable degree of learning and skill ordinarily possessed by practitioners in similar communities in similar cases, and it is the duty of a specialist such as appellant, who holds himself [or herself] out as possessing special skill and knowledge, to have and exercise the degree of skill of an average specialist in his [or her] field ..." (at p. 817)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That test was further set out in ter Neuzen v. Korn </w:t>
      </w:r>
      <w:hyperlink r:id="rId740" w:history="1">
        <w:r>
          <w:rPr>
            <w:rFonts w:ascii="arial" w:eastAsia="arial" w:hAnsi="arial" w:cs="arial"/>
            <w:i/>
            <w:color w:val="0077CC"/>
            <w:sz w:val="20"/>
            <w:u w:val="single"/>
            <w:shd w:val="clear" w:color="auto" w:fill="FFFFFF"/>
            <w:lang w:val="en-US" w:eastAsia="en-US" w:bidi="ar-SA"/>
          </w:rPr>
          <w:t>(1995) 11 B.C.L.R. (3d) 201</w:t>
        </w:r>
      </w:hyperlink>
      <w:r>
        <w:rPr>
          <w:rFonts w:ascii="arial" w:eastAsia="arial" w:hAnsi="arial" w:cs="arial"/>
          <w:color w:val="000000"/>
          <w:sz w:val="20"/>
          <w:lang w:val="en-US" w:eastAsia="en-US" w:bidi="ar-SA"/>
        </w:rPr>
        <w:t xml:space="preserve"> (S.C.C.):</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 case of a specialist, such as a gynaecologist and obstetrician, the doctor's behaviour must be assessed in light of the conduct of other ordinary specialists, who possess a reasonable level of knowledge, competence and skill expected of profess-sionals in Canada, in that field. A specialist, such as the respondent, who holds himself out as possessing a special degree of skill and knowledge, must exercise the degree of skill of an average specialist in his field: see Wilson v. Swanson, </w:t>
      </w:r>
      <w:hyperlink r:id="rId962" w:history="1">
        <w:r>
          <w:rPr>
            <w:rFonts w:ascii="arial" w:eastAsia="arial" w:hAnsi="arial" w:cs="arial"/>
            <w:i/>
            <w:color w:val="0077CC"/>
            <w:sz w:val="20"/>
            <w:u w:val="single"/>
            <w:shd w:val="clear" w:color="auto" w:fill="FFFFFF"/>
            <w:lang w:val="en-US" w:eastAsia="en-US" w:bidi="ar-SA"/>
          </w:rPr>
          <w:t>[1956] S.C.R. 804</w:t>
        </w:r>
      </w:hyperlink>
      <w:r>
        <w:rPr>
          <w:rFonts w:ascii="arial" w:eastAsia="arial" w:hAnsi="arial" w:cs="arial"/>
          <w:color w:val="000000"/>
          <w:sz w:val="20"/>
          <w:lang w:val="en-US" w:eastAsia="en-US" w:bidi="ar-SA"/>
        </w:rPr>
        <w:t xml:space="preserve"> at 817, Lapointe c. HÈpital Le Gardeur, </w:t>
      </w:r>
      <w:r>
        <w:rPr>
          <w:rFonts w:ascii="arial" w:eastAsia="arial" w:hAnsi="arial" w:cs="arial"/>
          <w:i/>
          <w:color w:val="000000"/>
          <w:sz w:val="20"/>
          <w:lang w:val="en-US" w:eastAsia="en-US" w:bidi="ar-SA"/>
        </w:rPr>
        <w:t>[1992] 1 S.C.R. 351</w:t>
      </w:r>
      <w:r>
        <w:rPr>
          <w:rFonts w:ascii="arial" w:eastAsia="arial" w:hAnsi="arial" w:cs="arial"/>
          <w:color w:val="000000"/>
          <w:sz w:val="20"/>
          <w:lang w:val="en-US" w:eastAsia="en-US" w:bidi="ar-SA"/>
        </w:rPr>
        <w:t xml:space="preserve"> at 361, and McCormick v. Marcotte (1971), </w:t>
      </w:r>
      <w:hyperlink r:id="rId963" w:history="1">
        <w:r>
          <w:rPr>
            <w:rFonts w:ascii="arial" w:eastAsia="arial" w:hAnsi="arial" w:cs="arial"/>
            <w:i/>
            <w:color w:val="0077CC"/>
            <w:sz w:val="20"/>
            <w:u w:val="single"/>
            <w:shd w:val="clear" w:color="auto" w:fill="FFFFFF"/>
            <w:lang w:val="en-US" w:eastAsia="en-US" w:bidi="ar-SA"/>
          </w:rPr>
          <w:t>[1972] S.C.R. 18</w:t>
        </w:r>
      </w:hyperlink>
      <w:r>
        <w:rPr>
          <w:rFonts w:ascii="arial" w:eastAsia="arial" w:hAnsi="arial" w:cs="arial"/>
          <w:color w:val="000000"/>
          <w:sz w:val="20"/>
          <w:lang w:val="en-US" w:eastAsia="en-US" w:bidi="ar-SA"/>
        </w:rPr>
        <w:t>. (at p. 217)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also particularly important to emphasize, in the context of this case, that the conduct of physicians must be judged in the light of the knowledge that ought to have been reasonably possessed at the time of the alleged act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(at p. 214)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Dr. Stephenson is a paediatrician and, in judging his assessment of the infant Plaintiff, he is subject to the usual or average standard of a paediatrician in a similar community faced with a similar patient and similar history, including the fact that other treating specialists were involved in the medical care of the infant Plaintiff. In this regard, Dr. Stephenson was informed that the infant Plaintiff had been assessed by a paediatric neurologist and that the outcome of that assessment was a decision to defer diagnostic testing to a future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Plaintiff has not presented any expert evidence that Dr. Stephenson failed to meet the standard of care required of him or that he was negligent in any way. I am satisfied that this failure is fatal to the claim advanced on behalf of the infant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On behalf of the majority in ter Neuzen, Sopinka, J. cited with approval the following passage of Fleming, The Law of Torts (7th ed., 1987):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Common practice plays its most conspicuous role in medical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actions. Conscious at once of the layman's ignorance of medical science and apprehensive of the impact of jury bias on a peculiarly vulnerable profession, courts have resorted to the safeguard of insisting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diagnosis and treatment (including disclosure of risks) cannot ordinarily be established without the aid of expert testimony or in the teeth of conformity with accepted medical prac-tice. However there is no categorical rule. Thus an accepted practice is open to censure by a jury (nor expert testimony required) at any rate in matters not involving diagnostic or clinical skills, on which an ordinary person may presume to pass judgment sensibly, like omission to inform the patient of risks, failure to remove a sponge, an explosion set off by an admix-ture of ether vapour and oxygen or injury to a pa-tient's body outside the area of treatment. (at p. 110)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dealing with this exception set out by Professor Fleming, Sopinka, J. in ter Neuzen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evident from the foregoing passage that while conformity with common practice will generally exonerate physicians of any complaint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there are certain situations where the standard practice itself may be found to be negligent. However, this will only be where the standard practice is "fraught with obvious risks" such that anyone is capable of finding it negligent, without the necessity of judging matters requiring diagnostic or clinical expertise. (at p. 217)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seems that it is only where the practice does not conform with basic care which is easily understood by the ordinary person who has no particular expertise in the practices of the profession. That is, as Profes-sor Fleming suggests, where the common practice is fraught with danger, a judge or a jury may find that the practice is itself negligent. (at p. 218)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the absence of expert evidence to the contrary, the procedures adopted by Dr. Stephenson are assumed not to be negligent. In ter Neuzen, Sopinka, J.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generally accepted that when a doctor acts in accordance with a recognized and respectable practice of the profession, he or she will not be found to be negligent. This is because courts do not ordinarily have the expertise to tell professionals that they are not behaving appropriately in their field. In a sense, the medical profession as a whole is assumed to have adopted procedures which are in the best interests of patients and are not inherently negligent. (at p. 216)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This principle has been adopted in British Columbia in the following decisions:</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Zeledon v. Kelowna General Hospital </w:t>
      </w:r>
      <w:hyperlink r:id="rId964" w:history="1">
        <w:r>
          <w:rPr>
            <w:rFonts w:ascii="arial" w:eastAsia="arial" w:hAnsi="arial" w:cs="arial"/>
            <w:i/>
            <w:color w:val="0077CC"/>
            <w:sz w:val="20"/>
            <w:u w:val="single"/>
            <w:shd w:val="clear" w:color="auto" w:fill="FFFFFF"/>
            <w:lang w:val="en-US" w:eastAsia="en-US" w:bidi="ar-SA"/>
          </w:rPr>
          <w:t>[1996] B.C.J. No. 2868</w:t>
        </w:r>
      </w:hyperlink>
      <w:r>
        <w:rPr>
          <w:rFonts w:ascii="arial" w:eastAsia="arial" w:hAnsi="arial" w:cs="arial"/>
          <w:color w:val="000000"/>
          <w:sz w:val="20"/>
          <w:lang w:val="en-US" w:eastAsia="en-US" w:bidi="ar-SA"/>
        </w:rPr>
        <w:t xml:space="preserve"> (B.C.S.C.): "The burden is on the plaintiff to prove the defendant doctors fell below the required standards of care and to provide evidence to support these allegations. Here, the defendants have provided evidence to support the standard of care and that it has been met. Not only has the plaintiff not provided evidence to the contrary, but the plaintiff's own evidence supports the defendants." (at para. 41);</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Steeves v. Air Canada </w:t>
      </w:r>
      <w:hyperlink r:id="rId965" w:history="1">
        <w:r>
          <w:rPr>
            <w:rFonts w:ascii="arial" w:eastAsia="arial" w:hAnsi="arial" w:cs="arial"/>
            <w:i/>
            <w:color w:val="0077CC"/>
            <w:sz w:val="20"/>
            <w:u w:val="single"/>
            <w:shd w:val="clear" w:color="auto" w:fill="FFFFFF"/>
            <w:lang w:val="en-US" w:eastAsia="en-US" w:bidi="ar-SA"/>
          </w:rPr>
          <w:t>[1996] B.C.J. No. 2879</w:t>
        </w:r>
      </w:hyperlink>
      <w:r>
        <w:rPr>
          <w:rFonts w:ascii="arial" w:eastAsia="arial" w:hAnsi="arial" w:cs="arial"/>
          <w:color w:val="000000"/>
          <w:sz w:val="20"/>
          <w:lang w:val="en-US" w:eastAsia="en-US" w:bidi="ar-SA"/>
        </w:rPr>
        <w:t xml:space="preserve"> (B.C.S.C.): "Absent any expert evidence that Dr. Boileau should have done something other than what he did, it is not open to the court to infer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from the fact that at a later date another physician ... considered a further alternative and identified a possible renal problem." (at para. 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See also the decisions in: Hampton v. Marshall </w:t>
      </w:r>
      <w:hyperlink r:id="rId966" w:history="1">
        <w:r>
          <w:rPr>
            <w:rFonts w:ascii="arial" w:eastAsia="arial" w:hAnsi="arial" w:cs="arial"/>
            <w:i/>
            <w:color w:val="0077CC"/>
            <w:sz w:val="20"/>
            <w:u w:val="single"/>
            <w:shd w:val="clear" w:color="auto" w:fill="FFFFFF"/>
            <w:lang w:val="en-US" w:eastAsia="en-US" w:bidi="ar-SA"/>
          </w:rPr>
          <w:t>[1997] B.C.J. No. 558</w:t>
        </w:r>
      </w:hyperlink>
      <w:r>
        <w:rPr>
          <w:rFonts w:ascii="arial" w:eastAsia="arial" w:hAnsi="arial" w:cs="arial"/>
          <w:color w:val="000000"/>
          <w:sz w:val="20"/>
          <w:lang w:val="en-US" w:eastAsia="en-US" w:bidi="ar-SA"/>
        </w:rPr>
        <w:t xml:space="preserve"> (B.C.S.C.); Gibson v. Henniger </w:t>
      </w:r>
      <w:hyperlink r:id="rId967" w:history="1">
        <w:r>
          <w:rPr>
            <w:rFonts w:ascii="arial" w:eastAsia="arial" w:hAnsi="arial" w:cs="arial"/>
            <w:i/>
            <w:color w:val="0077CC"/>
            <w:sz w:val="20"/>
            <w:u w:val="single"/>
            <w:shd w:val="clear" w:color="auto" w:fill="FFFFFF"/>
            <w:lang w:val="en-US" w:eastAsia="en-US" w:bidi="ar-SA"/>
          </w:rPr>
          <w:t>[1997] B.C.J. No. 779</w:t>
        </w:r>
      </w:hyperlink>
      <w:r>
        <w:rPr>
          <w:rFonts w:ascii="arial" w:eastAsia="arial" w:hAnsi="arial" w:cs="arial"/>
          <w:color w:val="000000"/>
          <w:sz w:val="20"/>
          <w:lang w:val="en-US" w:eastAsia="en-US" w:bidi="ar-SA"/>
        </w:rPr>
        <w:t xml:space="preserve"> (B.C.S.C.); and LeBlanc v. Regan </w:t>
      </w:r>
      <w:hyperlink r:id="rId968" w:history="1">
        <w:r>
          <w:rPr>
            <w:rFonts w:ascii="arial" w:eastAsia="arial" w:hAnsi="arial" w:cs="arial"/>
            <w:i/>
            <w:color w:val="0077CC"/>
            <w:sz w:val="20"/>
            <w:u w:val="single"/>
            <w:shd w:val="clear" w:color="auto" w:fill="FFFFFF"/>
            <w:lang w:val="en-US" w:eastAsia="en-US" w:bidi="ar-SA"/>
          </w:rPr>
          <w:t>[1995] B.C.J. No. 2577</w:t>
        </w:r>
      </w:hyperlink>
      <w:r>
        <w:rPr>
          <w:rFonts w:ascii="arial" w:eastAsia="arial" w:hAnsi="arial" w:cs="arial"/>
          <w:color w:val="000000"/>
          <w:sz w:val="20"/>
          <w:lang w:val="en-US" w:eastAsia="en-US" w:bidi="ar-SA"/>
        </w:rPr>
        <w:t xml:space="preserve">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 am satisfied that this is not the type of case where the Court can find Dr. Stephenson negligent in the absence of expert evidence that he was. I am satisfied that questions of the clinical assessment of the infant Plaintiff's mild global developmental delay, the ability to determine the cause of such a developmental delay, the likelihood that testing would or would not determine the cause of such a developmental delay, and the related decision as to whether or not diagnostic testing should be pursued at a given time in all of the clinical circumstances all required expert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 cannot conclude that the alleged failures constitute matters not involving diagnostic or clinical skills on which an ordinary person may pass judgment sensibly. These alleged failures are not matters which can be easily understood by the ordinary person having no particular expertise in the practices of an ordinary competent paediatrician.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In the absence of expert evidence critical of his conduct, I am satisfied that it would be inappropriate to assume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to find Dr. Stephenson liable for his failure to meet the duty of care that was imposed upon him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Plaintiffs had ample time to arrange for expert evidence. Most of the materials which are before me today were served on counsel for the Plaintiff on August 30, 2002. When other matters came before Madam Justice Baker on September 24, 2002, an order was made that this application be adjourned to December 16, 2002, and that the Plaintiff was required to serve any and all expert evidence upon which he intended to rely in response to this application on or before October 24,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the circumstances, the action against Dr. Stephenson is dismissed without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BURNYEAT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18" style="position:absolute;z-index:25180876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69"/>
          <w:headerReference w:type="default" r:id="rId970"/>
          <w:footerReference w:type="even" r:id="rId971"/>
          <w:footerReference w:type="default" r:id="rId972"/>
          <w:headerReference w:type="first" r:id="rId973"/>
          <w:footerReference w:type="first" r:id="rId97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75" w:history="1">
        <w:r>
          <w:rPr>
            <w:rFonts w:ascii="arial" w:eastAsia="arial" w:hAnsi="arial" w:cs="arial"/>
            <w:b/>
            <w:bCs/>
            <w:i/>
            <w:color w:val="0077CC"/>
            <w:kern w:val="32"/>
            <w:sz w:val="28"/>
            <w:szCs w:val="32"/>
            <w:u w:val="single"/>
            <w:shd w:val="clear" w:color="auto" w:fill="FFFFFF"/>
            <w:lang w:val="en-US" w:eastAsia="en-US" w:bidi="ar-SA"/>
          </w:rPr>
          <w:t>Royce Holdings Inc. v. Jupe, [2018] B.C.J. No. 3672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R.A. Skolrood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9-12, 15-18,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November 19,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S131463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[2018] B.C.J. No. 3672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2018 BCSC 2025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Royce Holdings Inc., Plaintiff, and Robert Jupe, Brian Larsen and Madech Mortgage Corporation,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(142 paras.)</w:t>
      </w:r>
    </w:p>
    <w:p>
      <w:pPr>
        <w:jc w:val="both"/>
        <w:rPr>
          <w:rFonts w:ascii="arial" w:eastAsia="arial" w:hAnsi="arial" w:cs="arial"/>
          <w:sz w:val="20"/>
          <w:lang w:val="en-US" w:eastAsia="en-US" w:bidi="ar-SA"/>
        </w:rPr>
      </w:pPr>
      <w:bookmarkStart w:id="232" w:name="Counsel_47"/>
      <w:bookmarkEnd w:id="23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19" style="position:absolute;z-index:2517073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Representative for Plaintiff Company, appearing in person: I.R. Sisett.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Representative for Defendant Company, Madech Mortgage Corporation appearing in person: M. deChamplain.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Defendant, Brian Larsen appearing on his own behalf: B. Larsen.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33" w:name="Judgment_47"/>
      <w:bookmarkEnd w:id="233"/>
      <w:r>
        <w:pict>
          <v:line id="_x0000_s1220" style="position:absolute;z-index:25175859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0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34" w:name="R.A. SKOLROOD J."/>
            <w:bookmarkEnd w:id="234"/>
            <w:r>
              <w:rPr>
                <w:rFonts w:ascii="arial" w:eastAsia="arial" w:hAnsi="arial" w:cs="arial"/>
                <w:b/>
                <w:color w:val="000000"/>
                <w:sz w:val="30"/>
                <w:lang w:val="en-US" w:eastAsia="en-US" w:bidi="ar-SA"/>
              </w:rPr>
              <w:t>R.A. SKOLROOD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action involves a mortgage investment made by the plaintiff Royce Holdings Inc. ("RHI") in a property located in Whitecroft, BC (the "Property"), close to the Sun Peaks Resort. RHI's investment consisted of two advances totalling $158,000, and was secured by a second mortgage registered against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In November 2011, CIBC Mortgages Inc. ("CIBC"), the holder of the first mortgage on the Property, commenced foreclosure proceedings and in January 2013, the Property was sold for less than the amount of the first mortgage. As a result, RHI's security was extinguished and it lost the entirety of its investment.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RHI now sues for damages. The defendant Brian Larsen ("Larsen"), is a mortgage broker who proposed the investment to RHI and who acted on its behalf in securing and administering the mortgage. The defendant Madech Mortgage Corporation ("Madech") is a mortgage broker company with which Larsen was affiliated at certain material times.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defendant Robert Jupe ("Jupe") guaranteed RHI's second mortgage. His wife, Roberta McCallum ("McCallum"), was the registered owner of the Property and the principal debtor but she declared bankruptcy in January 2012. RHI obtained default judgment against Jupe on May 19, 2017, with damages to be assessed. That assessment took place as part of the trial. Jupe was called as a witness in RHI's case but did not otherwise participate in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background facts are relatively straightforward, although the parties have different perspectives about the events giving rise to the dispute. I will summarize the evidence of each party and then will deal with the factual disputes when addressing the issues that arise.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RHI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RHI is a family holding company, one of the directors of which is Ian Sisett ("Sisett"). Sisett is a retired lawyer who practised for many years in Vancouver before retiring and relocating to Kelowna. According to Sisett, RHI is a vehicle used to manage and invest his family's retirement funds.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During the time in which he practised in Vancouver, Sisett had an office in a building on West Broadway. The defendant Larsen also had an office in the same building.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As noted, Larsen is a mortgage broker. For approximately 25 years up until about November 2007, he was affiliated with a mortgage company called Barclay Capital. When the principal of Barclay Capital retired, Larsen joined up with Madech in the role of Senior Vice President.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Madech is owned by Michael deChamplain ("deChamplain"), who is also a licenced mortgage broker.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According to Sisett, in or around July 2007, he and Larsen were discussing possible investments by Sisett, through RHI, and Larsen suggested a mortgage investment in the Property. Larsen had previously worked with Sisett on a mortgage investment in a Kelowna property that had gone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According to Sisett, he made it clear to Larsen that he was looking for a "worry free investment". He alleges that Larsen represented to him that McCallum had a very good credit rating, that the Property produced good rental income given its proximity to Sun Peaks and that there was an independent appraisal supporting the value of the Property. Sisett says that Larsen promoted the investment as being very good. He says that he trusted Larsen's assessment and recommendation.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support of the investment, Larsen provided Sisett with a package of materials including:</w:t>
      </w:r>
      <w:r>
        <w:rPr>
          <w:rFonts w:ascii="arial" w:eastAsia="arial" w:hAnsi="arial" w:cs="arial"/>
          <w:sz w:val="20"/>
          <w:lang w:val="en-US" w:eastAsia="en-US" w:bidi="ar-SA"/>
        </w:rPr>
        <w:cr/>
      </w:r>
    </w:p>
    <w:p>
      <w:pPr>
        <w:numPr>
          <w:numId w:val="1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statement setting out the details of the first mortgage on the Property;</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appraisal of the Property dated September 29, 2007 by Turner Appraisals Ltd. (the "Turner Appraisal") indicating a market value of $810,200; and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mortgage application form from McCallum to Madech, which included a statement of assets and liabilities as well as a credit report for McCallum.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addition, Larsen provided a term sheet on Barclay Capital letterhead outlining the terms of the proposed mortgage investment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Borrower: Roberta McCallum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Guarantor: Rob Jupe - Husband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Loan Amount: $108,000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Term: 1 year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Interest rate: 14%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Security: Second Mortgage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Chattel Mortgage on all furnishings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Assignment of Rents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Fire Insurance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500,000 shares of stock, Chanaral Resources Inc., 144 stock reported by Mr. Jupe to be free trading in March. To be held as additional collateral.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First Mortgage: First Line Mortgages, balance October 10,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091"/>
        <w:gridCol w:w="836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04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$543,000.00</w:t>
            </w:r>
          </w:p>
        </w:tc>
        <w:tc>
          <w:tcPr>
            <w:tcW w:w="819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Property: Sun Peaks 7333-7335 Cahilty Crescent, Whitecroft, B.C.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 acre lot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Appraisal: September 29, 2007, $810,200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On or about November 27, 2007, RHI advanced $100,000 to the lawyers stipulated by Larsen. A further $8,000 was sent on November 28, 2007, bringing the total to $108,000 (the "first investment").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That advance was secured by:</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second mortgage on the Property in favour of RHI dated November 30, 2008 (the "Mortgage") and an assignment of rents. The Mortgage was signed by McCallum as borrower and Jupe as guarantor;</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Certificate of Insurance; and</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PPSA Security Agreement covering all personal property located at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All of these were provided to Sisett on behalf of RHI, along with an Authority to Pay on behalf of McCallum and Jupe authorizing the disbursement of the $108,000 as follows:</w:t>
      </w:r>
      <w:r>
        <w:rPr>
          <w:rFonts w:ascii="arial" w:eastAsia="arial" w:hAnsi="arial" w:cs="arial"/>
          <w:sz w:val="20"/>
          <w:lang w:val="en-US" w:eastAsia="en-US" w:bidi="ar-SA"/>
        </w:rPr>
        <w:cr/>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$1,435.16 in legal fees;</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$7,000 brokerage fee payable to Madech (on top of $1,000 already paid);</w:t>
      </w:r>
    </w:p>
    <w:p>
      <w:pPr>
        <w:numPr>
          <w:numId w:val="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$99,434.26 to discharge the existing second mortgage; and</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$130.58 balance to McCallum.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It was common ground in the evidence that the $7,000 brokerage fee payable to Madech was split evenly between Madech and Larsen. The additional $1,000 fee had been paid to Barclay Capital. This is because when the mortgage investment was first proposed, Larsen was affiliated with Barclay.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On or about December 3, 2007, Madech was provided with 12 post-dated cheques payable to RHI in the amount of $1,470 covering the period of December 29, 2007 to December 29,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November 2008, Larsen approached Sisett about a further loan of $50,000. Sisett says that Larsen again assured him that it was a good investment, that the security was strong and the Property was listed for sale at an attractive price. He understood that the additional amount would be used to clear a third mortgage off the Property thus allowing completion of the 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Larsen described the proposed increase in RHI's investment in a letter to Sisett dated November 25, 2008, on Madech letterhead: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Pursuant to our lunch conversation, the borrowers have asked if you would consider increasing your existing second mortgage, currently $108,000., to $158,000.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use of funds is to pay out a third mortgage which Mr. Jupe borrowed to pay off a stock debt and is extremely onerous.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propose to modify your existing mortgage leaving the term and rate the same. As agreed we would lock in the mortgage for a minimum of three months interest and a $1,000. lender fee. We would also deduct from proceeds 6 months interest at $1843. per month.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property is listed at $895,000. and appraised at $832,000. Cash flow from the 5 rentals as stated by borrower is $3,750. per month less utilities of $475. for a net cash flow of $3,275. per month.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Their 3 bedroom unit could be rented at $1,450 to $1,625 per month if necessary. The first mortgage is $532,000 at $2,750 per month.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talked to the realtor about price and selling time, they cannot be specific. They advise that the home is in very good condition and could be stratified to two units which they would list at $450,000. per side. With the larger rental income the property is desirable to a potential buyer. They said lowering the price to $775,000. to $800,000. should enable a quick sale if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019"/>
        <w:gridCol w:w="54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91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$532,000. + $158,000. = $690,000.</w:t>
            </w:r>
          </w:p>
        </w:tc>
        <w:tc>
          <w:tcPr>
            <w:tcW w:w="5325"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$690,000 there would appear to be considerable equity in the event of a default. Their credit is very good and the income is there to service the first mortgage.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RHI agreed to the proposal and advanced a further $50,000 on December 5, 2008 (the "second investment"). The first mortgage was modified to encompass the total loan amount of $158,000 and the existing PPSA security charge was renewed.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Pursuant to an Order to Pay dated December 10, 2008, the $50,000 was distributed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69"/>
        <w:gridCol w:w="1464"/>
        <w:gridCol w:w="282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 Legal fees</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$1,181.65</w:t>
            </w:r>
          </w:p>
        </w:tc>
        <w:tc>
          <w:tcPr>
            <w:tcW w:w="2765"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 Lender's fee to RHI</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$1,000</w:t>
            </w:r>
          </w:p>
        </w:tc>
        <w:tc>
          <w:tcPr>
            <w:tcW w:w="2765"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 Payout of existing third mortgage</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$36,100</w:t>
            </w:r>
          </w:p>
        </w:tc>
        <w:tc>
          <w:tcPr>
            <w:tcW w:w="2765"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 Six months interest reserve payable to RHI</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$11,058</w:t>
            </w:r>
          </w:p>
        </w:tc>
        <w:tc>
          <w:tcPr>
            <w:tcW w:w="2765"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 Balance</w:t>
            </w:r>
          </w:p>
        </w:tc>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$1,660.35</w:t>
            </w:r>
          </w:p>
        </w:tc>
        <w:tc>
          <w:tcPr>
            <w:tcW w:w="2765"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the spring of 2009, the post-dated cheques RHI had received from McCallum and Jupe began to bounce. Larsen was able to secure some additional payments for RHI but then the payments ceased entirely. According to Sisett, Larsen repeatedly told him not to worry as Jupe was working on subdividing the Property which, when completed, would enhance the sale price.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November 2011, CIBC, which held the first mortgage on the Property, commenced foreclosure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January 2012, McCallum declared personal bankruptcy.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Around the same time, Sisett went to inspect the Property. He says that it was at this time that he discovered that the Property was "nowhere near" Sun Peaks, that a number of the suites in the Property were essentially un-rentable and that there were only two units actually rented out. He also drove to Sun Peaks and discovered that there was plenty of accommodation available for employees and that the real estate prices were well below the proposed sale price of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According to Sisett, Larsen approached him about entering into a partnership with Jupe and a Jim Ericksteen to purchase the Property out of foreclosure, however he was reluctant to put up more money.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Ultimately, in January 2013, the Property was sold out of foreclosure for $390,000.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RHI called Jupe as a witness in its case. Jupe did not take issue with his obligation pursuant to his guarantee of the Mortgage and the default judgment obtained against him. Nor did he disagree with RHI's calculation of the amount owing of approximately $180,000. I will return to the specific calculation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Jupe was a poor historian and professed to have minimal knowledge of many of the circumstances surrounding RHI's investment. He said that his wife, McCallum, handled the details. For example, he had difficulty identifying where the money invested by RHI went or how it was 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Jupe described himself, in respect to the 2006-2007 period, as an entrepreneur, which in his own words was "another name for unemployed". He said that he did not provide any income tax documents to Larsen in connection with the RHI investment and does not recall if he was asked for such documentation.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According to Jupe, he offered the Chanaral shares to Larsen as further security, although the shares had no value at the time as they were not tradeable. He says Larsen was aware of that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Jupe acknowledged that he arranged for the Turner Appraisal. He understood that Mr. Turner was an approved bank appraiser. Jupe said he argued with Turner about the appraisal because he thought it undervalued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Jupe said that beginning in or around the fall of 2008, he and McCallum began the process of trying to subdivide the Property into two strata lots. As part of the process, they discovered that the Property was in the Agricultural Land Reserve ("ALR"), which was a surprise to them. Jupe said that the Property had been included in the ALR in error, but when they tried to correct that error, it turned into a long and complicated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Jupe also acknowledged that after CIBC initiated foreclosure proceedings, he was involved in trying to put a deal together involving RHI and Eriksteen to purchase the Property. As with much of his evidence, Jupe was vague on the details of this proposed deal. That said, he expressed surprise that Sisett/RHI did not take some steps to try to salvage the investment.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Jupe took the position that he and his wife ran into trouble with the Property because of the ALR issue and the time it took to get approval for subdividing the Property. It was during that period that the real estate market collapsed. In his words, they "ran out of runway" with respect to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RHI also relies on two expert reports that were entered into evidence:</w:t>
      </w:r>
      <w:r>
        <w:rPr>
          <w:rFonts w:ascii="arial" w:eastAsia="arial" w:hAnsi="arial" w:cs="arial"/>
          <w:sz w:val="20"/>
          <w:lang w:val="en-US" w:eastAsia="en-US" w:bidi="ar-SA"/>
        </w:rPr>
        <w:cr/>
      </w:r>
    </w:p>
    <w:p>
      <w:pPr>
        <w:numPr>
          <w:numId w:val="1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"Retrospective Market Value Appraisal" of the Property prepared by Ross MacDougall dated November 4, 2013; and</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report dated October 2, 2017 by a mortgage broker, Mr. Angus Carnegie-Dunlop, purporting to address the standard of care of a submortgage broker and related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 will deal with this evidence in detail below when considering RHI's claims.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Larsen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While Larsen and Madech in some respects presented a common front in their defence of RHI's claims, their interests do not align completely. It is therefore useful to deal with their evidence separately.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Larsen has been in the mortgage business for 51 years, primarily as a submortgage broker. He was affiliated with Barclay Capital for 25 years until Barclay's principal retired in 2007 and Larsen joined up with Madech. Larsen made a point of saying that in his entire career in the mortgage business, this is the first time he has ever been sued.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According to Larsen, Madech brought him the mortgage investment opportunity involving the Property. At the time, the borrowers were looking to replace an existing mortgage of $100,000. Around the same time, Madech arranged a new first mortgage on the Property with CIBC. That mortgage was actually for an increased amount over the existing first mortgage, from $445,000 to $555,000. McCallum as owner of the Property was the borrower and Larsen viewed this as a recognition of her good credit. Jupe was not a guarantor of that mortgage nor was he a guarantor of the existing second mortgage. Larsen said he added Jupe as a guarantor of the RHI Mortgage because it was his practice to obtain as much security as 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That is also why he agreed to take the Chanaral shares when they were offered by Jupe, although it was clear on the face of the shares that they had no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Larsen ordered a new appraisal of the Property which resulted in the Turner Appraisal. According to Larsen, Turner was the local accredited appraiser for the bank. Larsen says he also verified the Property value with a local realtor who, in his view, often had a better sense of market value than even the appraisers.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Larsen said that based on the Turner Appraisal, the amount of equity in the Property, and McCallum's high credit rating, he considered this to be a good and safe investment for RHI.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He says he presented the information to Sisett, who approved the investment on behalf of RHI. Again, RHI issued the bulk of the funds on November 27,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Just prior to this, in October 2007, Larsen says that the principal of Barclay Capital retired and Larsen began his affiliation with Madech. Because Larsen had a submortgage licence, he needed to be employed by or affiliated with a mortgage brokerage.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Over the course of the year, all payments were made on the second mortgage. In the fall of 2008, deChamplain advised Larsen that McCallum was looking for a further $50,000 and he asked if RHI would be interested in increasing and extending its investment.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Larsen says he spoke to local realtors who confirmed the value of the Property and then presented the proposal to Sisett. The proposal is set out in Larsen's letter to Sisett dated November 25, 2008, referred to above at para. 20. Sisett agreed and RHI made the additional investment.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According to Larsen, McCallum and Jupe initiated steps to stratify the Property, which turned into a difficult and lengthy process given the ALR issue. Further, their financial situation changed dramatically when the real estate market collapsed.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In 2011, CIBC initiated foreclosure proceedings on the Property. Larsen was not terribly troubled at that point and told Sisett that there was no need to obtain a lawyer or get involved. He said that the bank would get a six month redemption period and then would seek an order for sale. Larsen anticipated that the strata process would be complete by then but that did not occur.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According to Larsen, when it came time for the bank to apply for an order for sale, he contacted Sisett's lawyer and suggested that RHI appear at the hearing and seek conduct of sale. Larsen says that Sisett did not take this advice, did not appear at the sale hearing and, as a result, the Property was sold at a very low price. Larsen professed to be "dismayed" that Sisett failed to take any steps to salvage his investment.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Larsen's fundamental position is that he did proper due diligence in support of RHI's investment, that it was a sound investment at the time and that ultimately, RHI lost its investment due to circumstances that he could not anticipate or control, specifically the real estate market crash.</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Madech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DeChamplain testified on behalf of Madech. Like Larsen, deChamplain's involvement in the mortgage business dates back many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In 2006, deChamplain through Madech arranged a second mortgage on the Property for McCallum. The second mortgage loan came from a company called Fraser Mortgage. Around the same time, McCallum obtained a new first mortgage through the local bank. While a different broker arranged the first mortgage, deChamplain was aware of the details and knew that McCallum had qualified for bank financing.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In the summer of 2007, the principal of Fraser Mortgage indicated that he wanted out of the investment so deChamplain went looking for replacement financing. At that time, he got an appraisal update of the Property from Turner Appraisals, which indicated a value of $822,000.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DeChamplain approached a number of local lenders about the investment and also discussed it with Larsen. DeChamplain asked Larsen if Barclay Capital would be interested and if it would give a lower rate than usual. Larsen said no but indicated that he had an investor (RHI) that might be interested.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Larsen was not satisfied with a letter update to the existing appraisal and insisted on a new full appraisal. That led to the Turner Appraisal which again put the market value of the Property at $810,200. DeChamplain provided the Turner Appraisal to Larsen along with McCallum's loan application materials. DeChamplain noted that at the time he was looking to replace the existing second mortgage, that the mortgage was current, and that no payments had been 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RHI proceeded with the investment and the Mortgage in the amount of $108,000 was granted. That amount included an $8,000 fee, $1,000 of which went to Barclay Capital with the remaining $7,000 split equally between Larsen and Madech.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According to deChamplain, throughout this time period, he had no direct dealings with Sisett/RHI. He considered that he was acting on behalf of the borrower McCallum whereas Larsen was acting for the lender RHI.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There is a dispute in the evidence between Larsen and deChamplain about when Larsen became affiliated with Madech. As discussed above, Larsen says that occurred in the fall of 2007, however deChamplain says it was the beginning of 2008. He relies on Larsen's submortgage broker licence with Madech which is dated effective February 26, 2008. According to deChamplain, Larsen could not have been acting for or on behalf of Madech until such time as the licence was issued. The timing issue is potentially relevant to the issues of what if any duty was owed by Madech to RHI and potential vicarious liability on the part of Madech which I will deal with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In November 2008, McCallum emailed deChamplain asking about whether the existing second mortgage could be increased by $50,000. DeChamplain says that Madech had no interest in this deal but he passed the request along to Larsen to see if RHI wanted to increase its investment. DeChamplain maintains that Madech had no involvement in the increase and extension of RHI's investment.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Parties' Positions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RHI submits that Larsen and Madech failed to do proper due diligence to investigate the soundness of its investment in the Property, failed to adequately disclose important information and misrepresented key facts, all of which caused it to lose its investment.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RHI's claim is fundamentally a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While its amended notice of civil claim also alleges a conspiracy on the part of the defendants, as I advised Sisett during his closing submissions, the evidence comes nowhere close to establishing the elements of conspiracy and as such I decline to consider that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Larsen submits that he met the applicable standard of care for a submortgage broker. He maintains that he did proper due diligence with respect to RHI's investment and that again, the loss suffered by RHI was due to circumstances beyond his control.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Madech submits that it had no relationship with RHI and as such owed RHI no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Legal Framework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Normak Investments Ltd. v. Belciug</w:t>
      </w:r>
      <w:r>
        <w:rPr>
          <w:rFonts w:ascii="arial" w:eastAsia="arial" w:hAnsi="arial" w:cs="arial"/>
          <w:color w:val="000000"/>
          <w:sz w:val="20"/>
          <w:lang w:val="en-US" w:eastAsia="en-US" w:bidi="ar-SA"/>
        </w:rPr>
        <w:t xml:space="preserve">, </w:t>
      </w:r>
      <w:hyperlink r:id="rId976" w:history="1">
        <w:r>
          <w:rPr>
            <w:rFonts w:ascii="arial" w:eastAsia="arial" w:hAnsi="arial" w:cs="arial"/>
            <w:i/>
            <w:color w:val="0077CC"/>
            <w:sz w:val="20"/>
            <w:u w:val="single"/>
            <w:shd w:val="clear" w:color="auto" w:fill="FFFFFF"/>
            <w:lang w:val="en-US" w:eastAsia="en-US" w:bidi="ar-SA"/>
          </w:rPr>
          <w:t>2015 BCSC 700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Normak</w:t>
      </w:r>
      <w:r>
        <w:rPr>
          <w:rFonts w:ascii="arial" w:eastAsia="arial" w:hAnsi="arial" w:cs="arial"/>
          <w:color w:val="000000"/>
          <w:sz w:val="20"/>
          <w:lang w:val="en-US" w:eastAsia="en-US" w:bidi="ar-SA"/>
        </w:rPr>
        <w:t xml:space="preserve">], a case relied on heavily by RHI, Mr. Justice Fitch, as he then was, provided a very helpful summary of the principles governing a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based upon somewhat similar facts to the case at bar. At para. 80, Justice Fitch described the two-part test for determining whether a duty of care exists:</w:t>
      </w:r>
      <w:r>
        <w:rPr>
          <w:rFonts w:ascii="arial" w:eastAsia="arial" w:hAnsi="arial" w:cs="arial"/>
          <w:sz w:val="20"/>
          <w:lang w:val="en-US" w:eastAsia="en-US" w:bidi="ar-SA"/>
        </w:rPr>
        <w:cr/>
      </w:r>
    </w:p>
    <w:p>
      <w:pPr>
        <w:numPr>
          <w:numId w:val="1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there a sufficiently close relationship between the parties such that it can be said that in reasonable contemplation of the defendant, carelessness on its part might cause the plaintiff damage? and, if so;</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Are there any considerations which ought to negative or limit (a) the scope of the duty and (b) the class of persons to whom it is owed or (c) the damages to which a breach of it may give rise? See </w:t>
      </w:r>
      <w:r>
        <w:rPr>
          <w:rFonts w:ascii="arial" w:eastAsia="arial" w:hAnsi="arial" w:cs="arial"/>
          <w:i/>
          <w:color w:val="000000"/>
          <w:sz w:val="20"/>
          <w:lang w:val="en-US" w:eastAsia="en-US" w:bidi="ar-SA"/>
        </w:rPr>
        <w:t>Nielsen v. Kamloops (City)</w:t>
      </w:r>
      <w:r>
        <w:rPr>
          <w:rFonts w:ascii="arial" w:eastAsia="arial" w:hAnsi="arial" w:cs="arial"/>
          <w:color w:val="000000"/>
          <w:sz w:val="20"/>
          <w:lang w:val="en-US" w:eastAsia="en-US" w:bidi="ar-SA"/>
        </w:rPr>
        <w:t xml:space="preserve">, </w:t>
      </w:r>
      <w:hyperlink r:id="rId977" w:history="1">
        <w:r>
          <w:rPr>
            <w:rFonts w:ascii="arial" w:eastAsia="arial" w:hAnsi="arial" w:cs="arial"/>
            <w:i/>
            <w:color w:val="0077CC"/>
            <w:sz w:val="20"/>
            <w:u w:val="single"/>
            <w:shd w:val="clear" w:color="auto" w:fill="FFFFFF"/>
            <w:lang w:val="en-US" w:eastAsia="en-US" w:bidi="ar-SA"/>
          </w:rPr>
          <w:t>[1984] 2 S.C.R. 2</w:t>
        </w:r>
      </w:hyperlink>
      <w:r>
        <w:rPr>
          <w:rFonts w:ascii="arial" w:eastAsia="arial" w:hAnsi="arial" w:cs="arial"/>
          <w:color w:val="000000"/>
          <w:sz w:val="20"/>
          <w:lang w:val="en-US" w:eastAsia="en-US" w:bidi="ar-SA"/>
        </w:rPr>
        <w:t xml:space="preserve"> at para. 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Justice Fitch then (at para. 81) cites </w:t>
      </w:r>
      <w:r>
        <w:rPr>
          <w:rFonts w:ascii="arial" w:eastAsia="arial" w:hAnsi="arial" w:cs="arial"/>
          <w:i/>
          <w:color w:val="000000"/>
          <w:sz w:val="20"/>
          <w:lang w:val="en-US" w:eastAsia="en-US" w:bidi="ar-SA"/>
        </w:rPr>
        <w:t>Hercules Management Ltd. v. Ernst &amp; Young</w:t>
      </w:r>
      <w:r>
        <w:rPr>
          <w:rFonts w:ascii="arial" w:eastAsia="arial" w:hAnsi="arial" w:cs="arial"/>
          <w:color w:val="000000"/>
          <w:sz w:val="20"/>
          <w:lang w:val="en-US" w:eastAsia="en-US" w:bidi="ar-SA"/>
        </w:rPr>
        <w:t xml:space="preserve">, </w:t>
      </w:r>
      <w:hyperlink r:id="rId978" w:history="1">
        <w:r>
          <w:rPr>
            <w:rFonts w:ascii="arial" w:eastAsia="arial" w:hAnsi="arial" w:cs="arial"/>
            <w:i/>
            <w:color w:val="0077CC"/>
            <w:sz w:val="20"/>
            <w:u w:val="single"/>
            <w:shd w:val="clear" w:color="auto" w:fill="FFFFFF"/>
            <w:lang w:val="en-US" w:eastAsia="en-US" w:bidi="ar-SA"/>
          </w:rPr>
          <w:t>[1997] 2 S.C.R. 165</w:t>
        </w:r>
      </w:hyperlink>
      <w:r>
        <w:rPr>
          <w:rFonts w:ascii="arial" w:eastAsia="arial" w:hAnsi="arial" w:cs="arial"/>
          <w:color w:val="000000"/>
          <w:sz w:val="20"/>
          <w:lang w:val="en-US" w:eastAsia="en-US" w:bidi="ar-SA"/>
        </w:rPr>
        <w:t xml:space="preserve"> at para. 24, where Mr. Justice La Forest discussed the concept of proximity which lies at the heart of the first prong of the above test: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[24] The label "proximity"... was clearly intended to connote that the circumstances of the relationship inhering between the plaintiff and the defendant are of such a nature that the defendant may be said to be under an obligation to be mindful of the plaintiff's legitimate interests in conducting his or her affairs...To my mind, proximity can be seen to inhere between a defendant-representor and a plaintiff-representee when two criteria relating to reliance may be said to exist on the facts: (a) the defendant ought reasonably to foresee that the plaintiff will rely on his or her representation; and (b) reliance by the plaintiff would, in the particular circumstances of the case, be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Justice Fitch goes on to say at paras. 82-83 and 85-86: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[82] Defining the relationship between the parties may involve looking at expectations, representations, reliance, and the property or other interests involved. These factors permit evaluation of the closeness or proximity of the relationship between the plaintiff and defendant to determine whether it is just and fair, having regard to their relationship, to impose a duty of care in law upon the defendant: </w:t>
      </w:r>
      <w:r>
        <w:rPr>
          <w:rFonts w:ascii="arial" w:eastAsia="arial" w:hAnsi="arial" w:cs="arial"/>
          <w:i/>
          <w:color w:val="000000"/>
          <w:sz w:val="20"/>
          <w:lang w:val="en-US" w:eastAsia="en-US" w:bidi="ar-SA"/>
        </w:rPr>
        <w:t>Cooper v. Hobart</w:t>
      </w:r>
      <w:r>
        <w:rPr>
          <w:rFonts w:ascii="arial" w:eastAsia="arial" w:hAnsi="arial" w:cs="arial"/>
          <w:color w:val="000000"/>
          <w:sz w:val="20"/>
          <w:lang w:val="en-US" w:eastAsia="en-US" w:bidi="ar-SA"/>
        </w:rPr>
        <w:t xml:space="preserve">, </w:t>
      </w:r>
      <w:hyperlink r:id="rId979" w:history="1">
        <w:r>
          <w:rPr>
            <w:rFonts w:ascii="arial" w:eastAsia="arial" w:hAnsi="arial" w:cs="arial"/>
            <w:i/>
            <w:color w:val="0077CC"/>
            <w:sz w:val="20"/>
            <w:u w:val="single"/>
            <w:shd w:val="clear" w:color="auto" w:fill="FFFFFF"/>
            <w:lang w:val="en-US" w:eastAsia="en-US" w:bidi="ar-SA"/>
          </w:rPr>
          <w:t>[2001] 3 S.C.R. 537</w:t>
        </w:r>
      </w:hyperlink>
      <w:r>
        <w:rPr>
          <w:rFonts w:ascii="arial" w:eastAsia="arial" w:hAnsi="arial" w:cs="arial"/>
          <w:color w:val="000000"/>
          <w:sz w:val="20"/>
          <w:lang w:val="en-US" w:eastAsia="en-US" w:bidi="ar-SA"/>
        </w:rPr>
        <w:t xml:space="preserve"> at para. 34.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[83] In </w:t>
      </w:r>
      <w:r>
        <w:rPr>
          <w:rFonts w:ascii="arial" w:eastAsia="arial" w:hAnsi="arial" w:cs="arial"/>
          <w:i/>
          <w:color w:val="000000"/>
          <w:sz w:val="20"/>
          <w:lang w:val="en-US" w:eastAsia="en-US" w:bidi="ar-SA"/>
        </w:rPr>
        <w:t>Hercules Management</w:t>
      </w:r>
      <w:r>
        <w:rPr>
          <w:rFonts w:ascii="arial" w:eastAsia="arial" w:hAnsi="arial" w:cs="arial"/>
          <w:color w:val="000000"/>
          <w:sz w:val="20"/>
          <w:lang w:val="en-US" w:eastAsia="en-US" w:bidi="ar-SA"/>
        </w:rPr>
        <w:t xml:space="preserve">, at para. 43, the Court adopted five general </w:t>
      </w:r>
      <w:r>
        <w:rPr>
          <w:rFonts w:ascii="arial" w:eastAsia="arial" w:hAnsi="arial" w:cs="arial"/>
          <w:i/>
          <w:color w:val="000000"/>
          <w:sz w:val="20"/>
          <w:lang w:val="en-US" w:eastAsia="en-US" w:bidi="ar-SA"/>
        </w:rPr>
        <w:t>indicia</w:t>
      </w:r>
      <w:r>
        <w:rPr>
          <w:rFonts w:ascii="arial" w:eastAsia="arial" w:hAnsi="arial" w:cs="arial"/>
          <w:color w:val="000000"/>
          <w:sz w:val="20"/>
          <w:lang w:val="en-US" w:eastAsia="en-US" w:bidi="ar-SA"/>
        </w:rPr>
        <w:t xml:space="preserve"> of reasonable reliance, namely:</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had a direct or indirect financial interest in the transaction in respect of which the representation was made;</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was a professional or someone who possessed special skill, judgment, or knowledge;</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advice or information was provided in the course of the defendant's business;</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information or advice was given deliberately, and not on a social occasion; and</w:t>
      </w:r>
    </w:p>
    <w:p>
      <w:pPr>
        <w:numPr>
          <w:numId w:val="1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information or advice was given in response to a specific enquiry or request.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[85] The tort of negligent misrepresentation is now an established principle of Canadian law. As set out in </w:t>
      </w:r>
      <w:r>
        <w:rPr>
          <w:rFonts w:ascii="arial" w:eastAsia="arial" w:hAnsi="arial" w:cs="arial"/>
          <w:i/>
          <w:color w:val="000000"/>
          <w:sz w:val="20"/>
          <w:lang w:val="en-US" w:eastAsia="en-US" w:bidi="ar-SA"/>
        </w:rPr>
        <w:t>Queen v. Cognos Inc.</w:t>
      </w:r>
      <w:r>
        <w:rPr>
          <w:rFonts w:ascii="arial" w:eastAsia="arial" w:hAnsi="arial" w:cs="arial"/>
          <w:color w:val="000000"/>
          <w:sz w:val="20"/>
          <w:lang w:val="en-US" w:eastAsia="en-US" w:bidi="ar-SA"/>
        </w:rPr>
        <w:t xml:space="preserve">, </w:t>
      </w:r>
      <w:hyperlink r:id="rId980" w:history="1">
        <w:r>
          <w:rPr>
            <w:rFonts w:ascii="arial" w:eastAsia="arial" w:hAnsi="arial" w:cs="arial"/>
            <w:i/>
            <w:color w:val="0077CC"/>
            <w:sz w:val="20"/>
            <w:u w:val="single"/>
            <w:shd w:val="clear" w:color="auto" w:fill="FFFFFF"/>
            <w:lang w:val="en-US" w:eastAsia="en-US" w:bidi="ar-SA"/>
          </w:rPr>
          <w:t>[1993] 1 S.C.R. 87</w:t>
        </w:r>
      </w:hyperlink>
      <w:r>
        <w:rPr>
          <w:rFonts w:ascii="arial" w:eastAsia="arial" w:hAnsi="arial" w:cs="arial"/>
          <w:color w:val="000000"/>
          <w:sz w:val="20"/>
          <w:lang w:val="en-US" w:eastAsia="en-US" w:bidi="ar-SA"/>
        </w:rPr>
        <w:t xml:space="preserve"> at para. 34, to succeed in a claim for negligent misrepresentation, these five general requirements must be established:</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must be a duty of care based on a "special relationship" between the representor and the representee;</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representation in question must be untrue, inaccurate or misleading;</w:t>
      </w:r>
    </w:p>
    <w:p>
      <w:pPr>
        <w:numPr>
          <w:numId w:val="2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representor must have acted negligently in making the misrepresentation;</w:t>
      </w:r>
    </w:p>
    <w:p>
      <w:pPr>
        <w:numPr>
          <w:numId w:val="24"/>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representee must have relied, in a reasonable manner, on the negligent misrepresentation; and</w:t>
      </w:r>
    </w:p>
    <w:p>
      <w:pPr>
        <w:numPr>
          <w:numId w:val="25"/>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reliance must have been detrimental to the representee in the sense that damages resulted.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[86] If foreseeability and proximity are established at the first stage,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arises.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First Investment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circumstances surrounding the first investment in November 2007 and the second investment in December 2008 are different so I will deal with them separately.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In considering the first investment, it is first necessary to address the relationship of Madech and Larsen at that time. Throughout his evidence and submissions, Sisett treated Madech and Larsen as essentially one and the same.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As noted above, there was a dispute in the evidence of Larsen and deChamplain about when Larsen left Barclay and joined Madech. Again, Larsen says it was in October or November of 2007 whereas deChamplain says it was in February 2008, as evidenced by Larsen's licence.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 accept Larsen's evidence that the principal of Barclay likely announced his intention to retire in the fall of 2007. However the evidence does not establish that Larsen was affiliated with or acting on behalf of Madech in his dealings with Sisett at that time. The information sheet provided by Larsen to Sisett on November 13, 2007 setting out the relevant terms of the first investment was on Barclay Capital letterhead. On November 16, 2007 RHI wrote a cheque for $100,000 to Sisett's law firm trust account. These funds constituted the bulk of the first investment.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Subsequently, on November 21, 2007, Larsen sent Sisett a handwritten note, also on Barclay letterhead, about a different proposed mortgage investment, which Sisett declined to pursue. Then, on November 27, 2007, Sisett wrote a further cheque for $100,000 to the lawyers acting on the investment transaction.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It is apparent from the above that throughout the period in which the first investment was arranged Larsen continued to be affiliated with Barclay, or at least that was how he presented himself. At no time prior to RHI making the investment was there any indication that Larsen was acting for or on behalf of Madech.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Further, I accept deChamplain's evidence that he had no direct contact with Sisett and that he was acting on behalf of McCallum and Jupe. This is consistent with an agency agreement signed by McCallum and Jupe dated November 24, 2007, in which they appointed Madech as their agent for the purposes of arranging financing.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RHI notes that $7,000 of the $8,000 fee paid by McCallum on the first investment was split between Larsen and Madech, with the other $1,000 going to Barclay. RHI submits that this shows that Larsen and Madech were working together. However, I accept deChamplain's evidence that this reflected a typical split of commission between the lender's and borrower's brokers. Larsen was entitled to a portion of the fee for the services he provided RHI. Whether or not more of his share should have gone to Barclay is between Larsen and Barclay. The fact that he received a share does not establish that he was affiliated with or working on behalf of Madech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I find that at all material times relating to the first investment, Larsen was not affiliated with Madech and Madech was not acting for or on behalf of RHI. Madech's role was limited to presenting the investment opportunity and proposal to Larsen. For this reason, there is no vicarious liability for Madech in respect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if any, of Larsen in connection with the first investment.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RHI submits however that Madech owed RHI an independent duty of care given that it put together the materials supporting the investment that were provided to Larsen and then ultimately passed on to RHI. I will return to this issue shortly.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Before doing so, I will consider whether, with respect to the first investment, RHI has established that Larsen was negligent in his dealings with RHI.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On this issue, RHI relies on the report of Mr. Carnegie-Dunlop. I admitted this report into evidence on the basis that it had been properly served in accordance with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xml:space="preserve"> and no notice of objection had been served by the defendants. However, having reviewed the report in detail, I find that I am unable to place any weight on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As a general principle, the role of an expert witness is to assist the Court by providing an impartial and objective opinion on matters outside the experience and knowledge of a judge or jury. In </w:t>
      </w:r>
      <w:r>
        <w:rPr>
          <w:rFonts w:ascii="arial" w:eastAsia="arial" w:hAnsi="arial" w:cs="arial"/>
          <w:i/>
          <w:color w:val="000000"/>
          <w:sz w:val="20"/>
          <w:lang w:val="en-US" w:eastAsia="en-US" w:bidi="ar-SA"/>
        </w:rPr>
        <w:t>Maras v. Seemore Entertainment Ltd.</w:t>
      </w:r>
      <w:r>
        <w:rPr>
          <w:rFonts w:ascii="arial" w:eastAsia="arial" w:hAnsi="arial" w:cs="arial"/>
          <w:color w:val="000000"/>
          <w:sz w:val="20"/>
          <w:lang w:val="en-US" w:eastAsia="en-US" w:bidi="ar-SA"/>
        </w:rPr>
        <w:t xml:space="preserve">, </w:t>
      </w:r>
      <w:hyperlink r:id="rId981" w:history="1">
        <w:r>
          <w:rPr>
            <w:rFonts w:ascii="arial" w:eastAsia="arial" w:hAnsi="arial" w:cs="arial"/>
            <w:i/>
            <w:color w:val="0077CC"/>
            <w:sz w:val="20"/>
            <w:u w:val="single"/>
            <w:shd w:val="clear" w:color="auto" w:fill="FFFFFF"/>
            <w:lang w:val="en-US" w:eastAsia="en-US" w:bidi="ar-SA"/>
          </w:rPr>
          <w:t>2014 BCSC 1109</w:t>
        </w:r>
      </w:hyperlink>
      <w:r>
        <w:rPr>
          <w:rFonts w:ascii="arial" w:eastAsia="arial" w:hAnsi="arial" w:cs="arial"/>
          <w:color w:val="000000"/>
          <w:sz w:val="20"/>
          <w:lang w:val="en-US" w:eastAsia="en-US" w:bidi="ar-SA"/>
        </w:rPr>
        <w:t xml:space="preserve">, Mr. Justice Abrioux summarized the requirement in these terms at para. 12 (citing the leading Supreme Court of Canada decision in </w:t>
      </w:r>
      <w:r>
        <w:rPr>
          <w:rFonts w:ascii="arial" w:eastAsia="arial" w:hAnsi="arial" w:cs="arial"/>
          <w:i/>
          <w:color w:val="000000"/>
          <w:sz w:val="20"/>
          <w:lang w:val="en-US" w:eastAsia="en-US" w:bidi="ar-SA"/>
        </w:rPr>
        <w:t>R. v. Mohan</w:t>
      </w:r>
      <w:r>
        <w:rPr>
          <w:rFonts w:ascii="arial" w:eastAsia="arial" w:hAnsi="arial" w:cs="arial"/>
          <w:color w:val="000000"/>
          <w:sz w:val="20"/>
          <w:lang w:val="en-US" w:eastAsia="en-US" w:bidi="ar-SA"/>
        </w:rPr>
        <w:t xml:space="preserve">, </w:t>
      </w:r>
      <w:hyperlink r:id="rId174" w:history="1">
        <w:r>
          <w:rPr>
            <w:rFonts w:ascii="arial" w:eastAsia="arial" w:hAnsi="arial" w:cs="arial"/>
            <w:i/>
            <w:color w:val="0077CC"/>
            <w:sz w:val="20"/>
            <w:u w:val="single"/>
            <w:shd w:val="clear" w:color="auto" w:fill="FFFFFF"/>
            <w:lang w:val="en-US" w:eastAsia="en-US" w:bidi="ar-SA"/>
          </w:rPr>
          <w:t>[1994] 2 S.C.R. 9</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 To be necessary, expert evidence must likely be outside the experience and knowledge of a judge or jury, and must be assessed in light of its potential to distort the fact-finding process: </w:t>
      </w:r>
      <w:r>
        <w:rPr>
          <w:rFonts w:ascii="arial" w:eastAsia="arial" w:hAnsi="arial" w:cs="arial"/>
          <w:i/>
          <w:color w:val="000000"/>
          <w:sz w:val="20"/>
          <w:lang w:val="en-US" w:eastAsia="en-US" w:bidi="ar-SA"/>
        </w:rPr>
        <w:t>Mohan</w:t>
      </w:r>
      <w:r>
        <w:rPr>
          <w:rFonts w:ascii="arial" w:eastAsia="arial" w:hAnsi="arial" w:cs="arial"/>
          <w:color w:val="000000"/>
          <w:sz w:val="20"/>
          <w:lang w:val="en-US" w:eastAsia="en-US" w:bidi="ar-SA"/>
        </w:rPr>
        <w:t xml:space="preserve"> at 23-25; </w:t>
      </w:r>
      <w:r>
        <w:rPr>
          <w:rFonts w:ascii="arial" w:eastAsia="arial" w:hAnsi="arial" w:cs="arial"/>
          <w:i/>
          <w:color w:val="000000"/>
          <w:sz w:val="20"/>
          <w:lang w:val="en-US" w:eastAsia="en-US" w:bidi="ar-SA"/>
        </w:rPr>
        <w:t>ter Neuzen v. Korn</w:t>
      </w:r>
      <w:r>
        <w:rPr>
          <w:rFonts w:ascii="arial" w:eastAsia="arial" w:hAnsi="arial" w:cs="arial"/>
          <w:color w:val="000000"/>
          <w:sz w:val="20"/>
          <w:lang w:val="en-US" w:eastAsia="en-US" w:bidi="ar-SA"/>
        </w:rPr>
        <w:t xml:space="preserve">, </w:t>
      </w:r>
      <w:hyperlink r:id="rId740" w:history="1">
        <w:r>
          <w:rPr>
            <w:rFonts w:ascii="arial" w:eastAsia="arial" w:hAnsi="arial" w:cs="arial"/>
            <w:i/>
            <w:color w:val="0077CC"/>
            <w:sz w:val="20"/>
            <w:u w:val="single"/>
            <w:shd w:val="clear" w:color="auto" w:fill="FFFFFF"/>
            <w:lang w:val="en-US" w:eastAsia="en-US" w:bidi="ar-SA"/>
          </w:rPr>
          <w:t>[1995] 3 S.C.R. 674</w:t>
        </w:r>
      </w:hyperlink>
      <w:r>
        <w:rPr>
          <w:rFonts w:ascii="arial" w:eastAsia="arial" w:hAnsi="arial" w:cs="arial"/>
          <w:color w:val="000000"/>
          <w:sz w:val="20"/>
          <w:lang w:val="en-US" w:eastAsia="en-US" w:bidi="ar-SA"/>
        </w:rPr>
        <w:t xml:space="preserve"> at para. 55. As well, the evidence must be of assistance to the trier of fact: </w:t>
      </w:r>
      <w:r>
        <w:rPr>
          <w:rFonts w:ascii="arial" w:eastAsia="arial" w:hAnsi="arial" w:cs="arial"/>
          <w:i/>
          <w:color w:val="000000"/>
          <w:sz w:val="20"/>
          <w:lang w:val="en-US" w:eastAsia="en-US" w:bidi="ar-SA"/>
        </w:rPr>
        <w:t>Mohan</w:t>
      </w:r>
      <w:r>
        <w:rPr>
          <w:rFonts w:ascii="arial" w:eastAsia="arial" w:hAnsi="arial" w:cs="arial"/>
          <w:color w:val="000000"/>
          <w:sz w:val="20"/>
          <w:lang w:val="en-US" w:eastAsia="en-US" w:bidi="ar-SA"/>
        </w:rPr>
        <w:t xml:space="preserve"> at 34-37.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There are a number of flaws in Mr. Carnegie-Dunlop's report, including the following:</w:t>
      </w:r>
      <w:r>
        <w:rPr>
          <w:rFonts w:ascii="arial" w:eastAsia="arial" w:hAnsi="arial" w:cs="arial"/>
          <w:sz w:val="20"/>
          <w:lang w:val="en-US" w:eastAsia="en-US" w:bidi="ar-SA"/>
        </w:rPr>
        <w:cr/>
      </w:r>
    </w:p>
    <w:p>
      <w:pPr>
        <w:numPr>
          <w:numId w:val="26"/>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report does not clearly identify the facts and assumptions on which the opinion is based. For example, at page three, Mr. Carnegie-Dunlop refers to facts presented by RHI and "subsequent communications with Ian Sisett". The nature and content of those discussions is not disclosed;</w:t>
      </w:r>
    </w:p>
    <w:p>
      <w:pPr>
        <w:numPr>
          <w:numId w:val="27"/>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"facts" provided by Sisett that are set out in his email to Mr. Carnegie-Dunlop dated September 19, 2017, and attached as Exhibit 3 to the report, are heavily suggestive of misconduct on the part of Larsen and many were not borne out in the evidence at trial. For example, Sisett refers to the "undisclosed fact that Larsen promoting deal of Madech to further own interest in take over of Barclay office in new association as sub broker with Madech", the fact that there was no check of the "'friendly' non independent appraised value presented by Jupe", and the fact that "Larsen/Madech facilitate[d] financing for 'buy out' by friend of Jupe from Bank". None of these "facts" were established at trial. Moreover the clear intent of Sisett's email is to direct the opinion in a direction supportive of his position;</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This last point is also apparent from the list of questions posed by Sisett, many of which are not proper questions to ask of an expert witness. For example:</w:t>
      </w:r>
    </w:p>
    <w:p>
      <w:pPr>
        <w:numPr>
          <w:numId w:val="29"/>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Are the words "trust", "truthfulness", "disclosure" and "responsibility" of any importance in mortgage brokerage?</w:t>
      </w:r>
    </w:p>
    <w:p>
      <w:pPr>
        <w:numPr>
          <w:numId w:val="30"/>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Stock promoters are sometimes accused of pumping stock value in order to dump that stock on quick sale to unsuspecting buyers; does "pump-and-dump" similarly apply to borrowers profiting in a series of ever increasing loans promoted by artificial evaluations to the point of depleted equity?</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Assuming the facts briefly provided in e-mal [sic] of Sept. 20, 2017 are true, are there any significant deviations in the conduct of Larsen, deChamplain/Madech that do not appear to be in accord with the accepted standards of professional mortgage brokerage practice?</w:t>
      </w:r>
    </w:p>
    <w:p>
      <w:pPr>
        <w:numPr>
          <w:numId w:val="32"/>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Mr. Carnegie-Dunlop attaches a number of documents and forms which he suggests were not properly completed or provided, however all of the documents are dated after the date of RHI's investment. Both Larsen and deChamplain testified that the regulatory framework changed after the date of the events in issue. While their evidence was vague on this point. Mr. Carnegie-Dunlop does not address this point nor does he make it clear that the forms he attaches to his report were in fact required at the time RHI made either the first or second investments.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For all of these reasons, the report does not meet the threshold requirements of objectivity, accuracy and reliability and, as such, I reject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That is not necessarily fatal to RHI's claim. While expert evidence is often required to establish the applicable standard of care of a professional, in some cases a breach of the standard may be obvious despite the absence of such evidence. For example, in </w:t>
      </w:r>
      <w:r>
        <w:rPr>
          <w:rFonts w:ascii="arial" w:eastAsia="arial" w:hAnsi="arial" w:cs="arial"/>
          <w:i/>
          <w:color w:val="000000"/>
          <w:sz w:val="20"/>
          <w:lang w:val="en-US" w:eastAsia="en-US" w:bidi="ar-SA"/>
        </w:rPr>
        <w:t>Lindner &amp; Lindner v. Allin</w:t>
      </w:r>
      <w:r>
        <w:rPr>
          <w:rFonts w:ascii="arial" w:eastAsia="arial" w:hAnsi="arial" w:cs="arial"/>
          <w:color w:val="000000"/>
          <w:sz w:val="20"/>
          <w:lang w:val="en-US" w:eastAsia="en-US" w:bidi="ar-SA"/>
        </w:rPr>
        <w:t xml:space="preserve">, </w:t>
      </w:r>
      <w:hyperlink r:id="rId982" w:history="1">
        <w:r>
          <w:rPr>
            <w:rFonts w:ascii="arial" w:eastAsia="arial" w:hAnsi="arial" w:cs="arial"/>
            <w:i/>
            <w:color w:val="0077CC"/>
            <w:sz w:val="20"/>
            <w:u w:val="single"/>
            <w:shd w:val="clear" w:color="auto" w:fill="FFFFFF"/>
            <w:lang w:val="en-US" w:eastAsia="en-US" w:bidi="ar-SA"/>
          </w:rPr>
          <w:t>2002 BCSC 212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Lindner</w:t>
      </w:r>
      <w:r>
        <w:rPr>
          <w:rFonts w:ascii="arial" w:eastAsia="arial" w:hAnsi="arial" w:cs="arial"/>
          <w:color w:val="000000"/>
          <w:sz w:val="20"/>
          <w:lang w:val="en-US" w:eastAsia="en-US" w:bidi="ar-SA"/>
        </w:rPr>
        <w:t xml:space="preserve">], aff'd </w:t>
      </w:r>
      <w:hyperlink r:id="rId983" w:history="1">
        <w:r>
          <w:rPr>
            <w:rFonts w:ascii="arial" w:eastAsia="arial" w:hAnsi="arial" w:cs="arial"/>
            <w:i/>
            <w:color w:val="0077CC"/>
            <w:sz w:val="20"/>
            <w:u w:val="single"/>
            <w:shd w:val="clear" w:color="auto" w:fill="FFFFFF"/>
            <w:lang w:val="en-US" w:eastAsia="en-US" w:bidi="ar-SA"/>
          </w:rPr>
          <w:t>2004 BCCA 243</w:t>
        </w:r>
      </w:hyperlink>
      <w:r>
        <w:rPr>
          <w:rFonts w:ascii="arial" w:eastAsia="arial" w:hAnsi="arial" w:cs="arial"/>
          <w:color w:val="000000"/>
          <w:sz w:val="20"/>
          <w:lang w:val="en-US" w:eastAsia="en-US" w:bidi="ar-SA"/>
        </w:rPr>
        <w:t>, Mr. Justice Williamson said at para. 20: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[20] There was no evidence brought by either side as to the standard expected of mortgage brokers in the Province of British Columbia in 1996. However, on the face of it, I am satisfied that any standard which would allow a mortgage broker to convey information to those relying upon him which he knows is based upon opinions expressly stated to be not for that purpose, or upon information which he knows or should know is out of date, is negligent. I so find.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Earlier in the decision, at paras. 9-12, Justice Williamson describes the information provided by the defendant mortgage broker to the plaintiffs: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 Unfortunately the information which Williams gave the Lindners was out of date and, in my view, inadequate. First, he told them that the mortgagor was employed. The information he had about that, however, was some years out of date. Secondly, when he told the plaintiffs that the equity was sufficient, he was relying upon two appraisals of the subject property, prepared for the potential mortgagor, and which expressly stated that there were limitations.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 In particular, the first appraisal, dated June 7, 1996, prepared by a professional appraiser, stated expressly that the intended use of the appraisal was "not as mortgage security", and further stated that "due to the limitation of this reporting method it is not intended for use by third parties".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[11] The appraisal further stated that it was the result of a "cursory" roadside inspection and that no interior inspection was performed. The property had been rented, and this may have been the reason there was no interior inspection.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 The second appraisal, dated June 15, 1996, stated that it was prepared as an update to the original appraisal, and that it also was the result of a cursory exterior inspection.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Normak</w:t>
      </w:r>
      <w:r>
        <w:rPr>
          <w:rFonts w:ascii="arial" w:eastAsia="arial" w:hAnsi="arial" w:cs="arial"/>
          <w:color w:val="000000"/>
          <w:sz w:val="20"/>
          <w:lang w:val="en-US" w:eastAsia="en-US" w:bidi="ar-SA"/>
        </w:rPr>
        <w:t xml:space="preserve"> also involved inaccurate information supplied by a mortgage broker. There, the borrower Belciug was referred to the defendant broker Dhaliwal by Safi, who turned out to be a fraudster. Safi indicated that Belciug was interested in obtaining financing on a residential property to be secured by a second mortgage. Dhaliwal then presented the investment opportunity to the plaintiff and provided the plaintiff with supporting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Much of that information turned out to be false. For example, the mortgage application allegedly completed by Belciug misrepresented her employment status, including her income, as well as her assets. Dhaliwal also supplied a mortgage statement purporting to set out the balance owing under the first mortgage. That statement turned out to be a forgery; the balance was in fact much higher. Dhaliwal took no steps to verify any of the information. Ultimately, the first mortgagee foreclosed and the plaintiff lost all of its investment.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In finding Dhaliwal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Justice Fitch said at paras. 125-126: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[125] Dhaliwal's conduct on this occasion falls considerably short of the standard of care a reasonably prudent mortgage broker would exercise in the circumstances. No mortgage broker can guarantee an investor the accuracy of every statement or piece of information supplied to them in considering a particular investment. What is required is the exercise of reasonable care. Taking into account the importance of the information, the purpose for which the statement was made, the foreseeable use of the statement, the probable damage that would result from an inaccurate statement, and Dhaliwal's professional status, I have no difficulty finding that Dhaliwal was negligent. He never met with Belciug. He obtained information about her employment, assets and creditworthiness. He may have obtained that information from a third party. Regardless of its source, he made no effort to verify its accuracy. He obtained the MCAP mortgage statement from a third party. He did not disclose this to the plaintiff and made no efforts to verify the accuracy of that statement. Having failed to do so, he then supplied all this information to Dewshi, declaring it to be accurate.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[126] In essence, Dhaliwal made representations with the intention of inducing Dewshi to enter into a contract with Belciug. Dhaliwal did so in circumstances where he had a considerable financial stake in the deal. He was under a duty to use reasonable care to ensure that the representations he made and the information he supplied were accurate. He did not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Again, RHI relies on </w:t>
      </w:r>
      <w:r>
        <w:rPr>
          <w:rFonts w:ascii="arial" w:eastAsia="arial" w:hAnsi="arial" w:cs="arial"/>
          <w:i/>
          <w:color w:val="000000"/>
          <w:sz w:val="20"/>
          <w:lang w:val="en-US" w:eastAsia="en-US" w:bidi="ar-SA"/>
        </w:rPr>
        <w:t>Normak</w:t>
      </w:r>
      <w:r>
        <w:rPr>
          <w:rFonts w:ascii="arial" w:eastAsia="arial" w:hAnsi="arial" w:cs="arial"/>
          <w:color w:val="000000"/>
          <w:sz w:val="20"/>
          <w:lang w:val="en-US" w:eastAsia="en-US" w:bidi="ar-SA"/>
        </w:rPr>
        <w:t xml:space="preserve"> and submits that Larsen similarly failed to take steps to verify the information provided in support of the loan to McCallum.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RHI takes particular issue with the Turner Appraisal. It alleges that it was obtained by McCallum and/or Jupe, and as such was not independent, and that it was inaccurate.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With respect to the first point, I accept the evidence of Larsen and deChamplain that Turner was the local approved appraiser for banks in the area. The fact that McCallum or Jupe may have requested the updated appraisal does not by itself undermine its independence or accuracy. While Turner unfortunately did not testify, I note that he signed the certification section on the appraisal confirming that the appraisal was prepared in accordance with applicable regulatory standards and that he has no "personal interest in the property or bias with respect to the parties involved". There is nothing in the evidence to suggest that the Turner Appraisal is anything other than an independent appraisal by a qualified appraiser.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In terms of its accuracy, RHI relies upon the report of Mr. MacDougall, which again purports to provide a "retrospective" market value appraisal of the Property. In his report, Mr. MacDougall estimates the market value of the Property to have been $500,000 effective September 29, 2007 and $480,000 effective October 1,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Mr. MacDougall was not required to attend the trial for cross-examination and I have no reason to doubt his credentials or expertise. However, I find that an appraisal prepared six years after the date of RHI's initial investment on essentially a "drive by" basis is of no assistance in assessing the validity of the Turner Appraisal or the conduct of Larsen at the time of that investment.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Larsen's evidence again was that when Madech presented the investment opportunity to him, he was not satisfied with simply a letter update of the previous appraisal so he required a new, full appraisal from Turner. When the Turner Appraisal was received, there was no basis for Larsen to challenge its accuracy or to seek to go behind it. The fact that a different appraiser came to a different opinion on market value six years later does not change that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RHI introduced into evidence five pages that appear to have been taken from an appraisal prepared at some point by Turner. RHI argued that these pages may have been missing from the Turner Appraisal such that the Turner Appraisal was incomplete and misleading. The pages suggest that Turner conducted an income approach appraisal that yielded a value of $670,300.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The evidence did not in fact establish that these pages were missing from the Turner Appraisal. The front page of the additional documents is labelled "Schedule A" but there is no such Schedule A referenced in the Turner Appraisal. Moreover, there is no evidence about when the additional pages were prepared or how an income approach value would impact on market value. In short, these pages are irrelevant.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xml:space="preserve">  For these reasons, I find that there was nothing improper in Larsen relying on the Turner Appraisal as valid evidence of market value at the time. I would add that, unlike the appraisal referred to in </w:t>
      </w:r>
      <w:r>
        <w:rPr>
          <w:rFonts w:ascii="arial" w:eastAsia="arial" w:hAnsi="arial" w:cs="arial"/>
          <w:i/>
          <w:color w:val="000000"/>
          <w:sz w:val="20"/>
          <w:lang w:val="en-US" w:eastAsia="en-US" w:bidi="ar-SA"/>
        </w:rPr>
        <w:t>Lindner</w:t>
      </w:r>
      <w:r>
        <w:rPr>
          <w:rFonts w:ascii="arial" w:eastAsia="arial" w:hAnsi="arial" w:cs="arial"/>
          <w:color w:val="000000"/>
          <w:sz w:val="20"/>
          <w:lang w:val="en-US" w:eastAsia="en-US" w:bidi="ar-SA"/>
        </w:rPr>
        <w:t>, the Turner Appraisal was specifically obtained for the purpose of mortgage financing.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xml:space="preserve">  This case is also different from </w:t>
      </w:r>
      <w:r>
        <w:rPr>
          <w:rFonts w:ascii="arial" w:eastAsia="arial" w:hAnsi="arial" w:cs="arial"/>
          <w:i/>
          <w:color w:val="000000"/>
          <w:sz w:val="20"/>
          <w:lang w:val="en-US" w:eastAsia="en-US" w:bidi="ar-SA"/>
        </w:rPr>
        <w:t>Normak</w:t>
      </w:r>
      <w:r>
        <w:rPr>
          <w:rFonts w:ascii="arial" w:eastAsia="arial" w:hAnsi="arial" w:cs="arial"/>
          <w:color w:val="000000"/>
          <w:sz w:val="20"/>
          <w:lang w:val="en-US" w:eastAsia="en-US" w:bidi="ar-SA"/>
        </w:rPr>
        <w:t xml:space="preserve"> where the mortgage broker supplied the lender with inaccurate and fraudulent information. Here, RHI has not established that there was anything inaccurate in the information provided by Larsen in support of the first investment.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Specifically, in addition to the Turner Appraisal, Larsen had a mortgage statement for the first mortgage, the accuracy of which is not challenged. He also had a credit report indicating a top level credit rating for McCallum. RHI points out that the credit report showed high credit card debt, however according to Larsen, there was nothing in the report to indicate an inability to service that debt. Also relevant to Larsen was the fact that McCallum had qualified for bank financing and had an established history of paying the existing first and second mortgages without default.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One point not clearly addressed by Larsen however is the fact that with the first mortgage of $543,000 as of October 2007, and RHI's Mortgage, the total debt on the Property was $651,000, or 80% of the value estimated in the Turner Appraisal. This was despite Larsen's own evidence that he typically only recommended loans where the debt to equity ratio does not exceed 75%.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In cross-examination, Larsen said that he will recommend an 80% loan in certain circumstances and again, he believed that this was a safe investment for RHI. I note as well that the relative values were known to Sisett who was in a position to assess the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Larsen also acknowledged that he did not obtain income confirmation for Jupe. He did not consider it necessary given the information he had, in particular about the value of the Property and McCallum's credit rating and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RHI makes a point as well that Larsen included the Chanaral shares as part of the security but that they turned out to be valueless. To my mind, nothing turns on the issue of the shares as Sisett did not testify that they were an important, or any, factor in his assessment of the investment. I similarly do not accept that the location of the Property was misrepresented to him as being at Sun Peaks Resort. The actual location in Whitecroft was apparent on all of the materials provided.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xml:space="preserve">  There appear to be few case authorities that consider the standard of care owing by a mortgage broker. In </w:t>
      </w:r>
      <w:r>
        <w:rPr>
          <w:rFonts w:ascii="arial" w:eastAsia="arial" w:hAnsi="arial" w:cs="arial"/>
          <w:i/>
          <w:color w:val="000000"/>
          <w:sz w:val="20"/>
          <w:lang w:val="en-US" w:eastAsia="en-US" w:bidi="ar-SA"/>
        </w:rPr>
        <w:t>Normak</w:t>
      </w:r>
      <w:r>
        <w:rPr>
          <w:rFonts w:ascii="arial" w:eastAsia="arial" w:hAnsi="arial" w:cs="arial"/>
          <w:color w:val="000000"/>
          <w:sz w:val="20"/>
          <w:lang w:val="en-US" w:eastAsia="en-US" w:bidi="ar-SA"/>
        </w:rPr>
        <w:t>, Justice Fitch held that while a broker does not function as a guarantor of the investment, "reasonable care" is required. That may extend to verifying information if the broker has reason to believe the information is suspect.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Transamerica Life Insurance Co. of Canada v. Hutton</w:t>
      </w:r>
      <w:r>
        <w:rPr>
          <w:rFonts w:ascii="arial" w:eastAsia="arial" w:hAnsi="arial" w:cs="arial"/>
          <w:color w:val="000000"/>
          <w:sz w:val="20"/>
          <w:lang w:val="en-US" w:eastAsia="en-US" w:bidi="ar-SA"/>
        </w:rPr>
        <w:t xml:space="preserve"> </w:t>
      </w:r>
      <w:hyperlink r:id="rId984" w:history="1">
        <w:r>
          <w:rPr>
            <w:rFonts w:ascii="arial" w:eastAsia="arial" w:hAnsi="arial" w:cs="arial"/>
            <w:i/>
            <w:color w:val="0077CC"/>
            <w:sz w:val="20"/>
            <w:u w:val="single"/>
            <w:shd w:val="clear" w:color="auto" w:fill="FFFFFF"/>
            <w:lang w:val="en-US" w:eastAsia="en-US" w:bidi="ar-SA"/>
          </w:rPr>
          <w:t>(2000), 33 R.P.R. 1</w:t>
        </w:r>
      </w:hyperlink>
      <w:r>
        <w:rPr>
          <w:rFonts w:ascii="arial" w:eastAsia="arial" w:hAnsi="arial" w:cs="arial"/>
          <w:color w:val="000000"/>
          <w:sz w:val="20"/>
          <w:lang w:val="en-US" w:eastAsia="en-US" w:bidi="ar-SA"/>
        </w:rPr>
        <w:t xml:space="preserve"> (3d) (Ont. S.C.J.), the court said at para. 102: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mortgage broker cannot be regarded as a mere conduit with no legal responsibility for the accuracy of such information. At the very least, full and honest disclosure of all material facts of which the broker has knowledge must be made. As I have already indicated, I would go further and assert that there must be a duty to verify information to the extent that the broker ought reasonably to have been put on notice that its accuracy was suspect. A lender is entitled to expect no less and this should be foreseen by the broker...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Here, I accept Larsen's evidence that he considered all of the available information and that, applying his knowledge and experience, he considered the investment to be a reasonable one for RHI. Further, I accept that he had no basis to believe that any of the information supplied was false or inaccurate.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xml:space="preserve">  The courts have had more opportunity to consider the standard of care owed by investment advisors and some guidance can be found in those cases. In </w:t>
      </w:r>
      <w:r>
        <w:rPr>
          <w:rFonts w:ascii="arial" w:eastAsia="arial" w:hAnsi="arial" w:cs="arial"/>
          <w:i/>
          <w:color w:val="000000"/>
          <w:sz w:val="20"/>
          <w:lang w:val="en-US" w:eastAsia="en-US" w:bidi="ar-SA"/>
        </w:rPr>
        <w:t>Kerr v. CIBC World Markets Inc.</w:t>
      </w:r>
      <w:r>
        <w:rPr>
          <w:rFonts w:ascii="arial" w:eastAsia="arial" w:hAnsi="arial" w:cs="arial"/>
          <w:color w:val="000000"/>
          <w:sz w:val="20"/>
          <w:lang w:val="en-US" w:eastAsia="en-US" w:bidi="ar-SA"/>
        </w:rPr>
        <w:t xml:space="preserve">, </w:t>
      </w:r>
      <w:hyperlink r:id="rId985" w:history="1">
        <w:r>
          <w:rPr>
            <w:rFonts w:ascii="arial" w:eastAsia="arial" w:hAnsi="arial" w:cs="arial"/>
            <w:i/>
            <w:color w:val="0077CC"/>
            <w:sz w:val="20"/>
            <w:u w:val="single"/>
            <w:shd w:val="clear" w:color="auto" w:fill="FFFFFF"/>
            <w:lang w:val="en-US" w:eastAsia="en-US" w:bidi="ar-SA"/>
          </w:rPr>
          <w:t>2017 ONSC 777</w:t>
        </w:r>
      </w:hyperlink>
      <w:r>
        <w:rPr>
          <w:rFonts w:ascii="arial" w:eastAsia="arial" w:hAnsi="arial" w:cs="arial"/>
          <w:color w:val="000000"/>
          <w:sz w:val="20"/>
          <w:lang w:val="en-US" w:eastAsia="en-US" w:bidi="ar-SA"/>
        </w:rPr>
        <w:t>, Justice Penny said the following at para. 56: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not in controversy that an investment advisor has a duty to provide careful, competent and considered professional advice. As long as the advisor applies reasonable skill and knowledge to the client recommendations and advises fully, honestly and in good faith, the investment advisor has discharged its obligation and is not responsible merely because the transaction proves unfavourable. Investment advisors are not guarantors. They are under no duty to provide only successful financial advice. What they must do is apply reasonable skill and care which is appropriate to the task undertaken...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I am satisfied that Larsen met the standard of care with respect to the first investment in December 2007. In particular, I am satisfied that Larsen acted honestly and in good faith and that he applied his knowledge and experience to the best of his ability when assessing the investment and recommending it to RHI.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Further, Sisett, on behalf of RHI, was not a complete neophyte investor. He had previously completed one successful mortgage investment with Larsen. Moreover, he was a former lawyer who had run his own successful law practice for many years. As he demonstrated throughout the trial, he is an intelligent and sophisticated person, who is fully capable of assessing an investment risk and making his own decision. That is what he did in this case and it is only with the benefit of hindsight that he now seeks to shift the blame to the defendants for what turned out to be an unfortunate investment.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With resect to Madech, I previously found that at the time of the first investment, Larsen was not affiliated with Madech and that Madech therefore has no vicarious liability in the event Larsen is found to have been negligent. As noted however, RHI asserts that Madech owed it an independent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xml:space="preserve">  Again, RHI relies extensively on </w:t>
      </w:r>
      <w:r>
        <w:rPr>
          <w:rFonts w:ascii="arial" w:eastAsia="arial" w:hAnsi="arial" w:cs="arial"/>
          <w:i/>
          <w:color w:val="000000"/>
          <w:sz w:val="20"/>
          <w:lang w:val="en-US" w:eastAsia="en-US" w:bidi="ar-SA"/>
        </w:rPr>
        <w:t>Normak</w:t>
      </w:r>
      <w:r>
        <w:rPr>
          <w:rFonts w:ascii="arial" w:eastAsia="arial" w:hAnsi="arial" w:cs="arial"/>
          <w:color w:val="000000"/>
          <w:sz w:val="20"/>
          <w:lang w:val="en-US" w:eastAsia="en-US" w:bidi="ar-SA"/>
        </w:rPr>
        <w:t xml:space="preserve"> in support of its position. In </w:t>
      </w:r>
      <w:r>
        <w:rPr>
          <w:rFonts w:ascii="arial" w:eastAsia="arial" w:hAnsi="arial" w:cs="arial"/>
          <w:i/>
          <w:color w:val="000000"/>
          <w:sz w:val="20"/>
          <w:lang w:val="en-US" w:eastAsia="en-US" w:bidi="ar-SA"/>
        </w:rPr>
        <w:t>Normak</w:t>
      </w:r>
      <w:r>
        <w:rPr>
          <w:rFonts w:ascii="arial" w:eastAsia="arial" w:hAnsi="arial" w:cs="arial"/>
          <w:color w:val="000000"/>
          <w:sz w:val="20"/>
          <w:lang w:val="en-US" w:eastAsia="en-US" w:bidi="ar-SA"/>
        </w:rPr>
        <w:t>, a lawyer, Binpal, acted for the borrower and it was he who provided the forged mortgage statement to the mortgage broker. Justice Fitch found that Binpal owed a duty of care to the plaintiff because he assumed the responsibility of supplying information he knew was important in informing the plaintiff's decision about whether to advance a loan and that he knew the plaintiff would rely on. Moreover, he made specific representations about the status of the first mortgage.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The case at bar is different in that Madech put together a package of materials that it provided to a number of different potential lenders. It was not put together with the plaintiff in mind. Again, deChamplain's evidence is that he had no direct contact with Sisett/RHI at the time. Further, as discussed above, there was nothing inaccurate or false in the information provided.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In the circumstances, there is no basis for holding Madech liable in respect to the first investment.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Second Investment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The parties all make similar arguments with respect to RHI's investment of the additional $50,000 in December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However, the circumstances surrounding the second investment are different in a number of material respects. These differences are reflected in Larsen's letter to Sisett dated November 25, 2008 which is reproduced at para. 20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One of the first points made by Larsen in his letter is that the borrowers wanted to increase the Mortgage by $50,000 to pay out a high-rate third mortgage that had been added to title after the Mortgage and that was used to pay off a stock debt incurred by Jupe. Arguably, this should have raised red flags about what the borrowers were up to in terms of their financial situation.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In the November 25 letter, Larsen then notes that the Property is listed for sale at $895,000 and "appraised" at $835,000. In fact, there is no evidence which suggests that a new appraisal had been conducted. There is also no evidence which would otherwise substantiate an increase in value or even the fact that the Property was, at the very least, still worth the $810,200 valuation in the Turner Appraisal. In the letter Larsen says he spoke to local realtors to confirm the likely value, but he led no evidence to that effect at trial. There is also a reference to the possible stratification of the Property but no evidence that Larsen took any steps to investigate the likelihood of that occurring.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Larsen notes that if the Mortgage is increased to $158,000, adding that to the first mortgage amount of $532,000 for a total of $690,000 still leaves "considerable equity in the event of a default". However, the only actual appraisal existing at the time was the Turner Appraisal in the amount of $810,200. At that value, the debt to equity ratio would have been 85%. Even accepting the $832,000 appraisal figure, despite the absence of evidence substantiating that figure, the debt to equity ratio is 83%. There is no evidence that Larsen discussed this obvious increase in risk with Sisett.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Larsen also referred to a discussion with a realtor who suggested that the list price for the Property could be reduced to $775,000 to $800,000, which would further diminish the equity.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Thus, the increase in the Mortgage amount did represent an increase in risk to RHI. In my view, a reasonable mortgage broker that was advising a client on the merits of an investment ought to have fully considered the extent of that increased risk and advised their client accordingly. Larsen failed to do so. Instead, he told Sisett that the Property was "appraised" at a higher value than the Turner Appraisal, again despite apparently having no reliable evidence that the value of the Property had increased or even held steady. He did so also despite the fact that (as admitted at trial) he was aware that real estate values had begun to drop.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It is worth noting that RHI did well off the second investment, at least initially, in that of the $50,000 loaned, it received a $1,000 lender fee and $11,058 representing advance payment of six months' interest. Nonetheless, I am satisfied that RHI would not have invested the further $50,000 had the risks been explained fully.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In terms of Madech, deChamplain again says that it wanted no part of the second investment and that he simply passed along the request to Larsen. This ignores the fact that by the fall of 2008, Larsen was a submortgage broker licenced under Madech and held the position of Senior Vice President. Further, the November 25, 2008 letter from Larsen to Sisett about the second investment was on Madech letterhead.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xml:space="preserve">  DeChamplain was at pains to distance Madech from Larsen. He said that the arrangement was simply to meet the requirements of the </w:t>
      </w:r>
      <w:r>
        <w:rPr>
          <w:rFonts w:ascii="arial" w:eastAsia="arial" w:hAnsi="arial" w:cs="arial"/>
          <w:i/>
          <w:color w:val="000000"/>
          <w:sz w:val="20"/>
          <w:lang w:val="en-US" w:eastAsia="en-US" w:bidi="ar-SA"/>
        </w:rPr>
        <w:t>Mortgage Brokers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313</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MBA</w:t>
      </w:r>
      <w:r>
        <w:rPr>
          <w:rFonts w:ascii="arial" w:eastAsia="arial" w:hAnsi="arial" w:cs="arial"/>
          <w:color w:val="000000"/>
          <w:sz w:val="20"/>
          <w:lang w:val="en-US" w:eastAsia="en-US" w:bidi="ar-SA"/>
        </w:rPr>
        <w:t>], which requires that a submortgage broker only act under the supervision of a licenced broker. DeChamplain denies that there was an employment relationship between Madech and Larsen.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xml:space="preserve">  On its face, the </w:t>
      </w:r>
      <w:r>
        <w:rPr>
          <w:rFonts w:ascii="arial" w:eastAsia="arial" w:hAnsi="arial" w:cs="arial"/>
          <w:i/>
          <w:color w:val="000000"/>
          <w:sz w:val="20"/>
          <w:lang w:val="en-US" w:eastAsia="en-US" w:bidi="ar-SA"/>
        </w:rPr>
        <w:t>MBA</w:t>
      </w:r>
      <w:r>
        <w:rPr>
          <w:rFonts w:ascii="arial" w:eastAsia="arial" w:hAnsi="arial" w:cs="arial"/>
          <w:color w:val="000000"/>
          <w:sz w:val="20"/>
          <w:lang w:val="en-US" w:eastAsia="en-US" w:bidi="ar-SA"/>
        </w:rPr>
        <w:t xml:space="preserve"> contemplates that a submortgage broker will be employed by a licenced broker. For example, the definition of "submortgage broker" is "any person who, in British Columbia, actively engages in any of the things referred to in the definition of mortgage broker and is employed, either generally or in a particular case, by, or is a director or a partner of, a mortgage broker".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Further, s. 3(8) deals with the termination of the employment of a submortgage broker and subsequent re-employment elsewhere:</w:t>
      </w:r>
      <w:r>
        <w:rPr>
          <w:rFonts w:ascii="arial" w:eastAsia="arial" w:hAnsi="arial" w:cs="arial"/>
          <w:sz w:val="20"/>
          <w:lang w:val="en-US" w:eastAsia="en-US" w:bidi="ar-SA"/>
        </w:rPr>
        <w:cr/>
      </w:r>
    </w:p>
    <w:p>
      <w:pPr>
        <w:numPr>
          <w:numId w:val="33"/>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termination of the employment of a submortgage broker with a mortgage broker operates as a suspension of the registration of the submortgage broker until</w:t>
      </w:r>
    </w:p>
    <w:p>
      <w:pPr>
        <w:numPr>
          <w:numId w:val="3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notice in writing has been received by the registrar from another person registered as a mortgage broker of the employment of the submortgage broker by that other person, and</w:t>
      </w:r>
    </w:p>
    <w:p>
      <w:pPr>
        <w:numPr>
          <w:numId w:val="3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employment has been approved in writing by the registrar.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As noted previously, Larsen's licence issued in February 2008 describes him as being employed by Madech.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xml:space="preserve">  It does appear that in some cases, despite the terms of the </w:t>
      </w:r>
      <w:r>
        <w:rPr>
          <w:rFonts w:ascii="arial" w:eastAsia="arial" w:hAnsi="arial" w:cs="arial"/>
          <w:i/>
          <w:color w:val="000000"/>
          <w:sz w:val="20"/>
          <w:lang w:val="en-US" w:eastAsia="en-US" w:bidi="ar-SA"/>
        </w:rPr>
        <w:t>MBA</w:t>
      </w:r>
      <w:r>
        <w:rPr>
          <w:rFonts w:ascii="arial" w:eastAsia="arial" w:hAnsi="arial" w:cs="arial"/>
          <w:color w:val="000000"/>
          <w:sz w:val="20"/>
          <w:lang w:val="en-US" w:eastAsia="en-US" w:bidi="ar-SA"/>
        </w:rPr>
        <w:t xml:space="preserve">, submortgage brokers sign contracts designating themselves as independent contractors (see </w:t>
      </w:r>
      <w:r>
        <w:rPr>
          <w:rFonts w:ascii="arial" w:eastAsia="arial" w:hAnsi="arial" w:cs="arial"/>
          <w:i/>
          <w:color w:val="000000"/>
          <w:sz w:val="20"/>
          <w:lang w:val="en-US" w:eastAsia="en-US" w:bidi="ar-SA"/>
        </w:rPr>
        <w:t>Powell v. Sjerven</w:t>
      </w:r>
      <w:r>
        <w:rPr>
          <w:rFonts w:ascii="arial" w:eastAsia="arial" w:hAnsi="arial" w:cs="arial"/>
          <w:color w:val="000000"/>
          <w:sz w:val="20"/>
          <w:lang w:val="en-US" w:eastAsia="en-US" w:bidi="ar-SA"/>
        </w:rPr>
        <w:t xml:space="preserve">, </w:t>
      </w:r>
      <w:hyperlink r:id="rId986" w:history="1">
        <w:r>
          <w:rPr>
            <w:rFonts w:ascii="arial" w:eastAsia="arial" w:hAnsi="arial" w:cs="arial"/>
            <w:i/>
            <w:color w:val="0077CC"/>
            <w:sz w:val="20"/>
            <w:u w:val="single"/>
            <w:shd w:val="clear" w:color="auto" w:fill="FFFFFF"/>
            <w:lang w:val="en-US" w:eastAsia="en-US" w:bidi="ar-SA"/>
          </w:rPr>
          <w:t>2017 BCSC 1546</w:t>
        </w:r>
      </w:hyperlink>
      <w:r>
        <w:rPr>
          <w:rFonts w:ascii="arial" w:eastAsia="arial" w:hAnsi="arial" w:cs="arial"/>
          <w:color w:val="000000"/>
          <w:sz w:val="20"/>
          <w:lang w:val="en-US" w:eastAsia="en-US" w:bidi="ar-SA"/>
        </w:rPr>
        <w:t xml:space="preserve"> at para. 6). No such contract was entered into evidence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Both Larsen and deChamplain testified that Larsen acted largely independently when operating out of the Madech office. Larsen paid the expenses of the office and deChamplain provided minimal oversight.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xml:space="preserve">  That may be so, but for a client like RHI, Larsen was clearly held out as representing Madech. He operated out of Madech premises, under the title of Senior Vice President of Madech and he issued correspondence on Madech letterhead. This fact, combined with the presumed employment relationship arising under the </w:t>
      </w:r>
      <w:r>
        <w:rPr>
          <w:rFonts w:ascii="arial" w:eastAsia="arial" w:hAnsi="arial" w:cs="arial"/>
          <w:i/>
          <w:color w:val="000000"/>
          <w:sz w:val="20"/>
          <w:lang w:val="en-US" w:eastAsia="en-US" w:bidi="ar-SA"/>
        </w:rPr>
        <w:t>MBA</w:t>
      </w:r>
      <w:r>
        <w:rPr>
          <w:rFonts w:ascii="arial" w:eastAsia="arial" w:hAnsi="arial" w:cs="arial"/>
          <w:color w:val="000000"/>
          <w:sz w:val="20"/>
          <w:lang w:val="en-US" w:eastAsia="en-US" w:bidi="ar-SA"/>
        </w:rPr>
        <w:t xml:space="preserve">, leads me to conclude that Madech is vicariously liable for any losses caused by Larsen's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see </w:t>
      </w:r>
      <w:r>
        <w:rPr>
          <w:rFonts w:ascii="arial" w:eastAsia="arial" w:hAnsi="arial" w:cs="arial"/>
          <w:i/>
          <w:color w:val="000000"/>
          <w:sz w:val="20"/>
          <w:lang w:val="en-US" w:eastAsia="en-US" w:bidi="ar-SA"/>
        </w:rPr>
        <w:t>Froebel v. Claxton</w:t>
      </w:r>
      <w:r>
        <w:rPr>
          <w:rFonts w:ascii="arial" w:eastAsia="arial" w:hAnsi="arial" w:cs="arial"/>
          <w:color w:val="000000"/>
          <w:sz w:val="20"/>
          <w:lang w:val="en-US" w:eastAsia="en-US" w:bidi="ar-SA"/>
        </w:rPr>
        <w:t xml:space="preserve">, </w:t>
      </w:r>
      <w:hyperlink r:id="rId987" w:history="1">
        <w:r>
          <w:rPr>
            <w:rFonts w:ascii="arial" w:eastAsia="arial" w:hAnsi="arial" w:cs="arial"/>
            <w:i/>
            <w:color w:val="0077CC"/>
            <w:sz w:val="20"/>
            <w:u w:val="single"/>
            <w:shd w:val="clear" w:color="auto" w:fill="FFFFFF"/>
            <w:lang w:val="en-US" w:eastAsia="en-US" w:bidi="ar-SA"/>
          </w:rPr>
          <w:t>[1997] B.C.J. No. 1284</w:t>
        </w:r>
      </w:hyperlink>
      <w:r>
        <w:rPr>
          <w:rFonts w:ascii="arial" w:eastAsia="arial" w:hAnsi="arial" w:cs="arial"/>
          <w:color w:val="000000"/>
          <w:sz w:val="20"/>
          <w:lang w:val="en-US" w:eastAsia="en-US" w:bidi="ar-SA"/>
        </w:rPr>
        <w:t xml:space="preserve"> at para. 9 (S.C.).</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xml:space="preserve">  Having established that Larsen was negligent with respect to the second investment, RHI must also prove that the negligent conduct caused the loss claimed. Causation is determined by application of the "but for" test which requires that a plaintiff show that the injury would not have occurred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w:t>
      </w:r>
      <w:r>
        <w:rPr>
          <w:rFonts w:ascii="arial" w:eastAsia="arial" w:hAnsi="arial" w:cs="arial"/>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504" w:history="1">
        <w:r>
          <w:rPr>
            <w:rFonts w:ascii="arial" w:eastAsia="arial" w:hAnsi="arial" w:cs="arial"/>
            <w:i/>
            <w:color w:val="0077CC"/>
            <w:sz w:val="20"/>
            <w:u w:val="single"/>
            <w:shd w:val="clear" w:color="auto" w:fill="FFFFFF"/>
            <w:lang w:val="en-US" w:eastAsia="en-US" w:bidi="ar-SA"/>
          </w:rPr>
          <w:t>2007 SCC 7</w:t>
        </w:r>
      </w:hyperlink>
      <w:r>
        <w:rPr>
          <w:rFonts w:ascii="arial" w:eastAsia="arial" w:hAnsi="arial" w:cs="arial"/>
          <w:color w:val="000000"/>
          <w:sz w:val="20"/>
          <w:lang w:val="en-US" w:eastAsia="en-US" w:bidi="ar-SA"/>
        </w:rPr>
        <w:t xml:space="preserve"> at paras. 20-23.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Here, while the defendants did not argue causation in the legal sense, their position was that RHI's loss was the result of both the delay in the ALR process and then, ultimately, the crash in the real estate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With respect to the issue of market forces, while there was anecdotal evidence from Larsen and deChamplain about what happened in the market around the Sun Peaks Resort, the evidence did not establish either the magnitude or the timing of the alleged crash and, more particularly, how it affected the value of the Property. I agree with Larsen and deChamplain that it is unreasonable for RHI to assert that they should have anticipated the crash, however I am not satisfied that it was the real estate crash that caused RHI's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Similarly, while Larsen, deChamplain and Jupe all testified about the unanticipated delays in getting the Property out of the ALR and in the proposed stratification process, the evidence did not show how the Property value was affected.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More to the point, the Property went into foreclosure because McCallum could no longer service the debt. I pause here to note that Larsen stated in his evidence that CIBC initiated foreclosure proceedings because McCallum declared bankruptcy. In fact, the bank commenced its foreclosure proceeding on November 1, 2011 on the basis that McCallum was then in default. McCallum did not file for bankruptcy until January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It is apparent that McCallum defaulted on the first mortgage and on RHI's Mortgage due to a change in her and Jupe's financial circumstances. That possibility should have been apparent to Larsen at the time he proposed the second investment, particularly in light of the information he had that a third mortgage had been added to the Property to cover Jupe's stock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I am satisfied that had Larsen done appropriate due diligence at that time, and had the increased risks been explained to Sisett, RHI would not have made the second investment. I am therefore satisfied that it was Larsen's negligent conduct that caused RHI's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xml:space="preserve">  RHI has calculated its damages on the whole investment to be the principal of $158,000 plus arrears calculated to be $21,951, for a total of $179,951. None of the defendants took issue with this amount, including Jupe. RHI is entitled to judgment against Jupe in this amount pursuant to his guarantee of the Mortgage and the resulting default judgment. As I understand it, that amount was calculated as of March 31, 2012. RHI is entitled to pre-judgment interest on that amount from April 1, 2012 to the date of this order and thereafter to post-judgment interest pursuant to the </w:t>
      </w:r>
      <w:r>
        <w:rPr>
          <w:rFonts w:ascii="arial" w:eastAsia="arial" w:hAnsi="arial" w:cs="arial"/>
          <w:i/>
          <w:color w:val="000000"/>
          <w:sz w:val="20"/>
          <w:lang w:val="en-US" w:eastAsia="en-US" w:bidi="ar-SA"/>
        </w:rPr>
        <w:t>Court Order Interest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79</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COIA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xml:space="preserve">  With respect to Larsen and Madech, they are liable for damages suffered by RHI in connection with the second investment. The purpose of an award of damages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to put the injured party in the same position they would have been in had the negligent conduct not occurred. Here, I am satisfied that but for the negligent conduct, RHI would not have invested the further $50,000. Thus that is the measure of its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RHI initially received six months' interest prepaid on the Mortgage after it was extended. Thereafter, it is not entirely clear when the Mortgage went into default, although there is evidence that RHI received a payment on August 9,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xml:space="preserve">  I am assuming that this was the last payment received by RHI. Accordingly, RHI is entitled to pre-judgment interest on the $50,000 from September 1, 2010 to the date of this order and thereafter to post-judgment interest pursuant to the </w:t>
      </w:r>
      <w:r>
        <w:rPr>
          <w:rFonts w:ascii="arial" w:eastAsia="arial" w:hAnsi="arial" w:cs="arial"/>
          <w:i/>
          <w:color w:val="000000"/>
          <w:sz w:val="20"/>
          <w:lang w:val="en-US" w:eastAsia="en-US" w:bidi="ar-SA"/>
        </w:rPr>
        <w:t>COIA</w:t>
      </w:r>
      <w:r>
        <w:rPr>
          <w:rFonts w:ascii="arial" w:eastAsia="arial" w:hAnsi="arial" w:cs="arial"/>
          <w:color w:val="000000"/>
          <w:sz w:val="20"/>
          <w:lang w:val="en-US" w:eastAsia="en-US" w:bidi="ar-SA"/>
        </w:rPr>
        <w:t>. If any later payments were made on the Mortgage, then interest will run from the first day of the month following the last payment.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RHI is entitled to judgment against Jupe in the amount of $179,951 plus interest and against Larsen and Madech for $50,000 plus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The parties asked to speak to costs after the release of these Reasons. Accordingly, they may make arrangements through Supreme Court Scheduling to do so. The parties will exchange written outlines of their positions, not to exceed five pages double spaced, and will provide the submissions to the Court at least three days in advance of any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R.A. SKOLROOD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21" style="position:absolute;z-index:25180979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88"/>
          <w:headerReference w:type="default" r:id="rId989"/>
          <w:footerReference w:type="even" r:id="rId990"/>
          <w:footerReference w:type="default" r:id="rId991"/>
          <w:headerReference w:type="first" r:id="rId992"/>
          <w:footerReference w:type="first" r:id="rId99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94" w:history="1">
        <w:r>
          <w:rPr>
            <w:rFonts w:ascii="arial" w:eastAsia="arial" w:hAnsi="arial" w:cs="arial"/>
            <w:b/>
            <w:bCs/>
            <w:i/>
            <w:color w:val="0077CC"/>
            <w:kern w:val="32"/>
            <w:sz w:val="28"/>
            <w:szCs w:val="32"/>
            <w:u w:val="single"/>
            <w:shd w:val="clear" w:color="auto" w:fill="FFFFFF"/>
            <w:lang w:val="en-US" w:eastAsia="en-US" w:bidi="ar-SA"/>
          </w:rPr>
          <w:t>Sarkari v. Carew, [2018] B.C.J. No. 6787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Kelowna,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W.P. Riley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21-22,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Date of ruling given to parties with</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reasons to follow November 23,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3,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M111772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Kelowna</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[2018] B.C.J. No. 6787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2018 BCSC 2129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Fred Sarkari, Plaintiff, and Christopher Carew, Defendant, and Insurance Corporation of British Columbia, Third Party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(78 paras.)</w:t>
      </w:r>
    </w:p>
    <w:p>
      <w:pPr>
        <w:jc w:val="both"/>
        <w:rPr>
          <w:rFonts w:ascii="arial" w:eastAsia="arial" w:hAnsi="arial" w:cs="arial"/>
          <w:sz w:val="20"/>
          <w:lang w:val="en-US" w:eastAsia="en-US" w:bidi="ar-SA"/>
        </w:rPr>
      </w:pPr>
      <w:bookmarkStart w:id="235" w:name="Counsel_48"/>
      <w:bookmarkEnd w:id="23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22" style="position:absolute;z-index:2517084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J.A. Hemmerling and M. Prah.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Defendant: No Appearance.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Third Party: G. Ginter.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36" w:name="Judgment_48"/>
      <w:bookmarkEnd w:id="236"/>
      <w:r>
        <w:pict>
          <v:line id="_x0000_s1223" style="position:absolute;z-index:25175961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BASIC FACTS OF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TESTIMONY OF MR. SARKARI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TESTIMONY OF MR. HUGHES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TESTIMONY OF MR. CAREW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FACTUAL CONCLUSIONS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Route by Which Plaintiff's Sedan Drove onto Park Avenue</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(b) Position of Defendant's Motorcycle when Plaintiff's Sedan Drove onto Park Avenue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 Plaintiff's Speed and Manner of Driving on Park Avenue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 Defendant's Speed and Manner of Driving on Park Avenue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 Whether Plaintiff Signalled an Intention to turn Left</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Plaintiff Checked his Mirrors Before Turning Left</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Location of Plaintiff's Sedan when Defendant's Motorcycle Hit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COSTS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37" w:name="W.P. RILEY J."/>
            <w:bookmarkEnd w:id="237"/>
            <w:r>
              <w:rPr>
                <w:rFonts w:ascii="arial" w:eastAsia="arial" w:hAnsi="arial" w:cs="arial"/>
                <w:b/>
                <w:color w:val="000000"/>
                <w:sz w:val="30"/>
                <w:lang w:val="en-US" w:eastAsia="en-US" w:bidi="ar-SA"/>
              </w:rPr>
              <w:t>W.P. RILEY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These are reasons for judgment on the issue of liability in respect of a motor vehicle collision. The collision occurred on 7 May 2015, in Kelowna. The plaintiff Mr. Sarkari was driving a 2008 Mercedes Sedan and the defendant Mr. Carew was driving a 2007 BMW motorcycle. The vehicles collided at the intersection of Park Avenue and Knox Crescent. The plaintiff Mr. Sarkari filed a Notice of Civil Claim, seeking damages from Mr. Carew in connection with the collision; Mr. Sarkari says Mr. Carew bears full responsibility for the collision and should be found liable. Mr. Carew did not file an appearance in this matter. The third party ICBC filed a Third Party Notice and a Response to the Notice of Civil Claim, denying liability for the collision on behalf of Mr. Carew.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trial in this matter began on 21 November 2018 and lasted for two days. On 23 November 2018, I gave judgment, holding that this was a case requiring apportionment of liability, and that the defendant bore 80% responsibility and the plaintiff bore 20% responsibility, with written reasons to follow. These are the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There were two witnesses called by the plaintiff. The first was Mr. Sarkari himself. The second was Mr. Hughes, a pedestrian who was on the sidewalk when the collision took place more or less right in front of him. The third party called one witness, Mr. Carew.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Basic Facts of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Based on all of the evidence, there appears to be no real dispute about the basic facts of the collision, which occurred shortly after 4:00 p.m. on 7 May 2015. It was a sunny day and the roads were dry. The area where the collision occurred is a residential area near the waterfront in Kelowna. Mr. Sarkari, the sole occupant of his Mercedes sedan, was driving northbound on Long Street. He turned right, heading eastbound on Park Avenue. He then drove about two or three car lengths, before starting a left turn intending to go northbound on Knox Crescent. Meanwhile, Mr. Carew was driving his BMW motorcycle eastbound on Park Avenue, behind Mr. Sarkari's sedan. As the sedan started its left turn onto Knox Crescent, the motorcycle ran into the rear driver's side of the BMW.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motorcycle was moving at such a speed that it flipped over the sedan and landed on the road on the opposite side. Mr. Carew was thrown from the motorcycle, landing on the pavement some 10 to 15 feet east of the point where the collision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collision caused a large dent on the driver side rear quarter panel of Mr. Sarkari's sedan; there was also damage to the rear window and the roof of the car as Mr. Carew and his motorcycle rolled over it. Mr. Carew's motorcycle was totalled. The front forks were bent, and the gas tank appears to have been crushed or sheered 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Although the basic facts of the collision are beyond dispute, the cause is not. At this point, it is necessary to separately review the events from the perspective of Mr. Sarkari, Mr. Hughes, and Mr. Carew.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Testimony of Mr. Sarkari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Sarkari testified that he was on Long Street, intending to turn right onto Park Avenue. He stopped at the stop sign on Long Street and looked up and down Parke Avenue before proceeding. He did not see any cars coming westbound. He did notice the motorcycle coming eastbound on Park Avenue from Abbott Street, but it was more than one block away from his position. Seeing that the intersection was clear, Mr. Sarkari turned right onto Park Avenue. He was driving slowly, intending to take an immediate left on Knox Crescent, a mere two or three car lengths further down Park Avenue. He was traveling at 10 to 20 kilometers per hour, and it took him about two to three seconds to turn right onto Park Avenue and before turning left onto Knox Crescent. Before he completed the turn, he felt his car stop. He believed something hit his car but he did not see what it was. He immediately put his car in park and got out, at which point he saw damage to the rear driver's side of his car, but still did not know what had hit him. He went around to the other side of his car, where he saw a motorcycle on the ground. Mr. Sarkari then saw the motorcycle driver, later determined to be Mr. Carew, lying on the ground about 10 to 15 feet away from the point where the collision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Sarkari testified that he believed it was safe to turn onto Park Avenue because there were no vehicles coming westbound, and the only vehicle coming eastbound was the motorcycle, more than one block away. Mr. Sarkari had no independent recollection of whether he used his turn signal as he turned right onto Park Avenue, and then left onto Knox Crescent, but he testified that it was his practice to signal when turning and he believes he did so on this occasion. Mr. Sarkari further testified that he could not independently recall whether he looked in his rear view mirror or side mirror before starting the left turn onto Knox Crescent, but it was his practice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cross-examination, Mr. Sarkari said he could not recall or could not say for sure that he looked in his rear view mirror or side mirror, although he maintained that it was his practice. He did not do a shoulder check. Later in his cross-examination, Mr. Sarkari said he did not need to look in the mirror because he knew when he turned onto Park Avenue that there were no vehicles approaching him; the only vehicle he saw on Park Avenue was the motorcycle, which was more than one block away. He agreed with the suggestion that he assumed the motorcycle was a safe distance behind him when he started his left turn onto Knox Crescent, adding that he would have had to check his mirrors because it was not necessary to do so. Mr. Sarkari did not see the motorcycle as he began the turn, and did not realize it hit him until he got out of his vehicle and saw the motorcycle on the opposite side of his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 found Mr. Sarkari to be a credible and reliable witness. His testimony was straightforward and largely consistent throughout. He was not combative or argumentative on cross-examination. He readily acknowledged having no independent recollection of actually checking his mirrors or using his turn signals, although he believed that he did so because it was his common practice. However, as noted, he later testified that it was not necessary for him to check, because the motorcycle was at least one block away from him when he drove onto Park Avenue. Although I do not consider this to be an inconsistency in his testimony, I take it to be an acknowledgment or concession that he may not have checked in his mirror before starting the left hand turn, knowing that a mere two to three seconds earlier there were no vehicles within a block of his position. Thus, he assumed that the motorcycle was still a safe distance behind him when he began the left hand turn onto Knox Crescent.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Testimony of Mr. Hughes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 turn now to the evidence of Mr. Hughes. There are two components to his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first component of Mr. Hughes' testimony is less germane than the second, but I will recount it as it still has at least some relevance. Mr. Hughes testified that in the late afternoon hours of 7 May 2015, he was jogging northbound on Abbott Street when he heard a motorcycle coming up from behind him. The engine was unusually loud, giving him the impression that the motorcycle was going fast. It drove past him and continued northbound. Mr. Hughes estimates that the motorcycle was travelling 70 kilometers per hour. Mr. Hughes went on to testify about the collision, as described below, which took place a short time later, a few blocks away from where he saw the apparently speeding motorcycle. Mr. Hughes testified that the motorcycle he saw go by him at a high rate of speed on Abbott Street was the same motorcycle he later saw in the collision at the intersection of Park Avenue and Knox Crescent. Mr. Hughes believed it was the same motorcycle because it sounded the same, it was the same style of motorcycle, and the driver appeared to be wearing the same clothing.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second component of Mr. Hughes' testimony is more significant because it relates directly to the collision. In particular, at some time just past 4:00 pm, as Mr. Hughes continued on his regular running route, he was going eastbound on Park Avenue, on the sidewalk on the north side of the street when he witnessed the collision. He was about 30 feet from the intersection of Park Avenue and Knox Crescent when it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Just before the collision, Mr. Hughes also saw Mr. Sarkari's sedan just in front of him. It turned right onto Park Avenue, and travelled north on Park Avenue for about two or three seconds, travelling at about 10 kilometers per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At more or less the same time, Mr. Hughes heard a motorcycle coming up behind him. Mr. Hughes thought it was moving fast because the engine was loud. Mr. Hughes saw the motorcycle drive past him, eastbound on Park Avenue, just as the sedan started to make a left turn onto Knox Crescent. Mr. Hughes estimated that the motorcycle was travelling at about 60 kilometers per hour as it passed him. In cross-examination, Mr. Hughes agreed that it is difficult to estimate the speed of a vehicle based on visual observation. Mr. Hughes thought there might be an accident, because the motorcycle was travelling fast, and it was not clear what the motorcyclist could do to avoid hitting the turning sedan.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Hughes saw the motorcycle slow down and swerve to the left in an apparent effort to avoid the sedan. He estimates that the motorcycle was past the centre of the road, near the north edge of Park Avenue when it hit the rear driver side of the sedan. The motorcycle driver flipped over the sedan, and landed on the road about 10 to 15 feet away, just in front of the sidewalk on the north east corner of the intersection of Park Avenue and Knox Crescent.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Testimony of Mr. Carew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 turn now to the testimony of Mr. Carew. Before addressing his evidence concerning the collision, I will first summarize two other aspects of his evidence, namely his driving qualifications and training, and his activities before the collision on 7 May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With regard to his driver qualifications and training, Mr. Carew testified in chief that he had a class 5 license, and a 6L license. A class 5 license is a basic license for driving a car. A class 6L license is a learner's license for driving a motorcycle, the terms of which require that Mr. Carew can only drive a motorcycle in the company of another person, over the age of 25, with a valid license to drive a motorcycle. Mr. Carew admitted that on the date of the collision on 7 May 2015, he was driving a motorcycle without being in the company of another licensed motorcycle operator, contrary to the terms of his license. It was admitted that as a result of the incident on 7 May 2015, Mr. Carew received a ticket for driving a motorcycle without a proper license; the ticket was not disputed and he was thus found guilty of an offence under s. 24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cross-examination, Mr. Carew was equivocal about whether he had any form of motorcycle license at all on 7 May 2015. He testified that he failed the written portion of the test several times, but he could not recall whether that was before or after 7 May 2015. When discovery transcript was put to him, in which he admitted that he did not take the tests until after the 7 May 2015 incident, Mr. Carew appeared to concede that he had no license at all at the time of the accident. He also conceded that at the time of the collision on 7 May 2015 he had no motorcycle training, had not taken any courses, and that he was basically "a new guy on a motorcycle".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With regard to his activities in the time frame leading up to the collision on 7 May 2015, Mr. Carew testified in chief that he had gone out for a motorcycle ride some time in the late morning or early afternoon. He drove his motorcycle from his home, to a beach on Lake Avenue. After visiting with a friend for 10 to 15 minutes, he got back on his motorcycle, driving south on Abbott Street and then turning onto Park Avenue, intending to head out of town via Pandosy Street. Mr. Carew denied that he was the motorcyclist Mr. Hughes had seen driving northbound on Abbott at a high rate of speed. Mr. Carew said he never drove northbound on Abbott that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cross-examination, Mr. Carew gave vague and inconsistent evidence about the time of day when the accident occurred. At first he testified in cross-examination that he started his motorcycle ride in the early afternoon but he could not remember the exact time. He agreed that in his written statement given four days after the event, he said he left his house for a motorcycle ride at 3:00 pm, meaning the collision must have occurred at some point after that. Mr. Carew's explanation for the timing discrepancy was that he could not now recall exactly what time of day the accident took place; all he could say was that it was a sunny day. When it was suggested that the accident actually took place some time after 4:00 p.m., Mr. Carew said that timeline did not make sense to him, because he did not think he had been riding his motorcycle for that long before the accident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addition to my general concerns regarding Mr. Carew's overall credibility as discussed below, I find Mr. Carew's evidence regarding his activities before the collision to be internally inconsistent, and inconsistent with the other evidence including the testimony of both Mr. Sarkari and Mr. Hughes. I cannot accept Mr. Carew's evidence on these points. I am satisfied that it was in fact Mr. Carew who Mr. Hughes had seen driving a motorcycle southbound on Abbott Street, at a high rate of speed, a short time before the collision with Mr. Sarkari.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 turn next to Mr. Carew's evidence about the collision itself. He testified in chief that he drove his motorcycle southbound on Abbott, and then turned left onto Park Avenue. He saw a car - clearly, Mr. Sarkari's sedan - in front of him. He was unclear when precisely he first caught sight of it. The sedan was travelling slowly; it had Alberta plates and Mr. Carew thought the driver might be trying to figure out where he was going. Mr. Carew said he "feels like maybe" the car still had its right turn signal on from turning right onto Park Avenue. Mr. Carew then "accelerated to go by him"; at this point he was in second gear, travelling 50 to 60 kilometers per hour. He explained that this was an estimate as he was not looking at his speedometer. He then realized that the sedan was starting a left turn directly in front of him. He believes his motorcycle was in the "outside of the lane", basically in centre of the road at that point. He made an attempt to avoid the sedan by veering further to the left, but it was too late. Mr. Carew testified that the last thing he remembers is trying to slow down before the collision. He applied his brakes and braced for impact. He cannot remember the collision itself. The next thing he remembers is coming to, lying on the ground, with a person telling him he had been in a serious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cross-examination, it was suggested that when Mr. Carew said he "tried to slow down", this implied he was going too fast. Mr. Carew disagreed, explaining that he tried to slow down because he knew he was going to hit the sedan and it was better to do so at 10 or 20 kilometers per hour than at 30 or 40 kilometers per hour. Mr. Carew expressed the belief that Mr. Sarkari's sedan was actually going too slow. He agreed that he accelerated to 50 to 60 kilometers per hour to pass the sedan. When asked later in the cross-examination why he did not just slow down, Mr. Carew responded that he tried to slow down as best he could, but you cannot stop on a dime when driving a motorcycle.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Also in cross-examination, Mr. Carew was unable to say how long he was following behind the sedan when he first saw it. He agreed that in his examination for discovery - which took place about 14 months before the trial - he stated that he had been following behind the sedan for 30 to 40 seconds. He agreed that he gave those answers at the discovery, but could not say if they were correct, because he did not have a full recollection of the event. He explained that he suffered a concussion as a result of the accident and his memory was poor. He could not say, at the time of his trial testimony, how long he was driving behind the sedan before the collision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Carew was also cross-examined on a written statement he made on 11 May 2015, four days after the event. He agreed that generally his memory of the incident would have been better at that time than at the time of his trial testimony. Mr. Carew agreed that in the statement, he said he was travelling maybe 50 to 55 kilometers per hour "intending to pull by him" when he (meaning Mr. Sarkari, driving the sedan) "crowded me left and started a left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At the conclusion of the first day of trial, Mr. Carew was still under cross-examination. I directed him to return to court the following morning to continue his testimony. When court convened the following day Mr. Carew was not present.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 will go back a step to explain that at the end of the proceedings on the first day of trial, Mr. Carew said it was going to be inconvenient for him to return to court because his employer - in Abbotsford - was expecting him to be back at work. I told Mr. Carew that he could convey to his employer that he has been ordered by a Judge of the Supreme Court to return to court to finish his testimony. Mr. Carew acknowledged that. He gave no other reason why he would be unable to attend court for the continuation of his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On the second day of trial, the case was called at 10:20 a.m. and Mr. Carew was not present. The case was stood down and efforts were made to contact him. The case was recalled at 11:00 a.m. and Mr. Carew was still not in attendance. Counsel for ICBC informed the Court that she had left messages for Mr. Carew on his cell phone; counsel explained that previously Mr. Carew had answered his cell phone or returned her calls promptly, and she had no explanation for why he was no longer doing so. Counsel for ICBC made efforts to reach Mr. Carew through his former legal counsel, with no success. Counsel for ICBC also sent an email to Mr. Carew at an email address provided by his former counsel, with no response.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I then heard submissions from the parties with regard to how the case should proceed in the wake of Mr. Carew's failure attend for the completion of cross-examination. Counsel for the plaintiff initially argued that Mr. Carew's failure to attend engaged Rule 12-5(76) as applied in cases such as </w:t>
      </w:r>
      <w:r>
        <w:rPr>
          <w:rFonts w:ascii="arial" w:eastAsia="arial" w:hAnsi="arial" w:cs="arial"/>
          <w:i/>
          <w:color w:val="000000"/>
          <w:sz w:val="20"/>
          <w:lang w:val="en-US" w:eastAsia="en-US" w:bidi="ar-SA"/>
        </w:rPr>
        <w:t>Bithell v. Surrey Memorial Hospital</w:t>
      </w:r>
      <w:r>
        <w:rPr>
          <w:rFonts w:ascii="arial" w:eastAsia="arial" w:hAnsi="arial" w:cs="arial"/>
          <w:color w:val="000000"/>
          <w:sz w:val="20"/>
          <w:lang w:val="en-US" w:eastAsia="en-US" w:bidi="ar-SA"/>
        </w:rPr>
        <w:t xml:space="preserve">, </w:t>
      </w:r>
      <w:hyperlink r:id="rId995" w:history="1">
        <w:r>
          <w:rPr>
            <w:rFonts w:ascii="arial" w:eastAsia="arial" w:hAnsi="arial" w:cs="arial"/>
            <w:i/>
            <w:color w:val="0077CC"/>
            <w:sz w:val="20"/>
            <w:u w:val="single"/>
            <w:shd w:val="clear" w:color="auto" w:fill="FFFFFF"/>
            <w:lang w:val="en-US" w:eastAsia="en-US" w:bidi="ar-SA"/>
          </w:rPr>
          <w:t>2008 BCSC 684</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Laponder v. Birckich</w:t>
      </w:r>
      <w:r>
        <w:rPr>
          <w:rFonts w:ascii="arial" w:eastAsia="arial" w:hAnsi="arial" w:cs="arial"/>
          <w:color w:val="000000"/>
          <w:sz w:val="20"/>
          <w:lang w:val="en-US" w:eastAsia="en-US" w:bidi="ar-SA"/>
        </w:rPr>
        <w:t xml:space="preserve">, </w:t>
      </w:r>
      <w:hyperlink r:id="rId996" w:history="1">
        <w:r>
          <w:rPr>
            <w:rFonts w:ascii="arial" w:eastAsia="arial" w:hAnsi="arial" w:cs="arial"/>
            <w:i/>
            <w:color w:val="0077CC"/>
            <w:sz w:val="20"/>
            <w:u w:val="single"/>
            <w:shd w:val="clear" w:color="auto" w:fill="FFFFFF"/>
            <w:lang w:val="en-US" w:eastAsia="en-US" w:bidi="ar-SA"/>
          </w:rPr>
          <w:t>2017 BCSC 1888</w:t>
        </w:r>
      </w:hyperlink>
      <w:r>
        <w:rPr>
          <w:rFonts w:ascii="arial" w:eastAsia="arial" w:hAnsi="arial" w:cs="arial"/>
          <w:color w:val="000000"/>
          <w:sz w:val="20"/>
          <w:lang w:val="en-US" w:eastAsia="en-US" w:bidi="ar-SA"/>
        </w:rPr>
        <w:t>. However, those cases are distinguishable because although Mr. Carew is a party who failed to attend for the conclusion of his evidence, in this case there is another party, ICBC, who is legally in a position to argue against Mr. Carew's liability. ICBC should not be deprived of its ability to argue against liability on the basis of the failure of a separate party, Mr. Carew, to attend for the continuation of his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After further discussion with counsel, there appeared to be two options as to how to proceed in the wake of Mr. Carew's non-attendance.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first option would have been to adjourn the trial so that steps could be taken to compel Mr. Carew's attendance to complete his cross-examination. This would involve either a warrant for Mr. Carew's arrest, or a subpoena compelling his attendance. As far as this option is concerned, there is a complicating factor in that Mr. Carew was not formally under subpoena; he attended court voluntarily through arrangements between himself, his counsel, and counsel for ICBC. While I clearly ordered Mr. Carew to return to court to complete his cross-examination, strictly speaking an arrest warrant under Rule 12-5(38) could not be issued because two of the prerequisites were not met, those being the requirement for service of a subpoena and the provision of witness fees. Of course, the Court would still have the inherent jurisdiction to issue a warrant based on Mr. Carew's apparent choice not to attend Court in the face of my clear direction to do so, as a form of contempt of court. However, that course was procedurally more complicated and not fully explored by the parties. Yet another manner of course of action would have been to adjourn the trial so that counsel for ICBC could serve Mr. Carew with a subpoena and witness fees; then if Mr. Carew failed to attend at the continuation, a warrant could be issued for his arrest under Rule 12-5(38). In the end, counsel for the plaintiff urged the Court not to adjourn the trial because of the resulting prejudice to his client in terms of both added cost and delay.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The second option would be to proceed with the trial without hearing the balance of Mr. Carew's cross-examination. This, of course, would involve some prejudice to the plaintiff's case, in that plaintiff's counsel would be deprived of the opportunity to complete his cross-examination of Mr. Carew, a participant in and key witness to the collision. Further cross-examination of Mr. Carew may well have elicited additional evidence bearing on his credibility. It might also have elicited additional testimony about the particulars of the collision, helpful to the plaintiff's case. In the end, plaintiff's counsel and counsel for ICBC agreed that the prejudice to the plaintiff's case could be addressed by way of an adverse inference, as discussed in the somewhat comparable case of </w:t>
      </w:r>
      <w:r>
        <w:rPr>
          <w:rFonts w:ascii="arial" w:eastAsia="arial" w:hAnsi="arial" w:cs="arial"/>
          <w:i/>
          <w:color w:val="000000"/>
          <w:sz w:val="20"/>
          <w:lang w:val="en-US" w:eastAsia="en-US" w:bidi="ar-SA"/>
        </w:rPr>
        <w:t>Lau v. Insurance Corporation of British Columbia</w:t>
      </w:r>
      <w:r>
        <w:rPr>
          <w:rFonts w:ascii="arial" w:eastAsia="arial" w:hAnsi="arial" w:cs="arial"/>
          <w:color w:val="000000"/>
          <w:sz w:val="20"/>
          <w:lang w:val="en-US" w:eastAsia="en-US" w:bidi="ar-SA"/>
        </w:rPr>
        <w:t xml:space="preserve">, </w:t>
      </w:r>
      <w:hyperlink r:id="rId997" w:history="1">
        <w:r>
          <w:rPr>
            <w:rFonts w:ascii="arial" w:eastAsia="arial" w:hAnsi="arial" w:cs="arial"/>
            <w:i/>
            <w:color w:val="0077CC"/>
            <w:sz w:val="20"/>
            <w:u w:val="single"/>
            <w:shd w:val="clear" w:color="auto" w:fill="FFFFFF"/>
            <w:lang w:val="en-US" w:eastAsia="en-US" w:bidi="ar-SA"/>
          </w:rPr>
          <w:t>2012 BCSC 1226</w:t>
        </w:r>
      </w:hyperlink>
      <w:r>
        <w:rPr>
          <w:rFonts w:ascii="arial" w:eastAsia="arial" w:hAnsi="arial" w:cs="arial"/>
          <w:color w:val="000000"/>
          <w:sz w:val="20"/>
          <w:lang w:val="en-US" w:eastAsia="en-US" w:bidi="ar-SA"/>
        </w:rPr>
        <w:t>, at paras. 22 and 55-57.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Having heard all the evidence, I find that there are serious problems with both the credibility and reliability of Mr. Carew's testimony. With regard to reliability, Mr. Carew asserted that he had poor memory of the events due to a concussion arising from the collision. In terms of credibility, there were a number of key points in respect of which Mr. Carew's answers in direct examination differed markedly from his answers on cross-examination. Key aspects of his evidence were also contradicted by his answers given in discovery, and by assertions made in his written statement. As the cross-examination proceeded, Mr. Carew became more and more combative and less responsive. He also placed increasing reliance on alleged lapses in memory due to a concussion suffered in the collision, in response to questions about specific details of the collision. This is significant because in chief Mr. Carew testified that he could not remember anything after the point at which he tried to brace for impact. By contrast, near the end of the his cross-examination he claimed that because of the concussion he was unable to remember many of the details preceding the collision, including what time of day it was when the collision occurred, how long he had been following behind Mr. Sarkari's car, where he was when he first caught sight of Mr. Sarkari's car, and whether he could or could not see other cars on the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Added to all this, there is the adverse inference arising from Mr. Carew's failure to return to court for the completion of his cross-examination. Mr. Carew failed to return to court in response to a specific direction to do so, and there is no evidence of an effort to report to the court or even respond to enquiries from counsel following his non-attendance. In the result, the plaintiff was deprived of the opportunity to further probe both the credibility and the substance of Mr. Carew's testimony.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Factual Conclusions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written submissions, counsel for ICBC usefully set out a number of factual issues which must be resolved in order to properly analyze this case. My findings on these factual issues are addressed below under sub-headings (a) through (g).</w:t>
      </w:r>
      <w:r>
        <w:rPr>
          <w:rFonts w:ascii="arial" w:eastAsia="arial" w:hAnsi="arial" w:cs="arial"/>
          <w:sz w:val="20"/>
          <w:lang w:val="en-US" w:eastAsia="en-US" w:bidi="ar-SA"/>
        </w:rPr>
        <w:cr/>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Route by Which Plaintiff's Sedan Drove onto Park Avenue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Both Mr. Sarkari and Mr. Hughes gave clear evidence that Mr. Sarkari drove onto Park Avenue from Long Street, turning right. I have no hesitation in accepting their evidence on this point.</w:t>
      </w:r>
      <w:r>
        <w:rPr>
          <w:rFonts w:ascii="arial" w:eastAsia="arial" w:hAnsi="arial" w:cs="arial"/>
          <w:sz w:val="20"/>
          <w:lang w:val="en-US" w:eastAsia="en-US" w:bidi="ar-SA"/>
        </w:rPr>
        <w:cr/>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Position of Defendant's Motorcycle when Plaintiff's Sedan Drove onto Park Avenue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Mr. Sarkari testified that when he stopped at the stop sign on Long Street, he looked down the road and saw the motorcycle as it came off Abbott Street and onto Park Avenue. Mr. Sarkari further testified that when he turned onto Park Avenue, the motorcycle was more than a full city block away, travelling eastbound on Park Avenue. I accept Mr. Sarkari's evidence on both of these points. His credibility was never seriously challenged, and I find his evidence to be reliable. He had a very clear recollection of the events. His evidence on this point reflected a fair degree of confidence in his position, and his subsequent actions were entirely consistent with that perspective.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 Plaintiff's Speed and Manner of Driving on Park Avenue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Mr. Sarkari testified that he was on Park Avenue for two to three seconds, travelling a distance of two to three car lengths at a speed of 10 to 20 kilometers per hour before starting his turn onto Knox Crescent. The evidence of Mr. Hughes was basically to the same effect. From the perspective of Mr. Hughes, there was nothing unusual or particularly notable about Mr. Sarkari's manner of driving, and Mr. Hughes recalls that he was going slowly. And to the extent that I place any reliance at all on Mr. Carew's evidence, nothing he said in his testimony contradicts Mr. Sarkari on this point. In fact, Mr. Carew confirmed that Mr. Sarkari's sedan appeared to be travelling slowly. I accept Mr. Sarkari's evidence on this point.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 Defendant's Speed and Manner of Driving on Park Avenue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Mr. Carew testified that he was initially traveling at 50 to 60 kilometers per hour as he drove east on Park Avenue. He acknowledged that he was not checking his speedometer, but this was his best estimate. Mr. Hughes testified that when Mr. Carew's motorcycle was parallel with his position, he looked right and saw the motorcycle go by him. He estimated the motorcycle's speed at 60 kilometers per hour, although he acknowledged that it was difficult to determine speed of a vehicle in this context. I find that Mr. Carew was travelling 50 to 60 miles per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Mr. Carew testified that when he saw Mr. Sarkari's sedan in front of him, he swerved left, intending to pass it. When he realized Mr. Sarkari's sedan was in fact turning left, it was too late for him to change course and he did not see anywhere to go, so he slowed down and braced for impact. The testimony of Mr. Hughes is more or less to the same effect; he testified that the motorcycle swerved slightly to the left and started to slow down before hitting the sedan. Mr. Hughes also testified that when the motorcycle hit the sedan, the motorcycle was on Park Avenue, in the westbound lane, near the edge of the road, but not on the gravel. This matches up with the place where Mr. Carew landed after flipping over Mr. Sarkari's car, as pointed out by Mr. Hughes in the scene photographs.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Finally, I note that after impacting Mr. Sarkari's sedan, Mr. Carew's 500 to 700 pound motorcycle flipped over the sedan and landed on the opposite side of the car. Although I did not have the benefit of any expert or forensic evidence in this case, common sense suggests that even after slowing down somewhat as Mr. Carew braced for impact, the motorcycle must have been travelling quite quickly to have ended up where it did. I accept all of the above as an accurate account of Mr. Carew's manner of driving on Park Avenue.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 Whether Plaintiff Signalled an Intention to turn Left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Mr. Sarkari testified that it is his normal practice to use his indicator signals when turning, and he believes he signalled on this occasion, although he has no independent recollection of doing so. Mr. Hughes did not appear to notice whether or not Mr. Sarkari signalled before commencing his left turn onto Knox Crescent.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For his part, Mr. Carew testified in chief that he "feels like" Mr. Sarkari still had his right hand signal light on, after the right hand turn from Long Street onto Park Avenue, and that this caused Mr. Carew to believe he had an opportunity to pass. It is significant to me that Mr. Carew did not say he saw the right hand signal light, nor did he say he thought he saw it, nor did he say that he thought he had a memory of seeing it. Instead, he testified that he "feels like" the right hand signal light was on, without giving any basis for that "feeling". Taking into account all of the issues with respect to Mr. Carew's credibility as discussed above, I place no weight on Mr. Carew's assertion that he "feels like" Mr. Sarkari's right hand signal light was still on at or shortly before the time that Mr. Sarkari commenced his left turn onto Knox Crescent.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Counsel for ICBC suggests that the Court should view Mr. Sarkari's testimony about his "normal practice" with skepticism, because Mr. Sarkari had a very clear and specific recollection of many of the details leading up to the collision, but professed to have no specific recollection of whether he used his turn signals. I do not accept counsel's submission on this point. I find it entirely plausible that a person can have an independent recollection of travelling a certain route, the speed at which one was travelling, and the manner of driving, without having an independent recollection of whether or not one used a turn signal, which can be an almost automatic action for an experienced driver with good driving habits.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Nevertheless, on all the evidence, I conclude that Mr. Sarkari did not signal his left hand turn onto Knox Crescent. Mr. Hughes did not see a turn signal, which may not be all that surprising in that he simply may not have noticed it. Mr. Sarkari has no independent recollection of signalling, which again is not surprising, for the reasons explained above. However, what is most telling is Mr. Sarkari's testimony about whether he checked his mirrors before turning. One of the points Mr. Sarkari accepted in cross-examination is that since the motorcycle was more than one block away when he drove onto Park Avenue, he assumed the motorcycle would still be a safe distance behind him when he began his turn onto Knox Crescent. My conclusion is that Mr. Sarkari effectively conceded in cross-examination that he did not check his mirrors for this reason. The same reasoning applies with more or less the same force to the question of whether Mr. Sarkari used his signal light before initiating the left turn. There is no direct evidence that he actually did so, and his testimony as a whole suggests that at the time he did not consider it necessary, on the assumption that there were no vehicles in his immediate vicinity when he initiated the left turn.</w:t>
      </w:r>
      <w:r>
        <w:rPr>
          <w:rFonts w:ascii="arial" w:eastAsia="arial" w:hAnsi="arial" w:cs="arial"/>
          <w:sz w:val="20"/>
          <w:lang w:val="en-US" w:eastAsia="en-US" w:bidi="ar-SA"/>
        </w:rPr>
        <w:cr/>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Plaintiff Checked his Mirrors Before Turning Left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Mr. Sarkari testified that it is his normal practice to check his mirrors before making a left hand turn, and he believes he did so on this occasion, while frankly admitting that he had no independent recollection of doing so. In the end, even though I accept Mr. Sarkari's testimony that it is his normal practice to check behind him using his mirror or mirrors, I find that he did not do so on this occasion, for two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First, if Mr. Sarkari had in fact checked his mirrors, it is very likely that he would have seen the motorcycle. Mr. Carew's motorcycle was in relative close proximity to Mr. Sarkari's sedan when Mr. Sarkari began his left turn onto Knox Crescent. According to Mr. Hughes, the motorcycle was parallel to his position, about 30 feet away from the intersection of Park Avenue and Knox Crescent when Mr. Sarkari initiated his left turn. Mr. Sarkari was only travelling 10 to 20 kilometers per hour. At that distance and at that speed, there is every reason to believe that if Mr. Sarkari checked his mirrors, he would have seen the motorcycle. Since he admittedly did not see the motorcycle coming, I conclude that it is because he did not check his mirrors.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second point was already alluded to above, namely Mr. Sarkari's testimony that since the motorcycle was more than one block away when he drove onto Park Avenue, he assumed it would still be a safe distance behind him when he began his turn onto Knox Crescent. As noted above, my assessment is that Mr. Sarkari effectively conceded in cross-examination that he did not check his mirrors for this reason.</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Location of Plaintiff's Sedan when Defendant's Motorcycle Hit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Mr. Sarkari testified that his sedan stopped immediately upon impact, and that he immediately put the car in park. If this account was accurate, it would mean that at the point of impact, the sedan was well onto Knox Crescent, as indicated in the scene photographs. However, I have no difficulty concluding, on the basis of the testimony of Mr. Hughes combined with the photographic evidence, that the rear portion of Mr. Sarkari's sedan was in fact in the westbound lane of Park Avenue when the motorcycle hit it. Mr. Hughes testified to this effect. I also note that after flipping over Mr. Sarkari's sedan, Mr. Carew landed on the northeast corner of the intersection of Park Avenue and Knox Crescent, just in front of the sidewalk. Assuming his flight over Mr. Sarkari's car was linear, this would mean the sedan was in the westbound lane of Park Avenue when it was hit by Mr. Carew's motorcycle.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Various provisions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are relevant to this case. I will review each of them briefly.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Section 24 prohibits operating a vehicle without a license. I will not quote the text of the provision.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Section 144 deals with driving without due care and attention. It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Careless driving prohibited</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must not drive a motor vehicle on a</w:t>
      </w:r>
    </w:p>
    <w:p>
      <w:pPr>
        <w:numPr>
          <w:numId w:val="7"/>
        </w:numPr>
        <w:tabs>
          <w:tab w:val="clear" w:pos="1120"/>
          <w:tab w:val="num" w:pos="1480"/>
        </w:tabs>
        <w:spacing w:before="120" w:line="240" w:lineRule="atLeast"/>
        <w:ind w:left="1480"/>
        <w:rPr>
          <w:rFonts w:ascii="arial" w:eastAsia="arial" w:hAnsi="arial" w:cs="arial"/>
          <w:sz w:val="20"/>
          <w:lang w:val="en-US" w:eastAsia="en-US" w:bidi="ar-SA"/>
        </w:rPr>
      </w:pP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without due care and attention,</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without reasonable consideration for other persons using the highway, or</w:t>
      </w:r>
    </w:p>
    <w:p>
      <w:pPr>
        <w:numPr>
          <w:numId w:val="1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at a speed that is excessive relative to the road, traffic, visibility or weather conditions.</w:t>
      </w:r>
    </w:p>
    <w:p>
      <w:pPr>
        <w:numPr>
          <w:numId w:val="1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who contravenes subsection (1) (a) or (b) is liable on conviction to a fine of not less than $100 and, subject to this minimum fine, section 4 of the Offence Act applies.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Section 146(1) addresses speed limits, and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Speed limits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146 (1) Subject to this section, a person must not drive or operate a motor vehicle on a highway in a municipality or treaty lands at a greater rate of speed than 50 km/h, and a person must not drive or operate a motor vehicle on a highway outside a municipality at a greater rate of speed than 80 km/h.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Section 157 sets out a driver's duty when overtaking another vehicle. It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Duty when overtaking</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157 (1) Except as provided in section 158, the</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driver of a vehicle overtaking another vehicle</w:t>
      </w:r>
      <w:r>
        <w:rPr>
          <w:rFonts w:ascii="arial" w:eastAsia="arial" w:hAnsi="arial" w:cs="arial"/>
          <w:sz w:val="20"/>
          <w:lang w:val="en-US" w:eastAsia="en-US" w:bidi="ar-SA"/>
        </w:rPr>
        <w:cr/>
      </w:r>
    </w:p>
    <w:p>
      <w:pPr>
        <w:numPr>
          <w:numId w:val="1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must cause the vehicle to pass to the left of the other vehicle at a safe distance, and</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must not cause or permit the vehicle to return to the right side of the highway until safely clear of the overtaken vehicle.</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Except when overtaking and passing on the right is permitted, a driver of an overtaken vehicle,</w:t>
      </w:r>
    </w:p>
    <w:p>
      <w:pPr>
        <w:numPr>
          <w:numId w:val="1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on hearing an audible signal given by the driver of the overtaking vehicle, must cause the vehicle to give way to the right in favour of the overtaking vehicle, and</w:t>
      </w:r>
    </w:p>
    <w:p>
      <w:pPr>
        <w:numPr>
          <w:numId w:val="1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must not increase the speed of the vehicle until completely passed by the overtaking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Section 159, which governs passing a vehicle on the left, states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Passing on left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159 A driver of a vehicle must not drive to the left side of the roadway in overtaking and passing another vehicle unless the driver can do so in safety.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Section 160 addresses the requirement for a driver not to enter the left side of the road, unless the driver has a clear view. It states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Clear view on passing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160 A driver of a vehicle must not drive to or on the left side of the roadway, other than on a one way highway, unless the driver has a clear view of the roadway for a safe distance, having regard for all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Section 165 sets out the requirements for a driver intending to make a left turn at the intersection of two roads. It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Turning at intersections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165 (1) If the driver of a vehicle intends to turn it to the right at an intersection, the driver must cause it to approach the intersection and then make the turn as close as practicable to the right hand curb or edge of the roadway.</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the driver of a vehicle intends to turn it to the left at an intersection where traffic is permitted to move in both directions on each highway entering the intersection, the driver must</w:t>
      </w:r>
    </w:p>
    <w:p>
      <w:pPr>
        <w:numPr>
          <w:numId w:val="1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cause the vehicle to approach the intersection in the portion of the right side of the roadway that is nearest the marked centre line, or if there is no marked centre line, then as far as practicable in the portion of the right half of the roadway that is nearest the centre line,</w:t>
      </w:r>
    </w:p>
    <w:p>
      <w:pPr>
        <w:numPr>
          <w:numId w:val="1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keep the vehicle to the right of the marked centre line or centre line of the roadway, as the case may be, at the place the highway enters the intersection,</w:t>
      </w:r>
    </w:p>
    <w:p>
      <w:pPr>
        <w:numPr>
          <w:numId w:val="2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entering the intersection, turn the vehicle to the left so that it leaves the intersection to the right of the marked centre line of the roadway being entered, or if there is no marked centre line then to the right of the centre line of the roadway being entered, and,</w:t>
      </w:r>
    </w:p>
    <w:p>
      <w:pPr>
        <w:numPr>
          <w:numId w:val="2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practicable, turn the vehicle in the portion of the intersection to the left of the centre of the intersection.</w:t>
      </w:r>
    </w:p>
    <w:p>
      <w:pPr>
        <w:numPr>
          <w:numId w:val="2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the driver of a vehicle intends to turn the vehicle left at an intersection where traffic is restricted to one direction on one or more of the highways, the driver must cause the vehicle to approach the intersection in the extreme left hand lane available to traffic moving in the direction of travel of the vehicle, and after entering the intersection turn the vehicle to the left so as to leave the intersection as nearly as practicable in the left hand lane available to traffic moving in the direction of travel of the vehicle on the highway being entered.</w:t>
      </w:r>
    </w:p>
    <w:p>
      <w:pPr>
        <w:numPr>
          <w:numId w:val="24"/>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at an intersection there is a traffic control device indicating the course to be travelled by vehicles turning at the intersection, a driver must turn a vehicle at the intersection in the manner directed by the traffic control device.</w:t>
      </w:r>
    </w:p>
    <w:p>
      <w:pPr>
        <w:numPr>
          <w:numId w:val="25"/>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must not turn a vehicle at an intersection unless it is in the position on the highway required by this 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Section 170 of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xml:space="preserve"> sets out the requirement to signal when turning in circumstances where the turn will "affect traffic". It provides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Signals on turning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170(1) If traffic may be affected by turning a vehicle, a person must not turn it without giving the appropriate signal under sections 171 and 172.</w:t>
      </w:r>
    </w:p>
    <w:p>
      <w:pPr>
        <w:numPr>
          <w:numId w:val="26"/>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a signal of intention to turn right or left is required, a driver must give it continuously for sufficient distance before making the turn to warn traffic.</w:t>
      </w:r>
    </w:p>
    <w:p>
      <w:pPr>
        <w:numPr>
          <w:numId w:val="27"/>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there is an opportunity to signal, a driver must not stop of suddenly decrease the speed of a vehicle without first giving the appropriate signal under section 171 and 172.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As explained in </w:t>
      </w:r>
      <w:r>
        <w:rPr>
          <w:rFonts w:ascii="arial" w:eastAsia="arial" w:hAnsi="arial" w:cs="arial"/>
          <w:i/>
          <w:color w:val="000000"/>
          <w:sz w:val="20"/>
          <w:lang w:val="en-US" w:eastAsia="en-US" w:bidi="ar-SA"/>
        </w:rPr>
        <w:t>Tabori v. Renaud</w:t>
      </w:r>
      <w:r>
        <w:rPr>
          <w:rFonts w:ascii="arial" w:eastAsia="arial" w:hAnsi="arial" w:cs="arial"/>
          <w:color w:val="000000"/>
          <w:sz w:val="20"/>
          <w:lang w:val="en-US" w:eastAsia="en-US" w:bidi="ar-SA"/>
        </w:rPr>
        <w:t xml:space="preserve">, </w:t>
      </w:r>
      <w:hyperlink r:id="rId998" w:history="1">
        <w:r>
          <w:rPr>
            <w:rFonts w:ascii="arial" w:eastAsia="arial" w:hAnsi="arial" w:cs="arial"/>
            <w:i/>
            <w:color w:val="0077CC"/>
            <w:sz w:val="20"/>
            <w:u w:val="single"/>
            <w:shd w:val="clear" w:color="auto" w:fill="FFFFFF"/>
            <w:lang w:val="en-US" w:eastAsia="en-US" w:bidi="ar-SA"/>
          </w:rPr>
          <w:t>2016 BCSC 1242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Tabori</w:t>
      </w:r>
      <w:r>
        <w:rPr>
          <w:rFonts w:ascii="arial" w:eastAsia="arial" w:hAnsi="arial" w:cs="arial"/>
          <w:color w:val="000000"/>
          <w:sz w:val="20"/>
          <w:lang w:val="en-US" w:eastAsia="en-US" w:bidi="ar-SA"/>
        </w:rPr>
        <w:t xml:space="preserve">] at para. 41, these statutory provisions "provide guidance for assessing fault in motor vehicle accident cases", but they "do not, alone, provide a complete legal framework". The broader legal framework is governed by the law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 set out in common law, and in the applicable provisions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With respect to the law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 find the following passage from </w:t>
      </w:r>
      <w:r>
        <w:rPr>
          <w:rFonts w:ascii="arial" w:eastAsia="arial" w:hAnsi="arial" w:cs="arial"/>
          <w:i/>
          <w:color w:val="000000"/>
          <w:sz w:val="20"/>
          <w:lang w:val="en-US" w:eastAsia="en-US" w:bidi="ar-SA"/>
        </w:rPr>
        <w:t>Ratelle v. Barton</w:t>
      </w:r>
      <w:r>
        <w:rPr>
          <w:rFonts w:ascii="arial" w:eastAsia="arial" w:hAnsi="arial" w:cs="arial"/>
          <w:color w:val="000000"/>
          <w:sz w:val="20"/>
          <w:lang w:val="en-US" w:eastAsia="en-US" w:bidi="ar-SA"/>
        </w:rPr>
        <w:t xml:space="preserve">, </w:t>
      </w:r>
      <w:hyperlink r:id="rId999" w:history="1">
        <w:r>
          <w:rPr>
            <w:rFonts w:ascii="arial" w:eastAsia="arial" w:hAnsi="arial" w:cs="arial"/>
            <w:i/>
            <w:color w:val="0077CC"/>
            <w:sz w:val="20"/>
            <w:u w:val="single"/>
            <w:shd w:val="clear" w:color="auto" w:fill="FFFFFF"/>
            <w:lang w:val="en-US" w:eastAsia="en-US" w:bidi="ar-SA"/>
          </w:rPr>
          <w:t>2017 BCSC 1262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Ratelle</w:t>
      </w:r>
      <w:r>
        <w:rPr>
          <w:rFonts w:ascii="arial" w:eastAsia="arial" w:hAnsi="arial" w:cs="arial"/>
          <w:color w:val="000000"/>
          <w:sz w:val="20"/>
          <w:lang w:val="en-US" w:eastAsia="en-US" w:bidi="ar-SA"/>
        </w:rPr>
        <w:t>] at para. 114-116 to be helpful: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[114] Pursuant to s. 4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 xml:space="preserve">, if the plaintiff contributes negligently to his injury, the court must determine relative degrees of fault. The question is whether the plaintiff failed to take reasonable care for his safety and whether that failure was one of the causes of the accident: see Bradley v. Bath, </w:t>
      </w:r>
      <w:hyperlink r:id="rId875" w:history="1">
        <w:r>
          <w:rPr>
            <w:rFonts w:ascii="arial" w:eastAsia="arial" w:hAnsi="arial" w:cs="arial"/>
            <w:i/>
            <w:color w:val="0077CC"/>
            <w:sz w:val="20"/>
            <w:u w:val="single"/>
            <w:shd w:val="clear" w:color="auto" w:fill="FFFFFF"/>
            <w:lang w:val="en-US" w:eastAsia="en-US" w:bidi="ar-SA"/>
          </w:rPr>
          <w:t>2010 BCCA 10</w:t>
        </w:r>
      </w:hyperlink>
      <w:r>
        <w:rPr>
          <w:rFonts w:ascii="arial" w:eastAsia="arial" w:hAnsi="arial" w:cs="arial"/>
          <w:color w:val="000000"/>
          <w:sz w:val="20"/>
          <w:lang w:val="en-US" w:eastAsia="en-US" w:bidi="ar-SA"/>
        </w:rPr>
        <w:t xml:space="preserve"> at para. 27: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respectful view, the trial judge did not ask the correct question. The proper question was not whether a jogger, rollerblader or pedestrian could have been hit by the defendant's vehicle. The correct inquiry was to determine whether the plaintiff failed to take reasonable care for his own safety and whether his failure to do so was one of the causes of the accident. While the judge acknowledged that the plaintiff was under a heightened duty of care because he was in breach of the law by riding his bicycle on the sidewalk, she failed to give effect to the heightened duty because she did not consider what care had been taken by the plaintiff when he saw the defendant's vehicle moving towards the exit from the gas station.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[115] The task for the court is to assess the respective blameworthiness of the parties. Fault or blameworthiness evaluates the party's conduct in the circumstances and the extent or degree to which it departs from the standard of reasonable care: see Alberta Wheat Pool v. Northwest Pile Driving Ltd., </w:t>
      </w:r>
      <w:hyperlink r:id="rId1000" w:history="1">
        <w:r>
          <w:rPr>
            <w:rFonts w:ascii="arial" w:eastAsia="arial" w:hAnsi="arial" w:cs="arial"/>
            <w:i/>
            <w:color w:val="0077CC"/>
            <w:sz w:val="20"/>
            <w:u w:val="single"/>
            <w:shd w:val="clear" w:color="auto" w:fill="FFFFFF"/>
            <w:lang w:val="en-US" w:eastAsia="en-US" w:bidi="ar-SA"/>
          </w:rPr>
          <w:t>2000 BCCA 505</w:t>
        </w:r>
      </w:hyperlink>
      <w:r>
        <w:rPr>
          <w:rFonts w:ascii="arial" w:eastAsia="arial" w:hAnsi="arial" w:cs="arial"/>
          <w:color w:val="000000"/>
          <w:sz w:val="20"/>
          <w:lang w:val="en-US" w:eastAsia="en-US" w:bidi="ar-SA"/>
        </w:rPr>
        <w:t xml:space="preserve"> at paras. 45-46:</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[45] In my view, the test to be applied here is that expressed by Lambert, J.A. in Cempel [v. Harrison Hot Springs Hotel Ltd. </w:t>
      </w:r>
      <w:hyperlink r:id="rId1001" w:history="1">
        <w:r>
          <w:rPr>
            <w:rFonts w:ascii="arial" w:eastAsia="arial" w:hAnsi="arial" w:cs="arial"/>
            <w:i/>
            <w:color w:val="0077CC"/>
            <w:sz w:val="20"/>
            <w:u w:val="single"/>
            <w:shd w:val="clear" w:color="auto" w:fill="FFFFFF"/>
            <w:lang w:val="en-US" w:eastAsia="en-US" w:bidi="ar-SA"/>
          </w:rPr>
          <w:t>(1997), 43 B.C.L.R. (3d) 219</w:t>
        </w:r>
      </w:hyperlink>
      <w:r>
        <w:rPr>
          <w:rFonts w:ascii="arial" w:eastAsia="arial" w:hAnsi="arial" w:cs="arial"/>
          <w:color w:val="000000"/>
          <w:sz w:val="20"/>
          <w:lang w:val="en-US" w:eastAsia="en-US" w:bidi="ar-SA"/>
        </w:rPr>
        <w:t xml:space="preserve"> (C.A.)], and the court's task is to assess the respective blameworthiness of the parties, rather than the extent to which the loss may be said to have been caused by the conduct of each.</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[46] Fault or blameworthiness evaluates the parties' conduct in the circumstances, and the extent or degree to which it may be said to depart from the standard of reasonable care. Fault may vary from extremely careless conduct, by which the party shows a reckless indifference or disregard for the safety of person or property, whether his own or others, down to a momentary or minor lapse of care in conduct which, nevertheless, carries with it the risk of foreseeable harm.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[116] In Bradley at para. 24, the court held: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At common law,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a plaintiff was a complete defence to his or her claim. This was considered to be unjust, and legislatures in many common law jurisdictions passed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statutes (also referred to as apportionment legislation). The statute in this province is currently called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hyperlink r:id="rId1002" w:history="1">
        <w:r>
          <w:rPr>
            <w:rFonts w:ascii="arial" w:eastAsia="arial" w:hAnsi="arial" w:cs="arial"/>
            <w:i/>
            <w:color w:val="0077CC"/>
            <w:sz w:val="20"/>
            <w:u w:val="single"/>
            <w:shd w:val="clear" w:color="auto" w:fill="FFFFFF"/>
            <w:lang w:val="en-US" w:eastAsia="en-US" w:bidi="ar-SA"/>
          </w:rPr>
          <w:t>R.S.B.C. 1996, c. 333, s. 1(1)</w:t>
        </w:r>
      </w:hyperlink>
      <w:r>
        <w:rPr>
          <w:rFonts w:ascii="arial" w:eastAsia="arial" w:hAnsi="arial" w:cs="arial"/>
          <w:color w:val="000000"/>
          <w:sz w:val="20"/>
          <w:lang w:val="en-US" w:eastAsia="en-US" w:bidi="ar-SA"/>
        </w:rPr>
        <w:t xml:space="preserve"> of which reads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If by the fault of 2 or more persons damage or loss is caused to one or more of them, the liability to make good the damage or loss is in proportion to the degree to which each person was at fault.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damage or loss has been caused by the fault of two or more persons, s. 4 of the Act requires the court to determine the degree to which each person was at fault. While the prerequisite to apportionment is that the damage or loss has been caused by the fault of two or more persons, the apportionment must be done on the basis of the degree to which each person was at fault, not on the basis to which each person's fault caused the damage: Cempel v. Harrison Hot Springs Hotel Ltd., </w:t>
      </w:r>
      <w:hyperlink r:id="rId1001" w:history="1">
        <w:r>
          <w:rPr>
            <w:rFonts w:ascii="arial" w:eastAsia="arial" w:hAnsi="arial" w:cs="arial"/>
            <w:i/>
            <w:color w:val="0077CC"/>
            <w:sz w:val="20"/>
            <w:u w:val="single"/>
            <w:shd w:val="clear" w:color="auto" w:fill="FFFFFF"/>
            <w:lang w:val="en-US" w:eastAsia="en-US" w:bidi="ar-SA"/>
          </w:rPr>
          <w:t>[1998] 6 W.W.R. 233</w:t>
        </w:r>
      </w:hyperlink>
      <w:r>
        <w:rPr>
          <w:rFonts w:ascii="arial" w:eastAsia="arial" w:hAnsi="arial" w:cs="arial"/>
          <w:color w:val="000000"/>
          <w:sz w:val="20"/>
          <w:lang w:val="en-US" w:eastAsia="en-US" w:bidi="ar-SA"/>
        </w:rPr>
        <w:t xml:space="preserve">, </w:t>
      </w:r>
      <w:hyperlink r:id="rId1001" w:history="1">
        <w:r>
          <w:rPr>
            <w:rFonts w:ascii="arial" w:eastAsia="arial" w:hAnsi="arial" w:cs="arial"/>
            <w:i/>
            <w:color w:val="0077CC"/>
            <w:sz w:val="20"/>
            <w:u w:val="single"/>
            <w:shd w:val="clear" w:color="auto" w:fill="FFFFFF"/>
            <w:lang w:val="en-US" w:eastAsia="en-US" w:bidi="ar-SA"/>
          </w:rPr>
          <w:t>43 B.C.L.R. (3d) 219</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The parties cited a number of decided cases involving collisions between overtaking vehicles and left-turning vehicles. In particular, the plaintiff cited </w:t>
      </w:r>
      <w:r>
        <w:rPr>
          <w:rFonts w:ascii="arial" w:eastAsia="arial" w:hAnsi="arial" w:cs="arial"/>
          <w:i/>
          <w:color w:val="000000"/>
          <w:sz w:val="20"/>
          <w:lang w:val="en-US" w:eastAsia="en-US" w:bidi="ar-SA"/>
        </w:rPr>
        <w:t>Tabori</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Ali v. Fineblit</w:t>
      </w:r>
      <w:r>
        <w:rPr>
          <w:rFonts w:ascii="arial" w:eastAsia="arial" w:hAnsi="arial" w:cs="arial"/>
          <w:color w:val="000000"/>
          <w:sz w:val="20"/>
          <w:lang w:val="en-US" w:eastAsia="en-US" w:bidi="ar-SA"/>
        </w:rPr>
        <w:t xml:space="preserve">, </w:t>
      </w:r>
      <w:hyperlink r:id="rId1003" w:history="1">
        <w:r>
          <w:rPr>
            <w:rFonts w:ascii="arial" w:eastAsia="arial" w:hAnsi="arial" w:cs="arial"/>
            <w:i/>
            <w:color w:val="0077CC"/>
            <w:sz w:val="20"/>
            <w:u w:val="single"/>
            <w:shd w:val="clear" w:color="auto" w:fill="FFFFFF"/>
            <w:lang w:val="en-US" w:eastAsia="en-US" w:bidi="ar-SA"/>
          </w:rPr>
          <w:t>2015 BCSC 1494</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Willett v. Rose</w:t>
      </w:r>
      <w:r>
        <w:rPr>
          <w:rFonts w:ascii="arial" w:eastAsia="arial" w:hAnsi="arial" w:cs="arial"/>
          <w:color w:val="000000"/>
          <w:sz w:val="20"/>
          <w:lang w:val="en-US" w:eastAsia="en-US" w:bidi="ar-SA"/>
        </w:rPr>
        <w:t xml:space="preserve">, </w:t>
      </w:r>
      <w:hyperlink r:id="rId1004" w:history="1">
        <w:r>
          <w:rPr>
            <w:rFonts w:ascii="arial" w:eastAsia="arial" w:hAnsi="arial" w:cs="arial"/>
            <w:i/>
            <w:color w:val="0077CC"/>
            <w:sz w:val="20"/>
            <w:u w:val="single"/>
            <w:shd w:val="clear" w:color="auto" w:fill="FFFFFF"/>
            <w:lang w:val="en-US" w:eastAsia="en-US" w:bidi="ar-SA"/>
          </w:rPr>
          <w:t>2017 BCSC 627</w:t>
        </w:r>
      </w:hyperlink>
      <w:r>
        <w:rPr>
          <w:rFonts w:ascii="arial" w:eastAsia="arial" w:hAnsi="arial" w:cs="arial"/>
          <w:color w:val="000000"/>
          <w:sz w:val="20"/>
          <w:lang w:val="en-US" w:eastAsia="en-US" w:bidi="ar-SA"/>
        </w:rPr>
        <w:t xml:space="preserve">. The third party cited </w:t>
      </w:r>
      <w:r>
        <w:rPr>
          <w:rFonts w:ascii="arial" w:eastAsia="arial" w:hAnsi="arial" w:cs="arial"/>
          <w:i/>
          <w:color w:val="000000"/>
          <w:sz w:val="20"/>
          <w:lang w:val="en-US" w:eastAsia="en-US" w:bidi="ar-SA"/>
        </w:rPr>
        <w:t>Ratelle; Crevier v. Thompson</w:t>
      </w:r>
      <w:r>
        <w:rPr>
          <w:rFonts w:ascii="arial" w:eastAsia="arial" w:hAnsi="arial" w:cs="arial"/>
          <w:color w:val="000000"/>
          <w:sz w:val="20"/>
          <w:lang w:val="en-US" w:eastAsia="en-US" w:bidi="ar-SA"/>
        </w:rPr>
        <w:t xml:space="preserve">, </w:t>
      </w:r>
      <w:hyperlink r:id="rId1005" w:history="1">
        <w:r>
          <w:rPr>
            <w:rFonts w:ascii="arial" w:eastAsia="arial" w:hAnsi="arial" w:cs="arial"/>
            <w:i/>
            <w:color w:val="0077CC"/>
            <w:sz w:val="20"/>
            <w:u w:val="single"/>
            <w:shd w:val="clear" w:color="auto" w:fill="FFFFFF"/>
            <w:lang w:val="en-US" w:eastAsia="en-US" w:bidi="ar-SA"/>
          </w:rPr>
          <w:t>2015 BCSC 1552</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Pipe v. Dusome</w:t>
      </w:r>
      <w:r>
        <w:rPr>
          <w:rFonts w:ascii="arial" w:eastAsia="arial" w:hAnsi="arial" w:cs="arial"/>
          <w:color w:val="000000"/>
          <w:sz w:val="20"/>
          <w:lang w:val="en-US" w:eastAsia="en-US" w:bidi="ar-SA"/>
        </w:rPr>
        <w:t xml:space="preserve">, </w:t>
      </w:r>
      <w:hyperlink r:id="rId1006" w:history="1">
        <w:r>
          <w:rPr>
            <w:rFonts w:ascii="arial" w:eastAsia="arial" w:hAnsi="arial" w:cs="arial"/>
            <w:i/>
            <w:color w:val="0077CC"/>
            <w:sz w:val="20"/>
            <w:u w:val="single"/>
            <w:shd w:val="clear" w:color="auto" w:fill="FFFFFF"/>
            <w:lang w:val="en-US" w:eastAsia="en-US" w:bidi="ar-SA"/>
          </w:rPr>
          <w:t>2007 BCSC 1066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These cases are comparable to the case at bar in that this case also involved an overtaking vehicle (Mr. Carew's motorcycle) colliding with a left-turning vehicle (Mr. Sarkari's sedan). However, the result in each case is very much fact-dependent, and in this regard the decided cases are really only of assistance insofar as they discuss and apply the applicable legal principles. The decided cases provide helpful examples in which the relevant rules of the road are applied to particular fact patterns.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Applying the statutory provisions, and common law principles as discussed above to the facts of the case at bar, my conclusion is that the driving of both parties fell below the standard of care that can be expected of a reasonably prudent motorist, and that the conduct of both parties contributed to the collision. Thus, apportionment of liability is required, and each party must bear at least some degree of responsibility for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With regard to Mr. Carew, I find that he was negligent in the operation of his motorcycle in that his manner of driving departed from the standard of reasonable care that can be expected of a person operating a motorcycle in the particular circumstances in which he found himself.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To begin with, Mr. Carew was not properly licensed. He received a violation ticket which resulted in a fine for an offence under s. 24 of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xml:space="preserve">. This is not proof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but I consider it highly relevant, particularly in light of Mr. Carew's limited experience and complete absence of training in the operation of motorcycles. This lack of training was apparent in his manner of driving, and in his failure to appreciate the circumstances in which he found himself when he decided to pass Mr. Sarkari's sedan as I will discuss in greater detail in a moment.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I also find that Mr. Carew was driving too fast for the circumstances. He was travelling at least 50 kilometers per hour when he accelerated to pass Mr. Sarkari. In the absence of any evidence to the contrary, I must proceed on the basis that the speed limit in this particular area within the city of Kelowna was 50 kilometers per hour. That is the maximum permissible speed; this does not mean it is always safe to drive at 50 kilometers per hour in all circumstances in an area with a 50 kilometer per hour speed limit. Mr. Carew testified that he was familiar with the area where the collision occurred. It is a residential area. It is also an area where the layout of the streets is somewhat irregular. By this I mean that a vehicle travelling north or south cannot drive directly across the Park Avenue from Long Street to Knox Crescent or </w:t>
      </w:r>
      <w:r>
        <w:rPr>
          <w:rFonts w:ascii="arial" w:eastAsia="arial" w:hAnsi="arial" w:cs="arial"/>
          <w:i/>
          <w:color w:val="000000"/>
          <w:sz w:val="20"/>
          <w:lang w:val="en-US" w:eastAsia="en-US" w:bidi="ar-SA"/>
        </w:rPr>
        <w:t>vice versa</w:t>
      </w:r>
      <w:r>
        <w:rPr>
          <w:rFonts w:ascii="arial" w:eastAsia="arial" w:hAnsi="arial" w:cs="arial"/>
          <w:color w:val="000000"/>
          <w:sz w:val="20"/>
          <w:lang w:val="en-US" w:eastAsia="en-US" w:bidi="ar-SA"/>
        </w:rPr>
        <w:t>. Rather, in either direction, the driver must turn right onto Park Avenue, drive down Park for about 20 feet or so, and then make a left hand turn off of Park. Mr. Carew knew that there was a vehicle ahead of him, travelling slowly. A reasonably prudent driver in those circumstances would not choose to accelerate to a speed of 50 to 60 kilometers per hour. This is a point in respect of which Mr. Carew's lack of training and experience is particularly relevant. At one point, Mr. Carew testified that you cannot stop a motorcycle on a dime. If Mr. Carew truly appreciated the consequences of that proposition, he would not have been driving 50 to 60 kilometers per hour in the circumstances in which he found himself.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Intimately connected with Mr. Carew's speed is his imprudent decision to pass Mr. Sarkari's sedan. I note that Mr. Carew was ticketed for driving without due care and attention to other motorists, and that the ticket resulted in a finding that Mr. Carew breached s. 144(b) of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The evidence in this trial is consistent with that disposition. Mr. Carew basically felt that Mr. Sarkari was driving "too slow", and he was intent on passing, in circumstances where it was imprudent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Mr. Carew testified that he sped up or accelerated to pass Mr. Sarkari's sedan on the left. Mr. Carew testified that he "felt like maybe" Mr. Sarkari had his right turn signal on and that he might be pulling over. As explained above, I have given no weight to that assertion. I find, rather, that when Mr. Carew initially turned onto Park Avenue, he was more than one block behind Mr. Sarkari's sedan. Mr. Carew quickly closed the distance and, believing that Mr. Sarkari was going "too slow", was intent on passing. He accelerated to 50 to 60 kilometers per hour and, by the time he realized Mr. Sarkari was actually turning left it was too late; realizing he had nowhere to go, at that point he could nothing more than try to slow down and brace for impact. Once again, Mr. Carew's lack of training and experience are relevant. A prudent driver, quickly closing distance on a slower moving vehicle, in a residential area with cross-streets at irregular junctions, would not have chosen to accelerate and pass in these circumstances, particularly if the pass involved accelerating to 50 to 60 kilometers per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Turning to Mr. Sarkari, I find that his conduct departed from what could be expected of a reasonably prudent driver in two respects.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First, Mr. Sarkari failed to check his mirrors before initiating the left turn. Without doing so, he could not assess whether his turn would affect the drivers around him. Counsel for Mr. Sarkari makes the point that he is entitled to assume that other drivers will obey the rules of the road, and that since the motorcycle was more than a block away when Mr. Sarkari turned onto Park Avenue, it was not wrong for him to "assume" the vehicle was a safe distance behind him when he initiated his turn. But the fact is, Mr. Sarkari had turned onto a road with a 50 kilometer per hour speed limit, and then driven for two to three seconds at a speed of 10 to 20 kilometers per hour. In those circumstances, he could not be assured that it was safe to make another turn before checking to see if the turn would affect the traffic around him. Having said that, I accept Mr. Sarkari's evidence that he genuinely believed that there were no vehicles within a block of his position, he assumed it was safe. And he was driving a mere 10 to 20 kilometers per hour in a residential area without a lot of traffic. So, in terms of the degree of departure from the standard of care expected of a prudent driver, I would describe this as a minor and momentary lapse of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Second, I have found that Mr. Sarkari did not signal his left turn. I note here that s. 170 requires a driver to signal a turn "if traffic may be affected by a turning vehicle". Mr. Sarkari did not know that "traffic would be affected", since he believed the motorcycle was far enough behind him that it would not be affected by his turn. But since Mr. Sarkari did not check his mirrors before turning, he did not properly assess whether "traffic would be affected" by his turn. Once again, my finding is that Mr. Sarkari did this because he had checked the traffic coming east on Park Avenue a mere two to three seconds before initiating his turn, and he believed the coast was clear. And, once again, I note the relatively low speed at which he was travelling, and the nature of the area being a residential area. Although Mr. Sarkari departed from the standard of care that is required of a driver making a left hand turn, it was a momentary and minor lapse in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This brings me then to apportionment of liability as between the plaintiff Mr. Sarkari and the defendant Mr. Carew. My conclusion is that Mr. Carew must bear the lion's share of responsibility. I would apportion 80% of the liability for the collision to Mr. Carew and 20% liability to Mr. Sarkari. There are several reasons for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First, Mr. Carew's manner of driving involved a significant departure from the standard of care that is expected of a prudent driver. By contrast, Mr. Sarkari's departure from the standard of care was minimal. He did not check his mirrors or signal his turn, but he had checked the traffic coming from behind him a mere two to three seconds earlier and believed that the motorcycle was a safe distance behind him. Moreover, he was travelling at a reasonable and prudent speed, considering that he was in a residential area with a number of irregular cross-streets.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Second, this is a situation in which, as between the overtaking driver and the left turning driver, Mr. Carew was clearly in "the better physical position to foresee a possible collision". The leading case of </w:t>
      </w:r>
      <w:r>
        <w:rPr>
          <w:rFonts w:ascii="arial" w:eastAsia="arial" w:hAnsi="arial" w:cs="arial"/>
          <w:i/>
          <w:color w:val="000000"/>
          <w:sz w:val="20"/>
          <w:lang w:val="en-US" w:eastAsia="en-US" w:bidi="ar-SA"/>
        </w:rPr>
        <w:t>Samograd v. Collison</w:t>
      </w:r>
      <w:r>
        <w:rPr>
          <w:rFonts w:ascii="arial" w:eastAsia="arial" w:hAnsi="arial" w:cs="arial"/>
          <w:color w:val="000000"/>
          <w:sz w:val="20"/>
          <w:lang w:val="en-US" w:eastAsia="en-US" w:bidi="ar-SA"/>
        </w:rPr>
        <w:t xml:space="preserve"> </w:t>
      </w:r>
      <w:hyperlink r:id="rId1007" w:history="1">
        <w:r>
          <w:rPr>
            <w:rFonts w:ascii="arial" w:eastAsia="arial" w:hAnsi="arial" w:cs="arial"/>
            <w:i/>
            <w:color w:val="0077CC"/>
            <w:sz w:val="20"/>
            <w:u w:val="single"/>
            <w:shd w:val="clear" w:color="auto" w:fill="FFFFFF"/>
            <w:lang w:val="en-US" w:eastAsia="en-US" w:bidi="ar-SA"/>
          </w:rPr>
          <w:t>(1995), 17 B.C.L.R. (3d) 51</w:t>
        </w:r>
      </w:hyperlink>
      <w:r>
        <w:rPr>
          <w:rFonts w:ascii="arial" w:eastAsia="arial" w:hAnsi="arial" w:cs="arial"/>
          <w:color w:val="000000"/>
          <w:sz w:val="20"/>
          <w:lang w:val="en-US" w:eastAsia="en-US" w:bidi="ar-SA"/>
        </w:rPr>
        <w:t xml:space="preserve"> (C.A.) recognizes that as a matter of law there is no special onus or "higher duty" on an overtaking motorist to guard against collision, but that there may be circumstances in which, practically speaking, the overtaking driver is in a better physical position to properly assess the situation than the driver who is being overtaken. I find that to be the situation here. When Mr. Carew turned onto Park Avenue, he was more than a block behind Mr. Sarkari. He had ample time to appreciate that Mr. Sarkari's vehicle was moving slowly (and not unreasonably so), in a residential area where there are irregular junctions in the road. Mr. Carew was in the best position to assess whether it was possible for him to overtake Mr. Sarkari in a manner that was safe.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 have considered the case law in which drivers have been found to be wholly or more substantially liable for failing to check traffic or use a turn signal when turning left. I agree with counsel for Mr. Sarkari that those cases are factually quite different from the case at bar. This was not a case involving a motorist who swung wide right and then made a left turn off a highway with a speed limit of 80 to 100 kilometers per hour. Nor is it a case where a motorist swung wide right and attempted a U-turn without signalling. Rather, it was a case where a motorist (Mr. Sarkari) actually checked the traffic coming behind him a mere two to three seconds earlier, and failed to check again before initiating a low-speed turn in a residential area. That motorist (Mr. Sarkari) was hit by an unlicensed, untrained motorcyclist (Mr. Carew) who was intent on passing, and chose to do so at an inappropriate juncture, at a rate of speed that was excessive in the circumstances. Thus, while both drivers bear some responsibility for the collision, Mr. Carew bears much greater responsibility than Mr. Sarkari, and liability must be apportioned accordingly.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If the parties are unable to agree on costs, they can file written submissions. Counsel for the plaintiff may file written submissions of four pages or less (plus an affidavit containing any supporting materials) within two weeks of the release of these reasons. Counsel for the third may file written submissions of four pages or less (plus an affidavit containing any supporting materials) within two weeks of receiving the plaintiff's written submissions. Counsel for the plaintiff may file a reply of two pages or less (plus any reply affidavit material) within one week of receiving the third party's written submissions. If either party takes the view that submissions on costs cannot effectively be dealt with in writing, that party may, within the time limits set out above, submit a request to schedule a further appearance for oral submissions on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W.P. RILEY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pPr>
      <w:r>
        <w:rPr>
          <w:rFonts w:ascii="arial" w:eastAsia="arial" w:hAnsi="arial" w:cs="arial"/>
          <w:sz w:val="20"/>
          <w:lang w:val="en-US" w:eastAsia="en-US" w:bidi="ar-SA"/>
        </w:rPr>
        <w:br/>
      </w:r>
      <w:r>
        <w:pict>
          <v:line id="_x0000_s1224" style="position:absolute;z-index:251810816"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Moir &amp; Moir v. Premanco Industries Ltd., [2002] B.C.J. No. 2580</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Mordo v. Nitting, [2006] B.C.J. No. 3081</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Pearson v. Boliden Ltd., [2001] B.C.J. No. 1525</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R.P. v. H.P., [2004] B.C.J. No. 1257</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Quantum Financial Service (Canada) Ltd. v. Yip, [2000] B.C.J. No. 80</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Reid (Litigation Guardian of) v. Strata Plan LMS 2503, [2007] B.C.J. No. 2047</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Rose v. Canada (Royal Canadian Mounted Police), [2009] B.C.J. No. 2532</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 v. Sanford, [2014] B.C.J. No. 326</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Sharbern Holding Inc. v. Vancouver Airport Centre Ltd., [2008] B.C.J. No. 639</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Skelly (Re), [2007] B.C.J. No. 1132</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Soussan v. Wolthers, [2005] B.C.J. No. 1375</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Strata Plan LMS 1816 v. North Fraser Holdings Ltd., [2003] B.C.J. No. 1578</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Strata Plan LMS 3851 v. Homer Street Development Limited Partnership, [2003] B.C.J. No. 290</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Strata Plan VIS3578 v. Canan Investment Group Ltd., [2009] B.C.J. No. 54</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Taylor Ventures Ltd. (Receiver-Manager of) v. 545959 B.C. Ltd., [2000] B.C.J. No. 1086</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Terastream Networks Inc. v. Grossholz, [2018] B.C.J. No. 978</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Thibodeau (guardian ad litem of) v. Stanevicius, [2006] B.C.J. No. 131</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TLC (Re), [2014] B.C.J. No. 107</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Tsai v. Li, [2018] B.C.J. No. 653</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Varner v. John Doe, [2009] B.C.J. No. 489</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Wiebe v. Gunderson, [2003] B.C.J. No. 1947</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Windset Greenhouses (Ladner) Ltd. v. Delta, [2006] B.C.J. No. 1198</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Wright v. McArthur, [2005] B.C.J. No. 2882</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Yeh v. Yuen, [2004] B.C.J. No. 1420</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Zhao v. Ma, [2013] B.C.J. No. 2599</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391043 Alberta Ltd. v. Village of Canal Flats, [2014] B.C.J. No. 1949</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Abdi v. Bottomley, [2018] B.C.J. No. 7015</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Andrews v. Mainster, [2014] B.C.J. No. 556</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Boston Pizza International Inc. v. Filcan Ventures (International) Inc., [2001] B.C.J. No. 3108</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Briante (Litigation guardian of) v. Vancouver Island Health Authority (c.o.b. Royal Jubilee Hospital), [2015] B.C.J. No. 975</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Bricor Mechanical Ltd. (c.o.b. Ace Plumbing and Heating) v. St. Pierre, [2015] B.C.J. No. 350</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Chapman v. Chapman, [2013] B.C.J. No. 1430</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Dale v. Vickers, [2019] B.C.J. No. 931</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Dhanji v. Holland, [2015] B.C.J. No. 1659</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Graham v. Carson, [2014] B.C.J. No. 741</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Hoy v. Williams, [2014] B.C.J. No. 252</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Jaholkowski (Litigation guardian of) v. Gascoyne, [2012] B.C.J. No. 3099</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Liu v. Chuo, [2019] B.C.J. No. 126</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Long v. Thanas, [2019] B.C.J. No. 2528</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Lozinski v. Maple Ridge District, [2015] B.C.J. No. 1570</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Maier v. Fischer, [2004] B.C.J. No. 233</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Mayer v. Mayer, [2018] B.C.J. No. 10</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Munoz v. Singh, [2014] B.C.J. No. 583</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Nikkhah v. Batin, [2019] B.C.J. No. 2491</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Norman v. Maple Ridge (District), [2015] B.C.J. No. 19</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Pearlman v. Hawk Estate, [2019] B.C.J. No. 1883</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Peon v. Huron Street Developments Ltd., [2007] B.C.J. No. 392</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Pushee (Guardian ad litem of) v. Roland, [2002] B.C.J. No. 2877</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Royce Holdings Inc. v. Jupe, [2018] B.C.J. No. 3672</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Sarkari v. Carew, [2018] B.C.J. No. 6787</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5"/>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24."/>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25."/>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27."/>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71.(2)"/>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3"/>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4"/>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5"/>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4"/>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5"/>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6"/>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7"/>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8"/>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1"/>
      <w:numFmt w:val="decimal"/>
      <w:lvlText w:val="(g)"/>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1"/>
      <w:numFmt w:val="decimal"/>
      <w:lvlText w:val="(h)"/>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1"/>
      <w:numFmt w:val="decimal"/>
      <w:lvlText w:val="(i)"/>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multilevel"/>
    <w:tmpl w:val="0000001A"/>
    <w:lvl w:ilvl="0">
      <w:start w:val="1"/>
      <w:numFmt w:val="decimal"/>
      <w:lvlText w:val="V."/>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00001B"/>
    <w:multiLevelType w:val="multilevel"/>
    <w:tmpl w:val="0000001B"/>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0000001C"/>
    <w:multiLevelType w:val="multilevel"/>
    <w:tmpl w:val="0000001C"/>
    <w:lvl w:ilvl="0">
      <w:start w:val="1"/>
      <w:numFmt w:val="lowerLetter"/>
      <w:lvlText w:val="(%1)"/>
      <w:lvlJc w:val="left"/>
      <w:pPr>
        <w:tabs>
          <w:tab w:val="num" w:pos="760"/>
        </w:tabs>
        <w:ind w:left="76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0000001D"/>
    <w:multiLevelType w:val="multilevel"/>
    <w:tmpl w:val="0000001D"/>
    <w:lvl w:ilvl="0">
      <w:start w:val="2"/>
      <w:numFmt w:val="lowerLetter"/>
      <w:lvlText w:val="(%1)"/>
      <w:lvlJc w:val="left"/>
      <w:pPr>
        <w:tabs>
          <w:tab w:val="num" w:pos="760"/>
        </w:tabs>
        <w:ind w:left="76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0000001E"/>
    <w:multiLevelType w:val="multilevel"/>
    <w:tmpl w:val="0000001E"/>
    <w:lvl w:ilvl="0">
      <w:start w:val="3"/>
      <w:numFmt w:val="lowerLetter"/>
      <w:lvlText w:val="(%1)"/>
      <w:lvlJc w:val="left"/>
      <w:pPr>
        <w:tabs>
          <w:tab w:val="num" w:pos="1480"/>
        </w:tabs>
        <w:ind w:left="148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0000001F"/>
    <w:multiLevelType w:val="multilevel"/>
    <w:tmpl w:val="0000001F"/>
    <w:lvl w:ilvl="0">
      <w:start w:val="4"/>
      <w:numFmt w:val="lowerLetter"/>
      <w:lvlText w:val="(%1)"/>
      <w:lvlJc w:val="left"/>
      <w:pPr>
        <w:tabs>
          <w:tab w:val="num" w:pos="760"/>
        </w:tabs>
        <w:ind w:left="76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00000020"/>
    <w:multiLevelType w:val="multilevel"/>
    <w:tmpl w:val="00000020"/>
    <w:lvl w:ilvl="0">
      <w:start w:val="5"/>
      <w:numFmt w:val="lowerLetter"/>
      <w:lvlText w:val="(%1)"/>
      <w:lvlJc w:val="left"/>
      <w:pPr>
        <w:tabs>
          <w:tab w:val="num" w:pos="760"/>
        </w:tabs>
        <w:ind w:left="76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00000021"/>
    <w:multiLevelType w:val="multilevel"/>
    <w:tmpl w:val="0000002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00000022"/>
    <w:multiLevelType w:val="multilevel"/>
    <w:tmpl w:val="00000022"/>
    <w:lvl w:ilvl="0">
      <w:start w:val="1"/>
      <w:numFmt w:val="decimal"/>
      <w:lvlText w:val="2)"/>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nsid w:val="00000023"/>
    <w:multiLevelType w:val="multilevel"/>
    <w:tmpl w:val="00000023"/>
    <w:lvl w:ilvl="0">
      <w:start w:val="1"/>
      <w:numFmt w:val="decimal"/>
      <w:lvlText w:val="3)"/>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nsid w:val="00000024"/>
    <w:multiLevelType w:val="multilevel"/>
    <w:tmpl w:val="00000024"/>
    <w:lvl w:ilvl="0">
      <w:start w:val="1"/>
      <w:numFmt w:val="decimal"/>
      <w:lvlText w:val="4)"/>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nsid w:val="00000025"/>
    <w:multiLevelType w:val="multilevel"/>
    <w:tmpl w:val="00000025"/>
    <w:lvl w:ilvl="0">
      <w:start w:val="6"/>
      <w:numFmt w:val="lowerLetter"/>
      <w:lvlText w:val="(%1)"/>
      <w:lvlJc w:val="left"/>
      <w:pPr>
        <w:tabs>
          <w:tab w:val="num" w:pos="760"/>
        </w:tabs>
        <w:ind w:left="76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nsid w:val="00000026"/>
    <w:multiLevelType w:val="multilevel"/>
    <w:tmpl w:val="00000026"/>
    <w:lvl w:ilvl="0">
      <w:start w:val="7"/>
      <w:numFmt w:val="lowerLetter"/>
      <w:lvlText w:val="(%1)"/>
      <w:lvlJc w:val="left"/>
      <w:pPr>
        <w:tabs>
          <w:tab w:val="num" w:pos="1480"/>
        </w:tabs>
        <w:ind w:left="148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nsid w:val="00000027"/>
    <w:multiLevelType w:val="multilevel"/>
    <w:tmpl w:val="00000027"/>
    <w:lvl w:ilvl="0">
      <w:start w:val="8"/>
      <w:numFmt w:val="lowerLetter"/>
      <w:lvlText w:val="(%1)"/>
      <w:lvlJc w:val="left"/>
      <w:pPr>
        <w:tabs>
          <w:tab w:val="num" w:pos="760"/>
        </w:tabs>
        <w:ind w:left="76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nsid w:val="00000028"/>
    <w:multiLevelType w:val="multilevel"/>
    <w:tmpl w:val="00000028"/>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nsid w:val="00000029"/>
    <w:multiLevelType w:val="multilevel"/>
    <w:tmpl w:val="00000029"/>
    <w:lvl w:ilvl="0">
      <w:start w:val="1"/>
      <w:numFmt w:val="lowerRoman"/>
      <w:lvlText w:val="(%1)"/>
      <w:lvlJc w:val="left"/>
      <w:pPr>
        <w:tabs>
          <w:tab w:val="num" w:pos="760"/>
        </w:tabs>
        <w:ind w:left="76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nsid w:val="0000002A"/>
    <w:multiLevelType w:val="multilevel"/>
    <w:tmpl w:val="0000002A"/>
    <w:lvl w:ilvl="0">
      <w:start w:val="10"/>
      <w:numFmt w:val="lowerLetter"/>
      <w:lvlText w:val="(%1)"/>
      <w:lvlJc w:val="left"/>
      <w:pPr>
        <w:tabs>
          <w:tab w:val="num" w:pos="760"/>
        </w:tabs>
        <w:ind w:left="76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
    <w:nsid w:val="0000002B"/>
    <w:multiLevelType w:val="multilevel"/>
    <w:tmpl w:val="0000002B"/>
    <w:lvl w:ilvl="0">
      <w:start w:val="11"/>
      <w:numFmt w:val="lowerLetter"/>
      <w:lvlText w:val="(%1)"/>
      <w:lvlJc w:val="left"/>
      <w:pPr>
        <w:tabs>
          <w:tab w:val="num" w:pos="1480"/>
        </w:tabs>
        <w:ind w:left="148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
    <w:nsid w:val="0000002C"/>
    <w:multiLevelType w:val="multilevel"/>
    <w:tmpl w:val="0000002C"/>
    <w:lvl w:ilvl="0">
      <w:start w:val="12"/>
      <w:numFmt w:val="lowerLetter"/>
      <w:lvlText w:val="(%1)"/>
      <w:lvlJc w:val="left"/>
      <w:pPr>
        <w:tabs>
          <w:tab w:val="num" w:pos="760"/>
        </w:tabs>
        <w:ind w:left="76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
    <w:nsid w:val="0000002D"/>
    <w:multiLevelType w:val="multilevel"/>
    <w:tmpl w:val="0000002D"/>
    <w:lvl w:ilvl="0">
      <w:start w:val="1"/>
      <w:numFmt w:val="lowerLetter"/>
      <w:lvlText w:val="(%1)"/>
      <w:lvlJc w:val="left"/>
      <w:pPr>
        <w:tabs>
          <w:tab w:val="num" w:pos="1480"/>
        </w:tabs>
        <w:ind w:left="148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
    <w:nsid w:val="0000002E"/>
    <w:multiLevelType w:val="multilevel"/>
    <w:tmpl w:val="0000002E"/>
    <w:lvl w:ilvl="0">
      <w:start w:val="7"/>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
    <w:nsid w:val="0000002F"/>
    <w:multiLevelType w:val="multilevel"/>
    <w:tmpl w:val="0000002F"/>
    <w:lvl w:ilvl="0">
      <w:start w:val="5"/>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7">
    <w:nsid w:val="00000030"/>
    <w:multiLevelType w:val="multilevel"/>
    <w:tmpl w:val="00000030"/>
    <w:lvl w:ilvl="0">
      <w:start w:val="2"/>
      <w:numFmt w:val="lowerLetter"/>
      <w:lvlText w:val="(%1)"/>
      <w:lvlJc w:val="left"/>
      <w:pPr>
        <w:tabs>
          <w:tab w:val="num" w:pos="760"/>
        </w:tabs>
        <w:ind w:left="76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8">
    <w:nsid w:val="00000031"/>
    <w:multiLevelType w:val="multilevel"/>
    <w:tmpl w:val="00000031"/>
    <w:lvl w:ilvl="0">
      <w:start w:val="3"/>
      <w:numFmt w:val="lowerLetter"/>
      <w:lvlText w:val="(%1)"/>
      <w:lvlJc w:val="left"/>
      <w:pPr>
        <w:tabs>
          <w:tab w:val="num" w:pos="760"/>
        </w:tabs>
        <w:ind w:left="76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9">
    <w:nsid w:val="00000032"/>
    <w:multiLevelType w:val="multilevel"/>
    <w:tmpl w:val="00000032"/>
    <w:lvl w:ilvl="0">
      <w:start w:val="4"/>
      <w:numFmt w:val="lowerLetter"/>
      <w:lvlText w:val="(%1)"/>
      <w:lvlJc w:val="left"/>
      <w:pPr>
        <w:tabs>
          <w:tab w:val="num" w:pos="760"/>
        </w:tabs>
        <w:ind w:left="76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0">
    <w:nsid w:val="00000033"/>
    <w:multiLevelType w:val="multilevel"/>
    <w:tmpl w:val="00000033"/>
    <w:lvl w:ilvl="0">
      <w:start w:val="5"/>
      <w:numFmt w:val="lowerLetter"/>
      <w:lvlText w:val="(%1)"/>
      <w:lvlJc w:val="left"/>
      <w:pPr>
        <w:tabs>
          <w:tab w:val="num" w:pos="760"/>
        </w:tabs>
        <w:ind w:left="76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1">
    <w:nsid w:val="00000034"/>
    <w:multiLevelType w:val="multilevel"/>
    <w:tmpl w:val="00000034"/>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2">
    <w:nsid w:val="00000035"/>
    <w:multiLevelType w:val="multilevel"/>
    <w:tmpl w:val="00000035"/>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3">
    <w:nsid w:val="00000036"/>
    <w:multiLevelType w:val="multilevel"/>
    <w:tmpl w:val="00000036"/>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4">
    <w:nsid w:val="00000037"/>
    <w:multiLevelType w:val="multilevel"/>
    <w:tmpl w:val="00000037"/>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5">
    <w:nsid w:val="00000038"/>
    <w:multiLevelType w:val="multilevel"/>
    <w:tmpl w:val="00000038"/>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6">
    <w:nsid w:val="00000039"/>
    <w:multiLevelType w:val="multilevel"/>
    <w:tmpl w:val="00000039"/>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7">
    <w:nsid w:val="0000003A"/>
    <w:multiLevelType w:val="multilevel"/>
    <w:tmpl w:val="0000003A"/>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8">
    <w:nsid w:val="0000003B"/>
    <w:multiLevelType w:val="multilevel"/>
    <w:tmpl w:val="0000003B"/>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9">
    <w:nsid w:val="0000003C"/>
    <w:multiLevelType w:val="multilevel"/>
    <w:tmpl w:val="0000003C"/>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0">
    <w:nsid w:val="0000003D"/>
    <w:multiLevelType w:val="multilevel"/>
    <w:tmpl w:val="0000003D"/>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1">
    <w:nsid w:val="0000003E"/>
    <w:multiLevelType w:val="multilevel"/>
    <w:tmpl w:val="0000003E"/>
    <w:lvl w:ilvl="0">
      <w:start w:val="1"/>
      <w:numFmt w:val="decimal"/>
      <w:lvlText w:val="(ii.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2">
    <w:nsid w:val="0000003F"/>
    <w:multiLevelType w:val="multilevel"/>
    <w:tmpl w:val="0000003F"/>
    <w:lvl w:ilvl="0">
      <w:start w:val="1"/>
      <w:numFmt w:val="decimal"/>
      <w:lvlText w:val="(iv)"/>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3">
    <w:nsid w:val="00000040"/>
    <w:multiLevelType w:val="multilevel"/>
    <w:tmpl w:val="00000040"/>
    <w:lvl w:ilvl="0">
      <w:start w:val="1"/>
      <w:numFmt w:val="decimal"/>
      <w:lvlText w:val="(A)"/>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4">
    <w:nsid w:val="00000041"/>
    <w:multiLevelType w:val="multilevel"/>
    <w:tmpl w:val="00000041"/>
    <w:lvl w:ilvl="0">
      <w:start w:val="1"/>
      <w:numFmt w:val="decimal"/>
      <w:lvlText w:val="20."/>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5">
    <w:nsid w:val="00000042"/>
    <w:multiLevelType w:val="multilevel"/>
    <w:tmpl w:val="00000042"/>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6">
    <w:nsid w:val="00000043"/>
    <w:multiLevelType w:val="multilevel"/>
    <w:tmpl w:val="00000043"/>
    <w:lvl w:ilvl="0">
      <w:start w:val="1"/>
      <w:numFmt w:val="decimal"/>
      <w:lvlText w:val="b)"/>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7">
    <w:nsid w:val="00000044"/>
    <w:multiLevelType w:val="multilevel"/>
    <w:tmpl w:val="00000044"/>
    <w:lvl w:ilvl="0">
      <w:start w:val="1"/>
      <w:numFmt w:val="decimal"/>
      <w:lvlText w:val="c)"/>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8">
    <w:nsid w:val="00000045"/>
    <w:multiLevelType w:val="multilevel"/>
    <w:tmpl w:val="00000045"/>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9">
    <w:nsid w:val="00000046"/>
    <w:multiLevelType w:val="multilevel"/>
    <w:tmpl w:val="00000046"/>
    <w:lvl w:ilvl="0">
      <w:start w:val="1"/>
      <w:numFmt w:val="decimal"/>
      <w:lvlText w:val="b)"/>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0">
    <w:nsid w:val="00000047"/>
    <w:multiLevelType w:val="multilevel"/>
    <w:tmpl w:val="00000047"/>
    <w:lvl w:ilvl="0">
      <w:start w:val="1"/>
      <w:numFmt w:val="decimal"/>
      <w:lvlText w:val="c)"/>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1">
    <w:nsid w:val="00000048"/>
    <w:multiLevelType w:val="multilevel"/>
    <w:tmpl w:val="00000048"/>
    <w:lvl w:ilvl="0">
      <w:start w:val="5"/>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2">
    <w:nsid w:val="00000049"/>
    <w:multiLevelType w:val="multilevel"/>
    <w:tmpl w:val="00000049"/>
    <w:lvl w:ilvl="0">
      <w:start w:val="7"/>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3">
    <w:nsid w:val="0000004A"/>
    <w:multiLevelType w:val="multilevel"/>
    <w:tmpl w:val="0000004A"/>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4">
    <w:nsid w:val="0000004B"/>
    <w:multiLevelType w:val="multilevel"/>
    <w:tmpl w:val="0000004B"/>
    <w:lvl w:ilvl="0">
      <w:start w:val="1"/>
      <w:numFmt w:val="decimal"/>
      <w:lvlText w:val="b)"/>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5">
    <w:nsid w:val="0000004C"/>
    <w:multiLevelType w:val="multilevel"/>
    <w:tmpl w:val="0000004C"/>
    <w:lvl w:ilvl="0">
      <w:start w:val="6"/>
      <w:numFmt w:val="lowerLetter"/>
      <w:lvlText w:val="(%1)"/>
      <w:lvlJc w:val="left"/>
      <w:pPr>
        <w:tabs>
          <w:tab w:val="num" w:pos="760"/>
        </w:tabs>
        <w:ind w:left="76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6">
    <w:nsid w:val="0000004D"/>
    <w:multiLevelType w:val="multilevel"/>
    <w:tmpl w:val="0000004D"/>
    <w:lvl w:ilvl="0">
      <w:start w:val="7"/>
      <w:numFmt w:val="lowerLetter"/>
      <w:lvlText w:val="(%1)"/>
      <w:lvlJc w:val="left"/>
      <w:pPr>
        <w:tabs>
          <w:tab w:val="num" w:pos="760"/>
        </w:tabs>
        <w:ind w:left="76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7">
    <w:nsid w:val="0000004E"/>
    <w:multiLevelType w:val="multilevel"/>
    <w:tmpl w:val="0000004E"/>
    <w:lvl w:ilvl="0">
      <w:start w:val="8"/>
      <w:numFmt w:val="lowerLetter"/>
      <w:lvlText w:val="(%1)"/>
      <w:lvlJc w:val="left"/>
      <w:pPr>
        <w:tabs>
          <w:tab w:val="num" w:pos="760"/>
        </w:tabs>
        <w:ind w:left="76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8">
    <w:nsid w:val="0000004F"/>
    <w:multiLevelType w:val="multilevel"/>
    <w:tmpl w:val="0000004F"/>
    <w:lvl w:ilvl="0">
      <w:start w:val="1"/>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9">
    <w:nsid w:val="00000050"/>
    <w:multiLevelType w:val="multilevel"/>
    <w:tmpl w:val="00000050"/>
    <w:lvl w:ilvl="0">
      <w:start w:val="1"/>
      <w:numFmt w:val="lowerRoman"/>
      <w:lvlText w:val="(%1)"/>
      <w:lvlJc w:val="left"/>
      <w:pPr>
        <w:tabs>
          <w:tab w:val="num" w:pos="760"/>
        </w:tabs>
        <w:ind w:left="76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0">
    <w:nsid w:val="00000051"/>
    <w:multiLevelType w:val="multilevel"/>
    <w:tmpl w:val="00000051"/>
    <w:lvl w:ilvl="0">
      <w:start w:val="1"/>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1">
    <w:nsid w:val="00000052"/>
    <w:multiLevelType w:val="multilevel"/>
    <w:tmpl w:val="00000052"/>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2">
    <w:nsid w:val="00000053"/>
    <w:multiLevelType w:val="multilevel"/>
    <w:tmpl w:val="00000053"/>
    <w:lvl w:ilvl="0">
      <w:start w:val="2"/>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3">
    <w:nsid w:val="00000054"/>
    <w:multiLevelType w:val="multilevel"/>
    <w:tmpl w:val="00000054"/>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4">
    <w:nsid w:val="00000055"/>
    <w:multiLevelType w:val="multilevel"/>
    <w:tmpl w:val="00000055"/>
    <w:lvl w:ilvl="0">
      <w:start w:val="1"/>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5">
    <w:nsid w:val="00000056"/>
    <w:multiLevelType w:val="multilevel"/>
    <w:tmpl w:val="00000056"/>
    <w:lvl w:ilvl="0">
      <w:start w:val="1"/>
      <w:numFmt w:val="decimal"/>
      <w:lvlText w:val="b)"/>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6">
    <w:nsid w:val="00000057"/>
    <w:multiLevelType w:val="multilevel"/>
    <w:tmpl w:val="00000057"/>
    <w:lvl w:ilvl="0">
      <w:start w:val="1"/>
      <w:numFmt w:val="decimal"/>
      <w:lvlText w:val="*"/>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7">
    <w:nsid w:val="00000058"/>
    <w:multiLevelType w:val="multilevel"/>
    <w:tmpl w:val="00000058"/>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8">
    <w:nsid w:val="00000059"/>
    <w:multiLevelType w:val="multilevel"/>
    <w:tmpl w:val="00000059"/>
    <w:lvl w:ilvl="0">
      <w:start w:val="1"/>
      <w:numFmt w:val="decimal"/>
      <w:lvlText w:val="*"/>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9">
    <w:nsid w:val="0000005A"/>
    <w:multiLevelType w:val="multilevel"/>
    <w:tmpl w:val="0000005A"/>
    <w:lvl w:ilvl="0">
      <w:start w:val="1"/>
      <w:numFmt w:val="decimal"/>
      <w:lvlText w:val="*"/>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0">
    <w:nsid w:val="0000005B"/>
    <w:multiLevelType w:val="multilevel"/>
    <w:tmpl w:val="0000005B"/>
    <w:lvl w:ilvl="0">
      <w:start w:val="1"/>
      <w:numFmt w:val="decimal"/>
      <w:lvlText w:val="*"/>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1">
    <w:nsid w:val="0000005C"/>
    <w:multiLevelType w:val="multilevel"/>
    <w:tmpl w:val="0000005C"/>
    <w:lvl w:ilvl="0">
      <w:start w:val="1"/>
      <w:numFmt w:val="decimal"/>
      <w:lvlText w:val="*"/>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2">
    <w:nsid w:val="0000005D"/>
    <w:multiLevelType w:val="multilevel"/>
    <w:tmpl w:val="0000005D"/>
    <w:lvl w:ilvl="0">
      <w:start w:val="1"/>
      <w:numFmt w:val="decimal"/>
      <w:lvlText w:val="*"/>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3">
    <w:nsid w:val="0000005E"/>
    <w:multiLevelType w:val="multilevel"/>
    <w:tmpl w:val="0000005E"/>
    <w:lvl w:ilvl="0">
      <w:start w:val="1"/>
      <w:numFmt w:val="decimal"/>
      <w:lvlText w:val="*"/>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4">
    <w:nsid w:val="0000005F"/>
    <w:multiLevelType w:val="multilevel"/>
    <w:tmpl w:val="0000005F"/>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5">
    <w:nsid w:val="00000060"/>
    <w:multiLevelType w:val="multilevel"/>
    <w:tmpl w:val="00000060"/>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6">
    <w:nsid w:val="00000061"/>
    <w:multiLevelType w:val="multilevel"/>
    <w:tmpl w:val="00000061"/>
    <w:lvl w:ilvl="0">
      <w:start w:val="1"/>
      <w:numFmt w:val="decimal"/>
      <w:lvlText w:val="*"/>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7">
    <w:nsid w:val="00000062"/>
    <w:multiLevelType w:val="multilevel"/>
    <w:tmpl w:val="00000062"/>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8">
    <w:nsid w:val="00E86F9E"/>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9">
    <w:nsid w:val="031F0F29"/>
    <w:multiLevelType w:val="multilevel"/>
    <w:tmpl w:val="00000001"/>
    <w:lvl w:ilvl="0">
      <w:start w:val="1"/>
      <w:numFmt w:val="upp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0">
    <w:nsid w:val="0576A4D1"/>
    <w:multiLevelType w:val="multilevel"/>
    <w:tmpl w:val="00000001"/>
    <w:lvl w:ilvl="0">
      <w:start w:val="1"/>
      <w:numFmt w:val="lowerRoman"/>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1">
    <w:nsid w:val="059832D6"/>
    <w:multiLevelType w:val="multilevel"/>
    <w:tmpl w:val="00000001"/>
    <w:lvl w:ilvl="0">
      <w:start w:val="4"/>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2">
    <w:nsid w:val="0799C245"/>
    <w:multiLevelType w:val="multilevel"/>
    <w:tmpl w:val="00000001"/>
    <w:lvl w:ilvl="0">
      <w:start w:val="1"/>
      <w:numFmt w:val="decimal"/>
      <w:lvlText w:val="249(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3">
    <w:nsid w:val="0EA5A200"/>
    <w:multiLevelType w:val="multilevel"/>
    <w:tmpl w:val="00000001"/>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4">
    <w:nsid w:val="15F09D27"/>
    <w:multiLevelType w:val="multilevel"/>
    <w:tmpl w:val="00000001"/>
    <w:lvl w:ilvl="0">
      <w:start w:val="1"/>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5">
    <w:nsid w:val="18C86A8A"/>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6">
    <w:nsid w:val="1A2AF480"/>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7">
    <w:nsid w:val="216F1800"/>
    <w:multiLevelType w:val="multilevel"/>
    <w:tmpl w:val="00000001"/>
    <w:lvl w:ilvl="0">
      <w:start w:val="1"/>
      <w:numFmt w:val="decimal"/>
      <w:lvlText w:val="i)"/>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8">
    <w:nsid w:val="273C8238"/>
    <w:multiLevelType w:val="multilevel"/>
    <w:tmpl w:val="00000001"/>
    <w:lvl w:ilvl="0">
      <w:start w:val="3"/>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9">
    <w:nsid w:val="297B095C"/>
    <w:multiLevelType w:val="multilevel"/>
    <w:tmpl w:val="00000001"/>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0">
    <w:nsid w:val="2B3C6413"/>
    <w:multiLevelType w:val="multilevel"/>
    <w:tmpl w:val="00000001"/>
    <w:lvl w:ilvl="0">
      <w:start w:val="1"/>
      <w:numFmt w:val="decimal"/>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1">
    <w:nsid w:val="2D5453F3"/>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2">
    <w:nsid w:val="2E6AFB1D"/>
    <w:multiLevelType w:val="multilevel"/>
    <w:tmpl w:val="00000001"/>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3">
    <w:nsid w:val="2FDDB8AB"/>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4">
    <w:nsid w:val="314C6020"/>
    <w:multiLevelType w:val="multilevel"/>
    <w:tmpl w:val="00000001"/>
    <w:lvl w:ilvl="0">
      <w:start w:val="3"/>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5">
    <w:nsid w:val="3831CF87"/>
    <w:multiLevelType w:val="multilevel"/>
    <w:tmpl w:val="00000001"/>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6">
    <w:nsid w:val="3B2F4D7D"/>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7">
    <w:nsid w:val="3E5064E0"/>
    <w:multiLevelType w:val="multilevel"/>
    <w:tmpl w:val="00000001"/>
    <w:lvl w:ilvl="0">
      <w:start w:val="7"/>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8">
    <w:nsid w:val="48FE4A3F"/>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9">
    <w:nsid w:val="497B9E38"/>
    <w:multiLevelType w:val="multilevel"/>
    <w:tmpl w:val="00000001"/>
    <w:lvl w:ilvl="0">
      <w:start w:val="1"/>
      <w:numFmt w:val="upperRoman"/>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0">
    <w:nsid w:val="49867C83"/>
    <w:multiLevelType w:val="multilevel"/>
    <w:tmpl w:val="0000000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1">
    <w:nsid w:val="49E01AA1"/>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2">
    <w:nsid w:val="4B7E1170"/>
    <w:multiLevelType w:val="multilevel"/>
    <w:tmpl w:val="00000001"/>
    <w:lvl w:ilvl="0">
      <w:start w:val="1"/>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3">
    <w:nsid w:val="5474F9F9"/>
    <w:multiLevelType w:val="multilevel"/>
    <w:tmpl w:val="00000001"/>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4">
    <w:nsid w:val="5B5B8D85"/>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5">
    <w:nsid w:val="61C7E0D0"/>
    <w:multiLevelType w:val="multilevel"/>
    <w:tmpl w:val="00000001"/>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6">
    <w:nsid w:val="63B7693B"/>
    <w:multiLevelType w:val="multilevel"/>
    <w:tmpl w:val="00000001"/>
    <w:lvl w:ilvl="0">
      <w:start w:val="4"/>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7">
    <w:nsid w:val="66A680B5"/>
    <w:multiLevelType w:val="multilevel"/>
    <w:tmpl w:val="00000001"/>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8">
    <w:nsid w:val="679867C8"/>
    <w:multiLevelType w:val="multilevel"/>
    <w:tmpl w:val="00000001"/>
    <w:lvl w:ilvl="0">
      <w:start w:val="1"/>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9">
    <w:nsid w:val="690571A0"/>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0">
    <w:nsid w:val="6912147F"/>
    <w:multiLevelType w:val="multilevel"/>
    <w:tmpl w:val="00000001"/>
    <w:lvl w:ilvl="0">
      <w:start w:val="4"/>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1">
    <w:nsid w:val="6A90922C"/>
    <w:multiLevelType w:val="multilevel"/>
    <w:tmpl w:val="00000001"/>
    <w:lvl w:ilvl="0">
      <w:start w:val="1"/>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2">
    <w:nsid w:val="6BAD390D"/>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3">
    <w:nsid w:val="6C941025"/>
    <w:multiLevelType w:val="multilevel"/>
    <w:tmpl w:val="00000001"/>
    <w:lvl w:ilvl="0">
      <w:start w:val="1"/>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4">
    <w:nsid w:val="6DB4941C"/>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5">
    <w:nsid w:val="6EAD4DE8"/>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6">
    <w:nsid w:val="6EBD7742"/>
    <w:multiLevelType w:val="multilevel"/>
    <w:tmpl w:val="00000001"/>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7">
    <w:nsid w:val="75E16AD0"/>
    <w:multiLevelType w:val="multilevel"/>
    <w:tmpl w:val="0000000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8">
    <w:nsid w:val="7B5C1BF1"/>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9">
    <w:nsid w:val="7C6661EB"/>
    <w:multiLevelType w:val="multilevel"/>
    <w:tmpl w:val="00000001"/>
    <w:lvl w:ilvl="0">
      <w:start w:val="1"/>
      <w:numFmt w:val="upperRoman"/>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139"/>
  </w:num>
  <w:num w:numId="24">
    <w:abstractNumId w:val="22"/>
  </w:num>
  <w:num w:numId="25">
    <w:abstractNumId w:val="23"/>
  </w:num>
  <w:num w:numId="26">
    <w:abstractNumId w:val="24"/>
  </w:num>
  <w:num w:numId="27">
    <w:abstractNumId w:val="25"/>
  </w:num>
  <w:num w:numId="28">
    <w:abstractNumId w:val="26"/>
  </w:num>
  <w:num w:numId="29">
    <w:abstractNumId w:val="27"/>
  </w:num>
  <w:num w:numId="30">
    <w:abstractNumId w:val="28"/>
  </w:num>
  <w:num w:numId="31">
    <w:abstractNumId w:val="29"/>
  </w:num>
  <w:num w:numId="32">
    <w:abstractNumId w:val="30"/>
  </w:num>
  <w:num w:numId="33">
    <w:abstractNumId w:val="31"/>
  </w:num>
  <w:num w:numId="34">
    <w:abstractNumId w:val="32"/>
  </w:num>
  <w:num w:numId="35">
    <w:abstractNumId w:val="33"/>
  </w:num>
  <w:num w:numId="36">
    <w:abstractNumId w:val="34"/>
  </w:num>
  <w:num w:numId="37">
    <w:abstractNumId w:val="35"/>
  </w:num>
  <w:num w:numId="38">
    <w:abstractNumId w:val="36"/>
  </w:num>
  <w:num w:numId="39">
    <w:abstractNumId w:val="37"/>
  </w:num>
  <w:num w:numId="40">
    <w:abstractNumId w:val="38"/>
  </w:num>
  <w:num w:numId="41">
    <w:abstractNumId w:val="39"/>
  </w:num>
  <w:num w:numId="42">
    <w:abstractNumId w:val="40"/>
  </w:num>
  <w:num w:numId="43">
    <w:abstractNumId w:val="41"/>
  </w:num>
  <w:num w:numId="44">
    <w:abstractNumId w:val="42"/>
  </w:num>
  <w:num w:numId="45">
    <w:abstractNumId w:val="43"/>
  </w:num>
  <w:num w:numId="46">
    <w:abstractNumId w:val="44"/>
  </w:num>
  <w:num w:numId="47">
    <w:abstractNumId w:val="45"/>
  </w:num>
  <w:num w:numId="48">
    <w:abstractNumId w:val="46"/>
  </w:num>
  <w:num w:numId="49">
    <w:abstractNumId w:val="47"/>
  </w:num>
  <w:num w:numId="50">
    <w:abstractNumId w:val="48"/>
  </w:num>
  <w:num w:numId="51">
    <w:abstractNumId w:val="49"/>
  </w:num>
  <w:num w:numId="52">
    <w:abstractNumId w:val="50"/>
  </w:num>
  <w:num w:numId="53">
    <w:abstractNumId w:val="51"/>
  </w:num>
  <w:num w:numId="54">
    <w:abstractNumId w:val="52"/>
  </w:num>
  <w:num w:numId="55">
    <w:abstractNumId w:val="53"/>
  </w:num>
  <w:num w:numId="56">
    <w:abstractNumId w:val="54"/>
  </w:num>
  <w:num w:numId="57">
    <w:abstractNumId w:val="55"/>
  </w:num>
  <w:num w:numId="58">
    <w:abstractNumId w:val="56"/>
  </w:num>
  <w:num w:numId="59">
    <w:abstractNumId w:val="57"/>
  </w:num>
  <w:num w:numId="60">
    <w:abstractNumId w:val="58"/>
  </w:num>
  <w:num w:numId="61">
    <w:abstractNumId w:val="59"/>
  </w:num>
  <w:num w:numId="62">
    <w:abstractNumId w:val="60"/>
  </w:num>
  <w:num w:numId="63">
    <w:abstractNumId w:val="61"/>
  </w:num>
  <w:num w:numId="64">
    <w:abstractNumId w:val="62"/>
  </w:num>
  <w:num w:numId="65">
    <w:abstractNumId w:val="63"/>
  </w:num>
  <w:num w:numId="66">
    <w:abstractNumId w:val="64"/>
  </w:num>
  <w:num w:numId="67">
    <w:abstractNumId w:val="65"/>
  </w:num>
  <w:num w:numId="68">
    <w:abstractNumId w:val="66"/>
  </w:num>
  <w:num w:numId="69">
    <w:abstractNumId w:val="67"/>
  </w:num>
  <w:num w:numId="70">
    <w:abstractNumId w:val="68"/>
  </w:num>
  <w:num w:numId="71">
    <w:abstractNumId w:val="69"/>
  </w:num>
  <w:num w:numId="72">
    <w:abstractNumId w:val="70"/>
  </w:num>
  <w:num w:numId="73">
    <w:abstractNumId w:val="71"/>
  </w:num>
  <w:num w:numId="74">
    <w:abstractNumId w:val="72"/>
  </w:num>
  <w:num w:numId="75">
    <w:abstractNumId w:val="73"/>
  </w:num>
  <w:num w:numId="76">
    <w:abstractNumId w:val="74"/>
  </w:num>
  <w:num w:numId="77">
    <w:abstractNumId w:val="75"/>
  </w:num>
  <w:num w:numId="78">
    <w:abstractNumId w:val="76"/>
  </w:num>
  <w:num w:numId="79">
    <w:abstractNumId w:val="77"/>
  </w:num>
  <w:num w:numId="80">
    <w:abstractNumId w:val="78"/>
  </w:num>
  <w:num w:numId="81">
    <w:abstractNumId w:val="79"/>
  </w:num>
  <w:num w:numId="82">
    <w:abstractNumId w:val="80"/>
  </w:num>
  <w:num w:numId="83">
    <w:abstractNumId w:val="81"/>
  </w:num>
  <w:num w:numId="84">
    <w:abstractNumId w:val="82"/>
  </w:num>
  <w:num w:numId="85">
    <w:abstractNumId w:val="83"/>
  </w:num>
  <w:num w:numId="86">
    <w:abstractNumId w:val="110"/>
  </w:num>
  <w:num w:numId="87">
    <w:abstractNumId w:val="123"/>
  </w:num>
  <w:num w:numId="88">
    <w:abstractNumId w:val="116"/>
  </w:num>
  <w:num w:numId="89">
    <w:abstractNumId w:val="103"/>
  </w:num>
  <w:num w:numId="90">
    <w:abstractNumId w:val="128"/>
  </w:num>
  <w:num w:numId="91">
    <w:abstractNumId w:val="102"/>
  </w:num>
  <w:num w:numId="92">
    <w:abstractNumId w:val="135"/>
  </w:num>
  <w:num w:numId="93">
    <w:abstractNumId w:val="130"/>
  </w:num>
  <w:num w:numId="94">
    <w:abstractNumId w:val="124"/>
  </w:num>
  <w:num w:numId="95">
    <w:abstractNumId w:val="119"/>
  </w:num>
  <w:num w:numId="96">
    <w:abstractNumId w:val="129"/>
  </w:num>
  <w:num w:numId="97">
    <w:abstractNumId w:val="121"/>
  </w:num>
  <w:num w:numId="98">
    <w:abstractNumId w:val="108"/>
  </w:num>
  <w:num w:numId="99">
    <w:abstractNumId w:val="133"/>
  </w:num>
  <w:num w:numId="100">
    <w:abstractNumId w:val="101"/>
  </w:num>
  <w:num w:numId="101">
    <w:abstractNumId w:val="100"/>
  </w:num>
  <w:num w:numId="102">
    <w:abstractNumId w:val="115"/>
  </w:num>
  <w:num w:numId="103">
    <w:abstractNumId w:val="126"/>
  </w:num>
  <w:num w:numId="104">
    <w:abstractNumId w:val="122"/>
  </w:num>
  <w:num w:numId="105">
    <w:abstractNumId w:val="84"/>
  </w:num>
  <w:num w:numId="106">
    <w:abstractNumId w:val="85"/>
  </w:num>
  <w:num w:numId="107">
    <w:abstractNumId w:val="127"/>
  </w:num>
  <w:num w:numId="108">
    <w:abstractNumId w:val="109"/>
  </w:num>
  <w:num w:numId="109">
    <w:abstractNumId w:val="117"/>
  </w:num>
  <w:num w:numId="110">
    <w:abstractNumId w:val="104"/>
  </w:num>
  <w:num w:numId="111">
    <w:abstractNumId w:val="118"/>
  </w:num>
  <w:num w:numId="112">
    <w:abstractNumId w:val="111"/>
  </w:num>
  <w:num w:numId="113">
    <w:abstractNumId w:val="98"/>
  </w:num>
  <w:num w:numId="114">
    <w:abstractNumId w:val="125"/>
  </w:num>
  <w:num w:numId="115">
    <w:abstractNumId w:val="137"/>
  </w:num>
  <w:num w:numId="116">
    <w:abstractNumId w:val="112"/>
  </w:num>
  <w:num w:numId="117">
    <w:abstractNumId w:val="113"/>
  </w:num>
  <w:num w:numId="118">
    <w:abstractNumId w:val="107"/>
  </w:num>
  <w:num w:numId="119">
    <w:abstractNumId w:val="120"/>
  </w:num>
  <w:num w:numId="120">
    <w:abstractNumId w:val="106"/>
  </w:num>
  <w:num w:numId="121">
    <w:abstractNumId w:val="99"/>
  </w:num>
  <w:num w:numId="122">
    <w:abstractNumId w:val="86"/>
  </w:num>
  <w:num w:numId="123">
    <w:abstractNumId w:val="87"/>
  </w:num>
  <w:num w:numId="124">
    <w:abstractNumId w:val="88"/>
  </w:num>
  <w:num w:numId="125">
    <w:abstractNumId w:val="89"/>
  </w:num>
  <w:num w:numId="126">
    <w:abstractNumId w:val="90"/>
  </w:num>
  <w:num w:numId="127">
    <w:abstractNumId w:val="91"/>
  </w:num>
  <w:num w:numId="128">
    <w:abstractNumId w:val="92"/>
  </w:num>
  <w:num w:numId="129">
    <w:abstractNumId w:val="93"/>
  </w:num>
  <w:num w:numId="130">
    <w:abstractNumId w:val="94"/>
  </w:num>
  <w:num w:numId="131">
    <w:abstractNumId w:val="95"/>
  </w:num>
  <w:num w:numId="132">
    <w:abstractNumId w:val="96"/>
  </w:num>
  <w:num w:numId="133">
    <w:abstractNumId w:val="97"/>
  </w:num>
  <w:num w:numId="134">
    <w:abstractNumId w:val="136"/>
  </w:num>
  <w:num w:numId="135">
    <w:abstractNumId w:val="131"/>
  </w:num>
  <w:num w:numId="136">
    <w:abstractNumId w:val="114"/>
  </w:num>
  <w:num w:numId="137">
    <w:abstractNumId w:val="138"/>
  </w:num>
  <w:num w:numId="138">
    <w:abstractNumId w:val="105"/>
  </w:num>
  <w:num w:numId="139">
    <w:abstractNumId w:val="134"/>
  </w:num>
  <w:num w:numId="140">
    <w:abstractNumId w:val="13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eastAsia="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cases-ca&amp;id=urn:contentItem:5F7T-S7B1-FH4C-X39M-00000-00&amp;context=" TargetMode="External" /><Relationship Id="rId100" Type="http://schemas.openxmlformats.org/officeDocument/2006/relationships/hyperlink" Target="https://advance.lexis.com/api/document?collection=cases-ca&amp;id=urn:contentItem:5F81-VJX1-JJYN-B4MB-00000-00&amp;context=" TargetMode="External" /><Relationship Id="rId1000" Type="http://schemas.openxmlformats.org/officeDocument/2006/relationships/hyperlink" Target="https://advance.lexis.com/api/document?collection=cases-ca&amp;id=urn:contentItem:5F7T-S771-JTGH-B136-00000-00&amp;context=" TargetMode="External" /><Relationship Id="rId1001" Type="http://schemas.openxmlformats.org/officeDocument/2006/relationships/hyperlink" Target="https://advance.lexis.com/api/document?collection=cases-ca&amp;id=urn:contentItem:5F7T-S751-JBM1-M2CY-00000-00&amp;context=" TargetMode="External" /><Relationship Id="rId1002" Type="http://schemas.openxmlformats.org/officeDocument/2006/relationships/hyperlink" Target="https://advance.lexis.com/api/document?collection=legislation-ca&amp;id=urn:contentItem:5F41-1FJ1-JBDT-B066-00000-00&amp;context=" TargetMode="External" /><Relationship Id="rId1003" Type="http://schemas.openxmlformats.org/officeDocument/2006/relationships/hyperlink" Target="https://advance.lexis.com/api/document?collection=cases-ca&amp;id=urn:contentItem:5GW7-N221-JW5H-X0MH-00000-00&amp;context=" TargetMode="External" /><Relationship Id="rId1004" Type="http://schemas.openxmlformats.org/officeDocument/2006/relationships/hyperlink" Target="https://advance.lexis.com/api/document?collection=cases-ca&amp;id=urn:contentItem:5NCX-HXM1-JWR6-S2KM-00000-00&amp;context=" TargetMode="External" /><Relationship Id="rId1005" Type="http://schemas.openxmlformats.org/officeDocument/2006/relationships/hyperlink" Target="https://advance.lexis.com/api/document?collection=cases-ca&amp;id=urn:contentItem:5GXH-CVG1-F2F4-G0MH-00000-00&amp;context=" TargetMode="External" /><Relationship Id="rId1006" Type="http://schemas.openxmlformats.org/officeDocument/2006/relationships/hyperlink" Target="https://advance.lexis.com/api/document?collection=cases-ca&amp;id=urn:contentItem:5F7T-S7G1-F5KY-B1K3-00000-00&amp;context=" TargetMode="External" /><Relationship Id="rId1007" Type="http://schemas.openxmlformats.org/officeDocument/2006/relationships/hyperlink" Target="https://advance.lexis.com/api/document?collection=cases-ca&amp;id=urn:contentItem:5F7T-S741-F2F4-G25W-00000-00&amp;context=" TargetMode="External" /><Relationship Id="rId1008" Type="http://schemas.openxmlformats.org/officeDocument/2006/relationships/numbering" Target="numbering.xml" /><Relationship Id="rId1009" Type="http://schemas.openxmlformats.org/officeDocument/2006/relationships/styles" Target="styles.xml" /><Relationship Id="rId101" Type="http://schemas.openxmlformats.org/officeDocument/2006/relationships/header" Target="header10.xml" /><Relationship Id="rId102" Type="http://schemas.openxmlformats.org/officeDocument/2006/relationships/header" Target="header11.xml" /><Relationship Id="rId103" Type="http://schemas.openxmlformats.org/officeDocument/2006/relationships/footer" Target="footer10.xml" /><Relationship Id="rId104" Type="http://schemas.openxmlformats.org/officeDocument/2006/relationships/footer" Target="footer11.xml" /><Relationship Id="rId105" Type="http://schemas.openxmlformats.org/officeDocument/2006/relationships/header" Target="header12.xml" /><Relationship Id="rId106" Type="http://schemas.openxmlformats.org/officeDocument/2006/relationships/footer" Target="footer12.xml" /><Relationship Id="rId107" Type="http://schemas.openxmlformats.org/officeDocument/2006/relationships/hyperlink" Target="https://advance.lexis.com/api/document?collection=cases-ca&amp;id=urn:contentItem:5F7T-S7C1-F4NT-X42M-00000-00&amp;context=" TargetMode="External" /><Relationship Id="rId108" Type="http://schemas.openxmlformats.org/officeDocument/2006/relationships/hyperlink" Target="https://advance.lexis.com/api/document?collection=cases-ca&amp;id=urn:contentItem:5F7T-S731-JC0G-63HG-00000-00&amp;context=" TargetMode="External" /><Relationship Id="rId109" Type="http://schemas.openxmlformats.org/officeDocument/2006/relationships/hyperlink" Target="https://advance.lexis.com/api/document?collection=cases-ca&amp;id=urn:contentItem:5F7T-S6Y1-DY33-B06C-00000-00&amp;context=" TargetMode="External" /><Relationship Id="rId11" Type="http://schemas.openxmlformats.org/officeDocument/2006/relationships/hyperlink" Target="https://advance.lexis.com/api/document?collection=cases-ca&amp;id=urn:contentItem:5F7T-S751-JCJ5-2479-00000-00&amp;context=" TargetMode="External" /><Relationship Id="rId110" Type="http://schemas.openxmlformats.org/officeDocument/2006/relationships/hyperlink" Target="https://advance.lexis.com/api/document?collection=cases-ca&amp;id=urn:contentItem:5F8T-N3V1-JF75-M39V-00000-00&amp;context=" TargetMode="External" /><Relationship Id="rId111" Type="http://schemas.openxmlformats.org/officeDocument/2006/relationships/hyperlink" Target="https://advance.lexis.com/api/document?collection=cases-ca&amp;id=urn:contentItem:5F7T-S721-F5T5-M236-00000-00&amp;context=" TargetMode="External" /><Relationship Id="rId112" Type="http://schemas.openxmlformats.org/officeDocument/2006/relationships/hyperlink" Target="https://advance.lexis.com/api/document?collection=cases-ca&amp;id=urn:contentItem:5F7T-S741-F2F4-G2FP-00000-00&amp;context=" TargetMode="External" /><Relationship Id="rId113" Type="http://schemas.openxmlformats.org/officeDocument/2006/relationships/hyperlink" Target="https://advance.lexis.com/api/document?collection=cases-ca&amp;id=urn:contentItem:5F7T-S741-F57G-S21M-00000-00&amp;context=" TargetMode="External" /><Relationship Id="rId114" Type="http://schemas.openxmlformats.org/officeDocument/2006/relationships/hyperlink" Target="https://advance.lexis.com/api/document?collection=cases-ca&amp;id=urn:contentItem:5F7T-S781-JSC5-M4FW-00000-00&amp;context=" TargetMode="External" /><Relationship Id="rId115" Type="http://schemas.openxmlformats.org/officeDocument/2006/relationships/hyperlink" Target="https://advance.lexis.com/api/document?collection=cases-ca&amp;id=urn:contentItem:5F7T-S791-FJTD-G2PM-00000-00&amp;context=" TargetMode="External" /><Relationship Id="rId116" Type="http://schemas.openxmlformats.org/officeDocument/2006/relationships/hyperlink" Target="https://advance.lexis.com/api/document?collection=cases-ca&amp;id=urn:contentItem:5F7T-S701-JF75-M4MS-00000-00&amp;context=" TargetMode="External" /><Relationship Id="rId117" Type="http://schemas.openxmlformats.org/officeDocument/2006/relationships/hyperlink" Target="https://advance.lexis.com/api/document?collection=cases-ca&amp;id=urn:contentItem:5F7T-S701-F8KH-X18G-00000-00&amp;context=" TargetMode="External" /><Relationship Id="rId118" Type="http://schemas.openxmlformats.org/officeDocument/2006/relationships/hyperlink" Target="https://advance.lexis.com/api/document?collection=cases-ca&amp;id=urn:contentItem:5F7T-S711-JB2B-S11F-00000-00&amp;context=" TargetMode="External" /><Relationship Id="rId119" Type="http://schemas.openxmlformats.org/officeDocument/2006/relationships/hyperlink" Target="https://advance.lexis.com/api/document?collection=cases-ca&amp;id=urn:contentItem:5F7T-S731-FFFC-B0KX-00000-00&amp;context=" TargetMode="External" /><Relationship Id="rId12" Type="http://schemas.openxmlformats.org/officeDocument/2006/relationships/hyperlink" Target="https://advance.lexis.com/api/document?collection=cases-ca&amp;id=urn:contentItem:5F7T-S6T1-JP9P-G0TC-00000-00&amp;context=" TargetMode="External" /><Relationship Id="rId120" Type="http://schemas.openxmlformats.org/officeDocument/2006/relationships/hyperlink" Target="https://advance.lexis.com/api/document?collection=cases-ca&amp;id=urn:contentItem:5F7T-S781-DYMS-61D4-00000-00&amp;context=" TargetMode="External" /><Relationship Id="rId121" Type="http://schemas.openxmlformats.org/officeDocument/2006/relationships/hyperlink" Target="https://advance.lexis.com/api/document?collection=cases-ca&amp;id=urn:contentItem:5F7T-S781-JC5P-G1SK-00000-00&amp;context=" TargetMode="External" /><Relationship Id="rId122" Type="http://schemas.openxmlformats.org/officeDocument/2006/relationships/hyperlink" Target="https://advance.lexis.com/api/document?collection=cases-ca&amp;id=urn:contentItem:5F7T-S6T1-FD4T-B028-00000-00&amp;context=" TargetMode="External" /><Relationship Id="rId123" Type="http://schemas.openxmlformats.org/officeDocument/2006/relationships/hyperlink" Target="https://advance.lexis.com/api/document?collection=cases-ca&amp;id=urn:contentItem:5F7T-S6S1-F7VM-S1XG-00000-00&amp;context=" TargetMode="External" /><Relationship Id="rId124" Type="http://schemas.openxmlformats.org/officeDocument/2006/relationships/hyperlink" Target="https://advance.lexis.com/api/document?collection=cases-ca&amp;id=urn:contentItem:5F7T-S771-JJD0-G18H-00000-00&amp;context=" TargetMode="External" /><Relationship Id="rId125" Type="http://schemas.openxmlformats.org/officeDocument/2006/relationships/header" Target="header13.xml" /><Relationship Id="rId126" Type="http://schemas.openxmlformats.org/officeDocument/2006/relationships/header" Target="header14.xml" /><Relationship Id="rId127" Type="http://schemas.openxmlformats.org/officeDocument/2006/relationships/footer" Target="footer13.xml" /><Relationship Id="rId128" Type="http://schemas.openxmlformats.org/officeDocument/2006/relationships/footer" Target="footer14.xml" /><Relationship Id="rId129" Type="http://schemas.openxmlformats.org/officeDocument/2006/relationships/header" Target="header15.xml" /><Relationship Id="rId13" Type="http://schemas.openxmlformats.org/officeDocument/2006/relationships/hyperlink" Target="https://advance.lexis.com/api/document?collection=cases-ca&amp;id=urn:contentItem:5F7T-S781-F7G6-63TW-00000-00&amp;context=" TargetMode="External" /><Relationship Id="rId130" Type="http://schemas.openxmlformats.org/officeDocument/2006/relationships/footer" Target="footer15.xml" /><Relationship Id="rId131" Type="http://schemas.openxmlformats.org/officeDocument/2006/relationships/hyperlink" Target="https://advance.lexis.com/api/document?collection=cases-ca&amp;id=urn:contentItem:5F7T-S771-JW5H-X1TH-00000-00&amp;context=" TargetMode="External" /><Relationship Id="rId132" Type="http://schemas.openxmlformats.org/officeDocument/2006/relationships/hyperlink" Target="https://advance.lexis.com/api/document?collection=cases-ca&amp;id=urn:contentItem:5F2G-FSS1-JX3N-B0R0-00000-00&amp;context=" TargetMode="External" /><Relationship Id="rId133" Type="http://schemas.openxmlformats.org/officeDocument/2006/relationships/hyperlink" Target="https://advance.lexis.com/api/document?collection=cases-ca&amp;id=urn:contentItem:5F7T-S761-JX8W-M2NH-00000-00&amp;context=" TargetMode="External" /><Relationship Id="rId134" Type="http://schemas.openxmlformats.org/officeDocument/2006/relationships/hyperlink" Target="https://advance.lexis.com/api/document?collection=cases-ca&amp;id=urn:contentItem:5F7T-S761-JS5Y-B1F7-00000-00&amp;context=" TargetMode="External" /><Relationship Id="rId135" Type="http://schemas.openxmlformats.org/officeDocument/2006/relationships/hyperlink" Target="https://advance.lexis.com/api/document?collection=cases-ca&amp;id=urn:contentItem:5F7T-S7G1-JX3N-B28T-00000-00&amp;context=" TargetMode="External" /><Relationship Id="rId136" Type="http://schemas.openxmlformats.org/officeDocument/2006/relationships/hyperlink" Target="https://advance.lexis.com/api/document?collection=cases-ca&amp;id=urn:contentItem:5F7T-S741-FJM6-61RM-00000-00&amp;context=" TargetMode="External" /><Relationship Id="rId137" Type="http://schemas.openxmlformats.org/officeDocument/2006/relationships/hyperlink" Target="https://advance.lexis.com/api/document?collection=cases-ca&amp;id=urn:contentItem:5F7T-S761-JX8W-M2N8-00000-00&amp;context=" TargetMode="External" /><Relationship Id="rId138" Type="http://schemas.openxmlformats.org/officeDocument/2006/relationships/hyperlink" Target="https://advance.lexis.com/api/document?collection=cases-ca&amp;id=urn:contentItem:5F7T-S7H1-JG02-S3NM-00000-00&amp;context=" TargetMode="External" /><Relationship Id="rId139" Type="http://schemas.openxmlformats.org/officeDocument/2006/relationships/hyperlink" Target="https://advance.lexis.com/api/document?collection=cases-ca&amp;id=urn:contentItem:5F7T-S731-DY33-B0XX-00000-00&amp;context=" TargetMode="External" /><Relationship Id="rId14" Type="http://schemas.openxmlformats.org/officeDocument/2006/relationships/hyperlink" Target="https://advance.lexis.com/api/document?collection=cases-ca&amp;id=urn:contentItem:5F7T-S6X1-FBN1-20X4-00000-00&amp;context=" TargetMode="External" /><Relationship Id="rId140" Type="http://schemas.openxmlformats.org/officeDocument/2006/relationships/hyperlink" Target="https://advance.lexis.com/api/document?collection=cases-ca&amp;id=urn:contentItem:5F8T-N3P1-F956-S173-00000-00&amp;context=" TargetMode="External" /><Relationship Id="rId141" Type="http://schemas.openxmlformats.org/officeDocument/2006/relationships/header" Target="header16.xml" /><Relationship Id="rId142" Type="http://schemas.openxmlformats.org/officeDocument/2006/relationships/header" Target="header17.xml" /><Relationship Id="rId143" Type="http://schemas.openxmlformats.org/officeDocument/2006/relationships/footer" Target="footer16.xml" /><Relationship Id="rId144" Type="http://schemas.openxmlformats.org/officeDocument/2006/relationships/footer" Target="footer17.xml" /><Relationship Id="rId145" Type="http://schemas.openxmlformats.org/officeDocument/2006/relationships/header" Target="header18.xml" /><Relationship Id="rId146" Type="http://schemas.openxmlformats.org/officeDocument/2006/relationships/footer" Target="footer18.xml" /><Relationship Id="rId147" Type="http://schemas.openxmlformats.org/officeDocument/2006/relationships/hyperlink" Target="https://advance.lexis.com/api/document?collection=cases-ca&amp;id=urn:contentItem:5F7T-S7G1-F5KY-B1CW-00000-00&amp;context=" TargetMode="External" /><Relationship Id="rId148" Type="http://schemas.openxmlformats.org/officeDocument/2006/relationships/hyperlink" Target="https://advance.lexis.com/api/document?collection=cases-ca&amp;id=urn:contentItem:5F7T-S781-JSC5-M3YD-00000-00&amp;context=" TargetMode="External" /><Relationship Id="rId149" Type="http://schemas.openxmlformats.org/officeDocument/2006/relationships/hyperlink" Target="https://advance.lexis.com/api/document?collection=cases-ca&amp;id=urn:contentItem:5F7T-S7C1-FCSB-S205-00000-00&amp;context=" TargetMode="External" /><Relationship Id="rId15" Type="http://schemas.openxmlformats.org/officeDocument/2006/relationships/hyperlink" Target="https://advance.lexis.com/api/document?collection=cases-ca&amp;id=urn:contentItem:5F81-VJT1-F956-S3KV-00000-00&amp;context=" TargetMode="External" /><Relationship Id="rId150" Type="http://schemas.openxmlformats.org/officeDocument/2006/relationships/hyperlink" Target="https://advance.lexis.com/api/document?collection=cases-ca&amp;id=urn:contentItem:5F82-1SF1-JB7K-22X5-00000-00&amp;context=" TargetMode="External" /><Relationship Id="rId151" Type="http://schemas.openxmlformats.org/officeDocument/2006/relationships/hyperlink" Target="https://advance.lexis.com/api/document?collection=legislation-ca&amp;id=urn:contentItem:5W2C-X5D1-F27X-6005-00000-00&amp;context=" TargetMode="External" /><Relationship Id="rId152" Type="http://schemas.openxmlformats.org/officeDocument/2006/relationships/hyperlink" Target="https://advance.lexis.com/api/document?collection=cases-ca&amp;id=urn:contentItem:5F7T-S7C1-JSRM-60TH-00000-00&amp;context=" TargetMode="External" /><Relationship Id="rId153" Type="http://schemas.openxmlformats.org/officeDocument/2006/relationships/hyperlink" Target="https://advance.lexis.com/api/document?collection=cases-ca&amp;id=urn:contentItem:5F7T-S7F1-JFKM-61VX-00000-00&amp;context=" TargetMode="External" /><Relationship Id="rId154" Type="http://schemas.openxmlformats.org/officeDocument/2006/relationships/hyperlink" Target="https://advance.lexis.com/api/document?collection=cases-ca&amp;id=urn:contentItem:5F8T-N3S1-JT99-24N1-00000-00&amp;context=" TargetMode="External" /><Relationship Id="rId155" Type="http://schemas.openxmlformats.org/officeDocument/2006/relationships/hyperlink" Target="https://advance.lexis.com/api/document?collection=cases-ca&amp;id=urn:contentItem:5F7T-S7F1-FBN1-219G-00000-00&amp;context=" TargetMode="External" /><Relationship Id="rId156" Type="http://schemas.openxmlformats.org/officeDocument/2006/relationships/hyperlink" Target="https://advance.lexis.com/api/document?collection=cases-ca&amp;id=urn:contentItem:5F8T-N3V1-JTGH-B0YX-00000-00&amp;context=" TargetMode="External" /><Relationship Id="rId157" Type="http://schemas.openxmlformats.org/officeDocument/2006/relationships/hyperlink" Target="https://advance.lexis.com/api/document?collection=cases-ca&amp;id=urn:contentItem:5F8T-N3V1-FC1F-M3WC-00000-00&amp;context=" TargetMode="External" /><Relationship Id="rId158" Type="http://schemas.openxmlformats.org/officeDocument/2006/relationships/hyperlink" Target="https://advance.lexis.com/api/document?collection=cases-ca&amp;id=urn:contentItem:5F16-9351-JFKM-62FV-00000-00&amp;context=" TargetMode="External" /><Relationship Id="rId159" Type="http://schemas.openxmlformats.org/officeDocument/2006/relationships/hyperlink" Target="https://advance.lexis.com/api/document?collection=cases-ca&amp;id=urn:contentItem:5F8T-N3V1-JFKM-6012-00000-00&amp;context=" TargetMode="External" /><Relationship Id="rId16" Type="http://schemas.openxmlformats.org/officeDocument/2006/relationships/header" Target="header4.xml" /><Relationship Id="rId160" Type="http://schemas.openxmlformats.org/officeDocument/2006/relationships/header" Target="header19.xml" /><Relationship Id="rId161" Type="http://schemas.openxmlformats.org/officeDocument/2006/relationships/header" Target="header20.xml" /><Relationship Id="rId162" Type="http://schemas.openxmlformats.org/officeDocument/2006/relationships/footer" Target="footer19.xml" /><Relationship Id="rId163" Type="http://schemas.openxmlformats.org/officeDocument/2006/relationships/footer" Target="footer20.xml" /><Relationship Id="rId164" Type="http://schemas.openxmlformats.org/officeDocument/2006/relationships/header" Target="header21.xml" /><Relationship Id="rId165" Type="http://schemas.openxmlformats.org/officeDocument/2006/relationships/footer" Target="footer21.xml" /><Relationship Id="rId166" Type="http://schemas.openxmlformats.org/officeDocument/2006/relationships/hyperlink" Target="https://advance.lexis.com/api/document?collection=cases-ca&amp;id=urn:contentItem:5F7T-S7J1-DXWW-24TP-00000-00&amp;context=" TargetMode="External" /><Relationship Id="rId167" Type="http://schemas.openxmlformats.org/officeDocument/2006/relationships/hyperlink" Target="https://advance.lexis.com/api/document?collection=legislation-ca&amp;id=urn:contentItem:5F41-1FK1-JGBH-B10R-00000-00&amp;context=" TargetMode="External" /><Relationship Id="rId168" Type="http://schemas.openxmlformats.org/officeDocument/2006/relationships/hyperlink" Target="https://advance.lexis.com/api/document?collection=cases-ca&amp;id=urn:contentItem:5F7T-S7H1-JS5Y-B32J-00000-00&amp;context=" TargetMode="External" /><Relationship Id="rId169" Type="http://schemas.openxmlformats.org/officeDocument/2006/relationships/hyperlink" Target="https://advance.lexis.com/api/document?collection=cases-ca&amp;id=urn:contentItem:5F7T-S7J1-JYYX-6252-00000-00&amp;context=" TargetMode="External" /><Relationship Id="rId17" Type="http://schemas.openxmlformats.org/officeDocument/2006/relationships/header" Target="header5.xml" /><Relationship Id="rId170" Type="http://schemas.openxmlformats.org/officeDocument/2006/relationships/hyperlink" Target="https://advance.lexis.com/api/document?collection=cases-ca&amp;id=urn:contentItem:5F8T-N3T1-JJSF-236M-00000-00&amp;context=" TargetMode="External" /><Relationship Id="rId171" Type="http://schemas.openxmlformats.org/officeDocument/2006/relationships/hyperlink" Target="https://advance.lexis.com/api/document?collection=cases-ca&amp;id=urn:contentItem:5F7T-S771-JW5H-X1TN-00000-00&amp;context=" TargetMode="External" /><Relationship Id="rId172" Type="http://schemas.openxmlformats.org/officeDocument/2006/relationships/hyperlink" Target="https://advance.lexis.com/api/document?collection=cases-ca&amp;id=urn:contentItem:5F7T-S7G1-JPP5-222K-00000-00&amp;context=" TargetMode="External" /><Relationship Id="rId173" Type="http://schemas.openxmlformats.org/officeDocument/2006/relationships/hyperlink" Target="https://advance.lexis.com/api/document?collection=cases-ca&amp;id=urn:contentItem:5F81-VJW1-JF75-M1FG-00000-00&amp;context=" TargetMode="External" /><Relationship Id="rId174" Type="http://schemas.openxmlformats.org/officeDocument/2006/relationships/hyperlink" Target="https://advance.lexis.com/api/document?collection=cases-ca&amp;id=urn:contentItem:5F8T-N3V1-JF75-M3D0-00000-00&amp;context=" TargetMode="External" /><Relationship Id="rId175" Type="http://schemas.openxmlformats.org/officeDocument/2006/relationships/hyperlink" Target="https://advance.lexis.com/api/document?collection=cases-ca&amp;id=urn:contentItem:5F7T-S771-F361-M1HH-00000-00&amp;context=" TargetMode="External" /><Relationship Id="rId176" Type="http://schemas.openxmlformats.org/officeDocument/2006/relationships/hyperlink" Target="https://advance.lexis.com/api/document?collection=cases-ca&amp;id=urn:contentItem:5F7T-S7F1-FFFC-B25Y-00000-00&amp;context=" TargetMode="External" /><Relationship Id="rId177" Type="http://schemas.openxmlformats.org/officeDocument/2006/relationships/hyperlink" Target="https://advance.lexis.com/api/document?collection=cases-ca&amp;id=urn:contentItem:5F7T-S7B1-JCJ5-201W-00000-00&amp;context=" TargetMode="External" /><Relationship Id="rId178" Type="http://schemas.openxmlformats.org/officeDocument/2006/relationships/hyperlink" Target="https://advance.lexis.com/api/document?collection=cases-ca&amp;id=urn:contentItem:5F7T-S7G1-JBT7-X3X6-00000-00&amp;context=" TargetMode="External" /><Relationship Id="rId179" Type="http://schemas.openxmlformats.org/officeDocument/2006/relationships/header" Target="header22.xml" /><Relationship Id="rId18" Type="http://schemas.openxmlformats.org/officeDocument/2006/relationships/footer" Target="footer4.xml" /><Relationship Id="rId180" Type="http://schemas.openxmlformats.org/officeDocument/2006/relationships/header" Target="header23.xml" /><Relationship Id="rId181" Type="http://schemas.openxmlformats.org/officeDocument/2006/relationships/footer" Target="footer22.xml" /><Relationship Id="rId182" Type="http://schemas.openxmlformats.org/officeDocument/2006/relationships/footer" Target="footer23.xml" /><Relationship Id="rId183" Type="http://schemas.openxmlformats.org/officeDocument/2006/relationships/header" Target="header24.xml" /><Relationship Id="rId184" Type="http://schemas.openxmlformats.org/officeDocument/2006/relationships/footer" Target="footer24.xml" /><Relationship Id="rId185" Type="http://schemas.openxmlformats.org/officeDocument/2006/relationships/hyperlink" Target="https://advance.lexis.com/api/document?collection=cases-ca&amp;id=urn:contentItem:5F7T-S7P1-JSJC-X1VY-00000-00&amp;context=" TargetMode="External" /><Relationship Id="rId186" Type="http://schemas.openxmlformats.org/officeDocument/2006/relationships/hyperlink" Target="https://advance.lexis.com/api/document?collection=cases-ca&amp;id=urn:contentItem:5F8T-N3V1-FH4C-X20D-00000-00&amp;context=" TargetMode="External" /><Relationship Id="rId187" Type="http://schemas.openxmlformats.org/officeDocument/2006/relationships/hyperlink" Target="https://advance.lexis.com/api/document?collection=cases-ca&amp;id=urn:contentItem:5F8T-N3V1-JTGH-B1BB-00000-00&amp;context=" TargetMode="External" /><Relationship Id="rId188" Type="http://schemas.openxmlformats.org/officeDocument/2006/relationships/header" Target="header25.xml" /><Relationship Id="rId189" Type="http://schemas.openxmlformats.org/officeDocument/2006/relationships/header" Target="header26.xml" /><Relationship Id="rId19" Type="http://schemas.openxmlformats.org/officeDocument/2006/relationships/footer" Target="footer5.xml" /><Relationship Id="rId190" Type="http://schemas.openxmlformats.org/officeDocument/2006/relationships/footer" Target="footer25.xml" /><Relationship Id="rId191" Type="http://schemas.openxmlformats.org/officeDocument/2006/relationships/footer" Target="footer26.xml" /><Relationship Id="rId192" Type="http://schemas.openxmlformats.org/officeDocument/2006/relationships/header" Target="header27.xml" /><Relationship Id="rId193" Type="http://schemas.openxmlformats.org/officeDocument/2006/relationships/footer" Target="footer27.xml" /><Relationship Id="rId194" Type="http://schemas.openxmlformats.org/officeDocument/2006/relationships/hyperlink" Target="https://advance.lexis.com/api/document?collection=cases-ca&amp;id=urn:contentItem:5F7T-S7G1-JBT7-X3X4-00000-00&amp;context=" TargetMode="External" /><Relationship Id="rId195" Type="http://schemas.openxmlformats.org/officeDocument/2006/relationships/hyperlink" Target="https://advance.lexis.com/api/document?collection=legislation-ca&amp;id=urn:contentItem:5F41-1FJ1-F5DR-206Y-00000-00&amp;context=" TargetMode="External" /><Relationship Id="rId196" Type="http://schemas.openxmlformats.org/officeDocument/2006/relationships/hyperlink" Target="https://advance.lexis.com/api/document?collection=cases-ca&amp;id=urn:contentItem:5F7T-S7G1-JNY7-X416-00000-00&amp;context=" TargetMode="External" /><Relationship Id="rId197" Type="http://schemas.openxmlformats.org/officeDocument/2006/relationships/hyperlink" Target="https://advance.lexis.com/api/document?collection=cases-ca&amp;id=urn:contentItem:5F7T-S7D1-DY89-M3Y3-00000-00&amp;context=" TargetMode="External" /><Relationship Id="rId198" Type="http://schemas.openxmlformats.org/officeDocument/2006/relationships/hyperlink" Target="https://advance.lexis.com/api/document?collection=cases-ca&amp;id=urn:contentItem:5F7T-S6X1-K0BB-S0MB-00000-00&amp;context=" TargetMode="External" /><Relationship Id="rId199" Type="http://schemas.openxmlformats.org/officeDocument/2006/relationships/hyperlink" Target="https://advance.lexis.com/api/document?collection=cases-ca&amp;id=urn:contentItem:5F8T-N3T1-JGHR-M1TG-00000-00&amp;context=" TargetMode="External" /><Relationship Id="rId2" Type="http://schemas.openxmlformats.org/officeDocument/2006/relationships/webSettings" Target="webSettings.xml" /><Relationship Id="rId20" Type="http://schemas.openxmlformats.org/officeDocument/2006/relationships/header" Target="header6.xml" /><Relationship Id="rId200" Type="http://schemas.openxmlformats.org/officeDocument/2006/relationships/hyperlink" Target="https://advance.lexis.com/api/document?collection=cases-ca&amp;id=urn:contentItem:5F8T-N3P1-F7ND-G1H1-00000-00&amp;context=" TargetMode="External" /><Relationship Id="rId201" Type="http://schemas.openxmlformats.org/officeDocument/2006/relationships/hyperlink" Target="https://advance.lexis.com/api/document?collection=cases-ca&amp;id=urn:contentItem:5F7T-S771-JJD0-G1D9-00000-00&amp;context=" TargetMode="External" /><Relationship Id="rId202" Type="http://schemas.openxmlformats.org/officeDocument/2006/relationships/hyperlink" Target="https://advance.lexis.com/api/document?collection=cases-ca&amp;id=urn:contentItem:5F7T-S711-F27X-60GK-00000-00&amp;context=" TargetMode="External" /><Relationship Id="rId203" Type="http://schemas.openxmlformats.org/officeDocument/2006/relationships/hyperlink" Target="https://advance.lexis.com/api/document?collection=cases-ca&amp;id=urn:contentItem:5F8T-N3V1-JFKM-6045-00000-00&amp;context=" TargetMode="External" /><Relationship Id="rId204" Type="http://schemas.openxmlformats.org/officeDocument/2006/relationships/hyperlink" Target="https://advance.lexis.com/api/document?collection=cases-ca&amp;id=urn:contentItem:5F8T-N3V1-JFKM-609F-00000-00&amp;context=" TargetMode="External" /><Relationship Id="rId205" Type="http://schemas.openxmlformats.org/officeDocument/2006/relationships/hyperlink" Target="https://advance.lexis.com/api/document?collection=cases-ca&amp;id=urn:contentItem:5F7T-S711-JC0G-62KR-00000-00&amp;context=" TargetMode="External" /><Relationship Id="rId206" Type="http://schemas.openxmlformats.org/officeDocument/2006/relationships/hyperlink" Target="https://advance.lexis.com/api/document?collection=cases-ca&amp;id=urn:contentItem:5F7T-S7C1-FCSB-S28G-00000-00&amp;context=" TargetMode="External" /><Relationship Id="rId207" Type="http://schemas.openxmlformats.org/officeDocument/2006/relationships/hyperlink" Target="https://advance.lexis.com/api/document?collection=cases-ca&amp;id=urn:contentItem:5F7T-S7D1-JN6B-S0S6-00000-00&amp;context=" TargetMode="External" /><Relationship Id="rId208" Type="http://schemas.openxmlformats.org/officeDocument/2006/relationships/header" Target="header28.xml" /><Relationship Id="rId209" Type="http://schemas.openxmlformats.org/officeDocument/2006/relationships/header" Target="header29.xml" /><Relationship Id="rId21" Type="http://schemas.openxmlformats.org/officeDocument/2006/relationships/footer" Target="footer6.xml" /><Relationship Id="rId210" Type="http://schemas.openxmlformats.org/officeDocument/2006/relationships/footer" Target="footer28.xml" /><Relationship Id="rId211" Type="http://schemas.openxmlformats.org/officeDocument/2006/relationships/footer" Target="footer29.xml" /><Relationship Id="rId212" Type="http://schemas.openxmlformats.org/officeDocument/2006/relationships/header" Target="header30.xml" /><Relationship Id="rId213" Type="http://schemas.openxmlformats.org/officeDocument/2006/relationships/footer" Target="footer30.xml" /><Relationship Id="rId214" Type="http://schemas.openxmlformats.org/officeDocument/2006/relationships/hyperlink" Target="https://advance.lexis.com/api/document?collection=cases-ca&amp;id=urn:contentItem:5F7T-S7F1-FBN1-21C0-00000-00&amp;context=" TargetMode="External" /><Relationship Id="rId215" Type="http://schemas.openxmlformats.org/officeDocument/2006/relationships/hyperlink" Target="https://advance.lexis.com/api/document?collection=legislation-ca&amp;id=urn:contentItem:5F3B-B9X1-FFMK-M0D4-00000-00&amp;context=" TargetMode="External" /><Relationship Id="rId216" Type="http://schemas.openxmlformats.org/officeDocument/2006/relationships/hyperlink" Target="https://advance.lexis.com/api/document?collection=legislation-ca&amp;id=urn:contentItem:5VYK-WB51-K054-G4Y8-00000-00&amp;context=" TargetMode="External" /><Relationship Id="rId217" Type="http://schemas.openxmlformats.org/officeDocument/2006/relationships/hyperlink" Target="https://advance.lexis.com/api/document?collection=cases-ca&amp;id=urn:contentItem:5F7T-S771-F361-M1HP-00000-00&amp;context=" TargetMode="External" /><Relationship Id="rId218" Type="http://schemas.openxmlformats.org/officeDocument/2006/relationships/hyperlink" Target="https://advance.lexis.com/api/document?collection=cases-ca&amp;id=urn:contentItem:5F7T-S6V1-JC0G-629D-00000-00&amp;context=" TargetMode="External" /><Relationship Id="rId219" Type="http://schemas.openxmlformats.org/officeDocument/2006/relationships/hyperlink" Target="https://advance.lexis.com/api/document?collection=cases-ca&amp;id=urn:contentItem:5F7T-S711-F4W2-61K3-00000-00&amp;context=" TargetMode="External" /><Relationship Id="rId22" Type="http://schemas.openxmlformats.org/officeDocument/2006/relationships/hyperlink" Target="https://advance.lexis.com/api/document?collection=cases-ca&amp;id=urn:contentItem:5F7T-S7F1-JBT7-X317-00000-00&amp;context=" TargetMode="External" /><Relationship Id="rId220" Type="http://schemas.openxmlformats.org/officeDocument/2006/relationships/hyperlink" Target="https://advance.lexis.com/api/document?collection=cases-ca&amp;id=urn:contentItem:5F16-9351-JNY7-X3JK-00000-00&amp;context=" TargetMode="External" /><Relationship Id="rId221" Type="http://schemas.openxmlformats.org/officeDocument/2006/relationships/hyperlink" Target="https://advance.lexis.com/api/document?collection=cases-ca&amp;id=urn:contentItem:5F81-VJX1-FFTT-X1W8-00000-00&amp;context=" TargetMode="External" /><Relationship Id="rId222" Type="http://schemas.openxmlformats.org/officeDocument/2006/relationships/hyperlink" Target="https://advance.lexis.com/api/document?collection=cases-ca&amp;id=urn:contentItem:5F7V-3DJ1-F30T-B3K8-00000-00&amp;context=" TargetMode="External" /><Relationship Id="rId223" Type="http://schemas.openxmlformats.org/officeDocument/2006/relationships/hyperlink" Target="https://advance.lexis.com/api/document?collection=cases-ca&amp;id=urn:contentItem:5F8P-SD21-JPP5-211N-00000-00&amp;context=" TargetMode="External" /><Relationship Id="rId224" Type="http://schemas.openxmlformats.org/officeDocument/2006/relationships/header" Target="header31.xml" /><Relationship Id="rId225" Type="http://schemas.openxmlformats.org/officeDocument/2006/relationships/header" Target="header32.xml" /><Relationship Id="rId226" Type="http://schemas.openxmlformats.org/officeDocument/2006/relationships/footer" Target="footer31.xml" /><Relationship Id="rId227" Type="http://schemas.openxmlformats.org/officeDocument/2006/relationships/footer" Target="footer32.xml" /><Relationship Id="rId228" Type="http://schemas.openxmlformats.org/officeDocument/2006/relationships/header" Target="header33.xml" /><Relationship Id="rId229" Type="http://schemas.openxmlformats.org/officeDocument/2006/relationships/footer" Target="footer33.xml" /><Relationship Id="rId23" Type="http://schemas.openxmlformats.org/officeDocument/2006/relationships/hyperlink" Target="https://advance.lexis.com/api/document?collection=legislation-ca&amp;id=urn:contentItem:5F41-1FG1-FBN1-20VJ-00000-00&amp;context=" TargetMode="External" /><Relationship Id="rId230" Type="http://schemas.openxmlformats.org/officeDocument/2006/relationships/hyperlink" Target="https://advance.lexis.com/api/document?collection=cases-ca&amp;id=urn:contentItem:5F7T-S7D1-JXG3-X0Y8-00000-00&amp;context=" TargetMode="External" /><Relationship Id="rId231" Type="http://schemas.openxmlformats.org/officeDocument/2006/relationships/hyperlink" Target="https://advance.lexis.com/api/document?collection=legislation-ca&amp;id=urn:contentItem:5F3B-B7K1-DY89-M237-00000-00&amp;context=" TargetMode="External" /><Relationship Id="rId232" Type="http://schemas.openxmlformats.org/officeDocument/2006/relationships/hyperlink" Target="https://advance.lexis.com/api/document?collection=legislation-ca&amp;id=urn:contentItem:5F41-1FJ1-JPGX-S0S5-00000-00&amp;context=" TargetMode="External" /><Relationship Id="rId233" Type="http://schemas.openxmlformats.org/officeDocument/2006/relationships/hyperlink" Target="https://advance.lexis.com/api/document?collection=cases-ca&amp;id=urn:contentItem:5F8T-N3R1-FJDY-X2TD-00000-00&amp;context=" TargetMode="External" /><Relationship Id="rId234" Type="http://schemas.openxmlformats.org/officeDocument/2006/relationships/hyperlink" Target="https://advance.lexis.com/api/document?collection=cases-ca&amp;id=urn:contentItem:5F7T-S761-F7ND-G4CT-00000-00&amp;context=" TargetMode="External" /><Relationship Id="rId235" Type="http://schemas.openxmlformats.org/officeDocument/2006/relationships/hyperlink" Target="https://advance.lexis.com/api/document?collection=cases-ca&amp;id=urn:contentItem:5F8T-N3T1-JFKM-653C-00000-00&amp;context=" TargetMode="External" /><Relationship Id="rId236" Type="http://schemas.openxmlformats.org/officeDocument/2006/relationships/header" Target="header34.xml" /><Relationship Id="rId237" Type="http://schemas.openxmlformats.org/officeDocument/2006/relationships/header" Target="header35.xml" /><Relationship Id="rId238" Type="http://schemas.openxmlformats.org/officeDocument/2006/relationships/footer" Target="footer34.xml" /><Relationship Id="rId239" Type="http://schemas.openxmlformats.org/officeDocument/2006/relationships/footer" Target="footer35.xml" /><Relationship Id="rId24" Type="http://schemas.openxmlformats.org/officeDocument/2006/relationships/hyperlink" Target="https://advance.lexis.com/api/document?collection=legislation-ca&amp;id=urn:contentItem:5F41-1FG1-F4NT-X0C2-00000-00&amp;context=" TargetMode="External" /><Relationship Id="rId240" Type="http://schemas.openxmlformats.org/officeDocument/2006/relationships/header" Target="header36.xml" /><Relationship Id="rId241" Type="http://schemas.openxmlformats.org/officeDocument/2006/relationships/footer" Target="footer36.xml" /><Relationship Id="rId242" Type="http://schemas.openxmlformats.org/officeDocument/2006/relationships/hyperlink" Target="https://advance.lexis.com/api/document?collection=cases-ca&amp;id=urn:contentItem:5F7T-S7C1-JS0R-22D8-00000-00&amp;context=" TargetMode="External" /><Relationship Id="rId243" Type="http://schemas.openxmlformats.org/officeDocument/2006/relationships/header" Target="header37.xml" /><Relationship Id="rId244" Type="http://schemas.openxmlformats.org/officeDocument/2006/relationships/header" Target="header38.xml" /><Relationship Id="rId245" Type="http://schemas.openxmlformats.org/officeDocument/2006/relationships/footer" Target="footer37.xml" /><Relationship Id="rId246" Type="http://schemas.openxmlformats.org/officeDocument/2006/relationships/footer" Target="footer38.xml" /><Relationship Id="rId247" Type="http://schemas.openxmlformats.org/officeDocument/2006/relationships/header" Target="header39.xml" /><Relationship Id="rId248" Type="http://schemas.openxmlformats.org/officeDocument/2006/relationships/footer" Target="footer39.xml" /><Relationship Id="rId249" Type="http://schemas.openxmlformats.org/officeDocument/2006/relationships/hyperlink" Target="https://advance.lexis.com/api/document?collection=cases-ca&amp;id=urn:contentItem:5F7T-S7C1-F7ND-G020-00000-00&amp;context=" TargetMode="External" /><Relationship Id="rId25" Type="http://schemas.openxmlformats.org/officeDocument/2006/relationships/hyperlink" Target="https://advance.lexis.com/api/document?collection=legislation-ca&amp;id=urn:contentItem:5F41-1FM1-JSJC-X220-00000-00&amp;context=" TargetMode="External" /><Relationship Id="rId250" Type="http://schemas.openxmlformats.org/officeDocument/2006/relationships/hyperlink" Target="https://advance.lexis.com/api/document?collection=cases-ca&amp;id=urn:contentItem:5F7T-S6R1-JSXV-G13S-00000-00&amp;context=" TargetMode="External" /><Relationship Id="rId251" Type="http://schemas.openxmlformats.org/officeDocument/2006/relationships/header" Target="header40.xml" /><Relationship Id="rId252" Type="http://schemas.openxmlformats.org/officeDocument/2006/relationships/header" Target="header41.xml" /><Relationship Id="rId253" Type="http://schemas.openxmlformats.org/officeDocument/2006/relationships/footer" Target="footer40.xml" /><Relationship Id="rId254" Type="http://schemas.openxmlformats.org/officeDocument/2006/relationships/footer" Target="footer41.xml" /><Relationship Id="rId255" Type="http://schemas.openxmlformats.org/officeDocument/2006/relationships/header" Target="header42.xml" /><Relationship Id="rId256" Type="http://schemas.openxmlformats.org/officeDocument/2006/relationships/footer" Target="footer42.xml" /><Relationship Id="rId257" Type="http://schemas.openxmlformats.org/officeDocument/2006/relationships/hyperlink" Target="https://advance.lexis.com/api/document?collection=cases-ca&amp;id=urn:contentItem:5F7T-S7H1-JCRC-B0XJ-00000-00&amp;context=" TargetMode="External" /><Relationship Id="rId258" Type="http://schemas.openxmlformats.org/officeDocument/2006/relationships/hyperlink" Target="https://advance.lexis.com/api/document?collection=cases-ca&amp;id=urn:contentItem:5F7T-S7F1-FBN1-21GT-00000-00&amp;context=" TargetMode="External" /><Relationship Id="rId259" Type="http://schemas.openxmlformats.org/officeDocument/2006/relationships/hyperlink" Target="https://advance.lexis.com/api/document?collection=cases-ca&amp;id=urn:contentItem:5F7T-S7D1-JXG3-X0V4-00000-00&amp;context=" TargetMode="External" /><Relationship Id="rId26" Type="http://schemas.openxmlformats.org/officeDocument/2006/relationships/hyperlink" Target="https://advance.lexis.com/api/document?collection=cases-ca&amp;id=urn:contentItem:5F8P-SDS1-JKB3-X0FT-00000-00&amp;context=" TargetMode="External" /><Relationship Id="rId260" Type="http://schemas.openxmlformats.org/officeDocument/2006/relationships/hyperlink" Target="https://advance.lexis.com/api/document?collection=cases-ca&amp;id=urn:contentItem:5F7T-S6W1-JJK6-S167-00000-00&amp;context=" TargetMode="External" /><Relationship Id="rId261" Type="http://schemas.openxmlformats.org/officeDocument/2006/relationships/hyperlink" Target="https://advance.lexis.com/api/document?collection=cases-ca&amp;id=urn:contentItem:5F7T-S6R1-DXWW-22YF-00000-00&amp;context=" TargetMode="External" /><Relationship Id="rId262" Type="http://schemas.openxmlformats.org/officeDocument/2006/relationships/hyperlink" Target="https://advance.lexis.com/api/document?collection=cases-ca&amp;id=urn:contentItem:5F7T-S6R1-F06F-221B-00000-00&amp;context=" TargetMode="External" /><Relationship Id="rId263" Type="http://schemas.openxmlformats.org/officeDocument/2006/relationships/hyperlink" Target="https://advance.lexis.com/api/document?collection=legislation-ca&amp;id=urn:contentItem:5F41-1FG1-FC1F-M0TW-00000-00&amp;context=" TargetMode="External" /><Relationship Id="rId264" Type="http://schemas.openxmlformats.org/officeDocument/2006/relationships/hyperlink" Target="https://advance.lexis.com/api/document?collection=cases-ca&amp;id=urn:contentItem:5F7T-S7G1-JPP5-2239-00000-00&amp;context=" TargetMode="External" /><Relationship Id="rId265" Type="http://schemas.openxmlformats.org/officeDocument/2006/relationships/hyperlink" Target="https://advance.lexis.com/api/document?collection=cases-ca&amp;id=urn:contentItem:5F7T-S751-JBM1-M227-00000-00&amp;context=" TargetMode="External" /><Relationship Id="rId266" Type="http://schemas.openxmlformats.org/officeDocument/2006/relationships/hyperlink" Target="https://advance.lexis.com/api/document?collection=cases-ca&amp;id=urn:contentItem:5F7T-S771-JN14-G2DF-00000-00&amp;context=" TargetMode="External" /><Relationship Id="rId267" Type="http://schemas.openxmlformats.org/officeDocument/2006/relationships/hyperlink" Target="https://advance.lexis.com/api/document?collection=cases-ca&amp;id=urn:contentItem:5F7T-S7D1-F7ND-G0FM-00000-00&amp;context=" TargetMode="External" /><Relationship Id="rId268" Type="http://schemas.openxmlformats.org/officeDocument/2006/relationships/hyperlink" Target="https://advance.lexis.com/api/document?collection=cases-ca&amp;id=urn:contentItem:5F7T-S7D1-JXG3-X0P1-00000-00&amp;context=" TargetMode="External" /><Relationship Id="rId269" Type="http://schemas.openxmlformats.org/officeDocument/2006/relationships/hyperlink" Target="https://advance.lexis.com/api/document?collection=cases-ca&amp;id=urn:contentItem:5F7T-S7C1-FGRY-B03S-00000-00&amp;context=" TargetMode="External" /><Relationship Id="rId27" Type="http://schemas.openxmlformats.org/officeDocument/2006/relationships/hyperlink" Target="https://advance.lexis.com/api/document?collection=cases-ca&amp;id=urn:contentItem:5F82-1SF1-F361-M41V-00000-00&amp;context=" TargetMode="External" /><Relationship Id="rId270" Type="http://schemas.openxmlformats.org/officeDocument/2006/relationships/hyperlink" Target="https://advance.lexis.com/api/document?collection=cases-ca&amp;id=urn:contentItem:5F7T-S7C1-F4NT-X44D-00000-00&amp;context=" TargetMode="External" /><Relationship Id="rId271" Type="http://schemas.openxmlformats.org/officeDocument/2006/relationships/hyperlink" Target="https://advance.lexis.com/api/document?collection=cases-ca&amp;id=urn:contentItem:5F7T-S7G1-JWR6-S1KD-00000-00&amp;context=" TargetMode="External" /><Relationship Id="rId272" Type="http://schemas.openxmlformats.org/officeDocument/2006/relationships/hyperlink" Target="https://advance.lexis.com/api/document?collection=cases-ca&amp;id=urn:contentItem:5F7T-S6T1-JTNR-M2MX-00000-00&amp;context=" TargetMode="External" /><Relationship Id="rId273" Type="http://schemas.openxmlformats.org/officeDocument/2006/relationships/hyperlink" Target="https://advance.lexis.com/api/document?collection=cases-ca&amp;id=urn:contentItem:5F7T-S6W1-JB7K-21FR-00000-00&amp;context=" TargetMode="External" /><Relationship Id="rId274" Type="http://schemas.openxmlformats.org/officeDocument/2006/relationships/hyperlink" Target="https://advance.lexis.com/api/document?collection=cases-ca&amp;id=urn:contentItem:5F7T-S781-F06F-23M6-00000-00&amp;context=" TargetMode="External" /><Relationship Id="rId275" Type="http://schemas.openxmlformats.org/officeDocument/2006/relationships/hyperlink" Target="https://advance.lexis.com/api/document?collection=cases-ca&amp;id=urn:contentItem:5F7T-S7C1-FCSB-S2J7-00000-00&amp;context=" TargetMode="External" /><Relationship Id="rId276" Type="http://schemas.openxmlformats.org/officeDocument/2006/relationships/hyperlink" Target="https://advance.lexis.com/api/document?collection=cases-ca&amp;id=urn:contentItem:5F7T-S7G1-JPP5-21V6-00000-00&amp;context=" TargetMode="External" /><Relationship Id="rId277" Type="http://schemas.openxmlformats.org/officeDocument/2006/relationships/hyperlink" Target="https://advance.lexis.com/api/document?collection=cases-ca&amp;id=urn:contentItem:5F7T-S7C1-FCSB-S21P-00000-00&amp;context=" TargetMode="External" /><Relationship Id="rId278" Type="http://schemas.openxmlformats.org/officeDocument/2006/relationships/hyperlink" Target="https://advance.lexis.com/api/document?collection=cases-ca&amp;id=urn:contentItem:5F7T-S7G1-JNY7-X3R1-00000-00&amp;context=" TargetMode="External" /><Relationship Id="rId279" Type="http://schemas.openxmlformats.org/officeDocument/2006/relationships/hyperlink" Target="https://advance.lexis.com/api/document?collection=cases-ca&amp;id=urn:contentItem:5F7T-S761-FGJR-22F0-00000-00&amp;context=" TargetMode="External" /><Relationship Id="rId28" Type="http://schemas.openxmlformats.org/officeDocument/2006/relationships/hyperlink" Target="https://advance.lexis.com/api/document?collection=cases-ca&amp;id=urn:contentItem:5F8T-N3R1-JNS1-M10P-00000-00&amp;context=" TargetMode="External" /><Relationship Id="rId280" Type="http://schemas.openxmlformats.org/officeDocument/2006/relationships/hyperlink" Target="https://advance.lexis.com/api/document?collection=cases-ca&amp;id=urn:contentItem:5F7T-S7H1-F4GK-M325-00000-00&amp;context=" TargetMode="External" /><Relationship Id="rId281" Type="http://schemas.openxmlformats.org/officeDocument/2006/relationships/hyperlink" Target="https://advance.lexis.com/api/document?collection=cases-ca&amp;id=urn:contentItem:5F7T-S7F1-FJTD-G3JF-00000-00&amp;context=" TargetMode="External" /><Relationship Id="rId282" Type="http://schemas.openxmlformats.org/officeDocument/2006/relationships/header" Target="header43.xml" /><Relationship Id="rId283" Type="http://schemas.openxmlformats.org/officeDocument/2006/relationships/header" Target="header44.xml" /><Relationship Id="rId284" Type="http://schemas.openxmlformats.org/officeDocument/2006/relationships/footer" Target="footer43.xml" /><Relationship Id="rId285" Type="http://schemas.openxmlformats.org/officeDocument/2006/relationships/footer" Target="footer44.xml" /><Relationship Id="rId286" Type="http://schemas.openxmlformats.org/officeDocument/2006/relationships/header" Target="header45.xml" /><Relationship Id="rId287" Type="http://schemas.openxmlformats.org/officeDocument/2006/relationships/footer" Target="footer45.xml" /><Relationship Id="rId288" Type="http://schemas.openxmlformats.org/officeDocument/2006/relationships/hyperlink" Target="https://advance.lexis.com/api/document?collection=cases-ca&amp;id=urn:contentItem:5F7T-S771-JWBS-61NH-00000-00&amp;context=" TargetMode="External" /><Relationship Id="rId289" Type="http://schemas.openxmlformats.org/officeDocument/2006/relationships/hyperlink" Target="https://advance.lexis.com/api/document?collection=cases-ca&amp;id=urn:contentItem:5F7T-S751-JNS1-M1BR-00000-00&amp;context=" TargetMode="External" /><Relationship Id="rId29" Type="http://schemas.openxmlformats.org/officeDocument/2006/relationships/hyperlink" Target="https://advance.lexis.com/api/document?collection=cases-ca&amp;id=urn:contentItem:5F7T-S781-F06F-244H-00000-00&amp;context=" TargetMode="External" /><Relationship Id="rId290" Type="http://schemas.openxmlformats.org/officeDocument/2006/relationships/hyperlink" Target="https://advance.lexis.com/api/document?collection=cases-ca&amp;id=urn:contentItem:5F7T-S751-JNS1-M1C9-00000-00&amp;context=" TargetMode="External" /><Relationship Id="rId291" Type="http://schemas.openxmlformats.org/officeDocument/2006/relationships/hyperlink" Target="https://advance.lexis.com/api/document?collection=cases-ca&amp;id=urn:contentItem:5F7T-S6Y1-FJDY-X23K-00000-00&amp;context=" TargetMode="External" /><Relationship Id="rId292" Type="http://schemas.openxmlformats.org/officeDocument/2006/relationships/hyperlink" Target="https://advance.lexis.com/api/document?collection=cases-ca&amp;id=urn:contentItem:5F7T-S711-JC0G-632S-00000-00&amp;context=" TargetMode="External" /><Relationship Id="rId293" Type="http://schemas.openxmlformats.org/officeDocument/2006/relationships/header" Target="header46.xml" /><Relationship Id="rId294" Type="http://schemas.openxmlformats.org/officeDocument/2006/relationships/header" Target="header47.xml" /><Relationship Id="rId295" Type="http://schemas.openxmlformats.org/officeDocument/2006/relationships/footer" Target="footer46.xml" /><Relationship Id="rId296" Type="http://schemas.openxmlformats.org/officeDocument/2006/relationships/footer" Target="footer47.xml" /><Relationship Id="rId297" Type="http://schemas.openxmlformats.org/officeDocument/2006/relationships/header" Target="header48.xml" /><Relationship Id="rId298" Type="http://schemas.openxmlformats.org/officeDocument/2006/relationships/footer" Target="footer48.xml" /><Relationship Id="rId299" Type="http://schemas.openxmlformats.org/officeDocument/2006/relationships/hyperlink" Target="https://advance.lexis.com/api/document?collection=cases-ca&amp;id=urn:contentItem:5SFD-NPG1-FCCX-600R-00000-00&amp;context=" TargetMode="External" /><Relationship Id="rId3" Type="http://schemas.openxmlformats.org/officeDocument/2006/relationships/fontTable" Target="fontTable.xml" /><Relationship Id="rId30" Type="http://schemas.openxmlformats.org/officeDocument/2006/relationships/hyperlink" Target="https://advance.lexis.com/api/document?collection=cases-ca&amp;id=urn:contentItem:5F8T-N3R1-JNS1-M14J-00000-00&amp;context=" TargetMode="External" /><Relationship Id="rId300" Type="http://schemas.openxmlformats.org/officeDocument/2006/relationships/hyperlink" Target="https://advance.lexis.com/api/document?collection=legislation-ca&amp;id=urn:contentItem:5F41-1FG1-F4NT-X0BY-00000-00&amp;context=" TargetMode="External" /><Relationship Id="rId301" Type="http://schemas.openxmlformats.org/officeDocument/2006/relationships/hyperlink" Target="https://advance.lexis.com/api/document?collection=cases-ca&amp;id=urn:contentItem:5F7T-S7F1-FFFC-B1V0-00000-00&amp;context=" TargetMode="External" /><Relationship Id="rId302" Type="http://schemas.openxmlformats.org/officeDocument/2006/relationships/hyperlink" Target="https://advance.lexis.com/api/document?collection=cases-ca&amp;id=urn:contentItem:5F7T-S7D1-F7ND-G0GW-00000-00&amp;context=" TargetMode="External" /><Relationship Id="rId303" Type="http://schemas.openxmlformats.org/officeDocument/2006/relationships/hyperlink" Target="https://advance.lexis.com/api/document?collection=cases-ca&amp;id=urn:contentItem:5MBP-67G1-F2MB-S3TT-00000-00&amp;context=" TargetMode="External" /><Relationship Id="rId304" Type="http://schemas.openxmlformats.org/officeDocument/2006/relationships/header" Target="header49.xml" /><Relationship Id="rId305" Type="http://schemas.openxmlformats.org/officeDocument/2006/relationships/header" Target="header50.xml" /><Relationship Id="rId306" Type="http://schemas.openxmlformats.org/officeDocument/2006/relationships/footer" Target="footer49.xml" /><Relationship Id="rId307" Type="http://schemas.openxmlformats.org/officeDocument/2006/relationships/footer" Target="footer50.xml" /><Relationship Id="rId308" Type="http://schemas.openxmlformats.org/officeDocument/2006/relationships/header" Target="header51.xml" /><Relationship Id="rId309" Type="http://schemas.openxmlformats.org/officeDocument/2006/relationships/footer" Target="footer51.xml" /><Relationship Id="rId31" Type="http://schemas.openxmlformats.org/officeDocument/2006/relationships/hyperlink" Target="https://advance.lexis.com/api/document?collection=cases-ca&amp;id=urn:contentItem:5F8T-N3S1-JBDT-B025-00000-00&amp;context=" TargetMode="External" /><Relationship Id="rId310" Type="http://schemas.openxmlformats.org/officeDocument/2006/relationships/hyperlink" Target="https://advance.lexis.com/api/document?collection=cases-ca&amp;id=urn:contentItem:5F7T-S7D1-FBFS-S1MB-00000-00&amp;context=" TargetMode="External" /><Relationship Id="rId311" Type="http://schemas.openxmlformats.org/officeDocument/2006/relationships/hyperlink" Target="https://advance.lexis.com/api/document?collection=legislation-ca&amp;id=urn:contentItem:5F41-1FG1-JJYN-B03B-00000-00&amp;context=" TargetMode="External" /><Relationship Id="rId312" Type="http://schemas.openxmlformats.org/officeDocument/2006/relationships/hyperlink" Target="https://advance.lexis.com/api/document?collection=legislation-ca&amp;id=urn:contentItem:5W2C-X5J1-JJ1H-X0F6-00000-00&amp;context=" TargetMode="External" /><Relationship Id="rId313" Type="http://schemas.openxmlformats.org/officeDocument/2006/relationships/hyperlink" Target="https://advance.lexis.com/api/document?collection=cases-ca&amp;id=urn:contentItem:5F7T-S7C1-F4NT-X40D-00000-00&amp;context=" TargetMode="External" /><Relationship Id="rId314" Type="http://schemas.openxmlformats.org/officeDocument/2006/relationships/hyperlink" Target="https://advance.lexis.com/api/document?collection=cases-ca&amp;id=urn:contentItem:5F7T-S711-F4GK-M2NN-00000-00&amp;context=" TargetMode="External" /><Relationship Id="rId315" Type="http://schemas.openxmlformats.org/officeDocument/2006/relationships/hyperlink" Target="https://advance.lexis.com/api/document?collection=cases-ca&amp;id=urn:contentItem:5F7T-S6W1-F528-G1D4-00000-00&amp;context=" TargetMode="External" /><Relationship Id="rId316" Type="http://schemas.openxmlformats.org/officeDocument/2006/relationships/hyperlink" Target="https://advance.lexis.com/api/document?collection=cases-ca&amp;id=urn:contentItem:5F7T-S7D1-JG02-S2N2-00000-00&amp;context=" TargetMode="External" /><Relationship Id="rId317" Type="http://schemas.openxmlformats.org/officeDocument/2006/relationships/hyperlink" Target="https://advance.lexis.com/api/document?collection=cases-ca&amp;id=urn:contentItem:5F7T-S7B1-FH4C-X3G0-00000-00&amp;context=" TargetMode="External" /><Relationship Id="rId318" Type="http://schemas.openxmlformats.org/officeDocument/2006/relationships/hyperlink" Target="https://advance.lexis.com/api/document?collection=cases-ca&amp;id=urn:contentItem:5F7T-S7D1-FC6N-X0N5-00000-00&amp;context=" TargetMode="External" /><Relationship Id="rId319" Type="http://schemas.openxmlformats.org/officeDocument/2006/relationships/header" Target="header52.xml" /><Relationship Id="rId32" Type="http://schemas.openxmlformats.org/officeDocument/2006/relationships/hyperlink" Target="https://advance.lexis.com/api/document?collection=cases-ca&amp;id=urn:contentItem:5F81-VJS1-FFFC-B2HK-00000-00&amp;context=" TargetMode="External" /><Relationship Id="rId320" Type="http://schemas.openxmlformats.org/officeDocument/2006/relationships/header" Target="header53.xml" /><Relationship Id="rId321" Type="http://schemas.openxmlformats.org/officeDocument/2006/relationships/footer" Target="footer52.xml" /><Relationship Id="rId322" Type="http://schemas.openxmlformats.org/officeDocument/2006/relationships/footer" Target="footer53.xml" /><Relationship Id="rId323" Type="http://schemas.openxmlformats.org/officeDocument/2006/relationships/header" Target="header54.xml" /><Relationship Id="rId324" Type="http://schemas.openxmlformats.org/officeDocument/2006/relationships/footer" Target="footer54.xml" /><Relationship Id="rId325" Type="http://schemas.openxmlformats.org/officeDocument/2006/relationships/hyperlink" Target="https://advance.lexis.com/api/document?collection=cases-ca&amp;id=urn:contentItem:5F7T-S7P1-JSJC-X1JB-00000-00&amp;context=" TargetMode="External" /><Relationship Id="rId326" Type="http://schemas.openxmlformats.org/officeDocument/2006/relationships/hyperlink" Target="https://advance.lexis.com/api/document?collection=legislation-ca&amp;id=urn:contentItem:5F3B-B9P1-JF75-M0WY-00000-00&amp;context=" TargetMode="External" /><Relationship Id="rId327" Type="http://schemas.openxmlformats.org/officeDocument/2006/relationships/hyperlink" Target="https://advance.lexis.com/api/document?collection=legislation-ca&amp;id=urn:contentItem:5F3B-B791-JW09-M0P1-00000-00&amp;context=" TargetMode="External" /><Relationship Id="rId328" Type="http://schemas.openxmlformats.org/officeDocument/2006/relationships/hyperlink" Target="https://advance.lexis.com/api/document?collection=legislation-ca&amp;id=urn:contentItem:5F41-1FG1-FBN1-20VP-00000-00&amp;context=" TargetMode="External" /><Relationship Id="rId329" Type="http://schemas.openxmlformats.org/officeDocument/2006/relationships/hyperlink" Target="https://advance.lexis.com/api/document?collection=legislation-ca&amp;id=urn:contentItem:5VYK-WB11-F5KY-B48X-00000-00&amp;context=" TargetMode="External" /><Relationship Id="rId33" Type="http://schemas.openxmlformats.org/officeDocument/2006/relationships/hyperlink" Target="https://advance.lexis.com/api/document?collection=cases-ca&amp;id=urn:contentItem:5F7T-S791-JCJ5-24YD-00000-00&amp;context=" TargetMode="External" /><Relationship Id="rId330" Type="http://schemas.openxmlformats.org/officeDocument/2006/relationships/hyperlink" Target="https://advance.lexis.com/api/document?collection=legislation-ca&amp;id=urn:contentItem:5MTG-54W1-DYFH-X1ST-00000-00&amp;context=" TargetMode="External" /><Relationship Id="rId331" Type="http://schemas.openxmlformats.org/officeDocument/2006/relationships/hyperlink" Target="https://advance.lexis.com/api/document?collection=cases-ca&amp;id=urn:contentItem:5F8P-SD51-JB2B-S0D4-00000-00&amp;context=" TargetMode="External" /><Relationship Id="rId332" Type="http://schemas.openxmlformats.org/officeDocument/2006/relationships/hyperlink" Target="https://advance.lexis.com/api/document?collection=cases-ca&amp;id=urn:contentItem:5F8P-SDP1-JF75-M0PV-00000-00&amp;context=" TargetMode="External" /><Relationship Id="rId333" Type="http://schemas.openxmlformats.org/officeDocument/2006/relationships/hyperlink" Target="https://advance.lexis.com/api/document?collection=cases-ca&amp;id=urn:contentItem:5F7T-S7K1-JWXF-213C-00000-00&amp;context=" TargetMode="External" /><Relationship Id="rId334" Type="http://schemas.openxmlformats.org/officeDocument/2006/relationships/hyperlink" Target="https://advance.lexis.com/api/document?collection=cases-ca&amp;id=urn:contentItem:5F7T-S7K1-DY33-B1RF-00000-00&amp;context=" TargetMode="External" /><Relationship Id="rId335" Type="http://schemas.openxmlformats.org/officeDocument/2006/relationships/hyperlink" Target="https://advance.lexis.com/api/document?collection=cases-ca&amp;id=urn:contentItem:5F8T-N3R1-JJSF-22GT-00000-00&amp;context=" TargetMode="External" /><Relationship Id="rId336" Type="http://schemas.openxmlformats.org/officeDocument/2006/relationships/hyperlink" Target="https://advance.lexis.com/api/document?collection=cases-ca&amp;id=urn:contentItem:5F7T-S7K1-JSJC-X11Y-00000-00&amp;context=" TargetMode="External" /><Relationship Id="rId337" Type="http://schemas.openxmlformats.org/officeDocument/2006/relationships/hyperlink" Target="https://advance.lexis.com/api/document?collection=cases-ca&amp;id=urn:contentItem:5F7T-S7G1-JNY7-X3KN-00000-00&amp;context=" TargetMode="External" /><Relationship Id="rId338" Type="http://schemas.openxmlformats.org/officeDocument/2006/relationships/hyperlink" Target="https://advance.lexis.com/api/document?collection=cases-ca&amp;id=urn:contentItem:5F7T-S7F1-JFKM-61P9-00000-00&amp;context=" TargetMode="External" /><Relationship Id="rId339" Type="http://schemas.openxmlformats.org/officeDocument/2006/relationships/hyperlink" Target="https://advance.lexis.com/api/document?collection=cases-ca&amp;id=urn:contentItem:5F8P-SFR1-JG02-S214-00000-00&amp;context=" TargetMode="External" /><Relationship Id="rId34" Type="http://schemas.openxmlformats.org/officeDocument/2006/relationships/hyperlink" Target="https://advance.lexis.com/api/document?collection=cases-ca&amp;id=urn:contentItem:5F8T-N3V1-FC1F-M45G-00000-00&amp;context=" TargetMode="External" /><Relationship Id="rId340" Type="http://schemas.openxmlformats.org/officeDocument/2006/relationships/hyperlink" Target="https://advance.lexis.com/api/document?collection=cases-ca&amp;id=urn:contentItem:5F8P-SGB1-FBV7-B400-00000-00&amp;context=" TargetMode="External" /><Relationship Id="rId341" Type="http://schemas.openxmlformats.org/officeDocument/2006/relationships/hyperlink" Target="https://advance.lexis.com/api/document?collection=cases-ca&amp;id=urn:contentItem:5F8P-SDN1-JJD0-G2GW-00000-00&amp;context=" TargetMode="External" /><Relationship Id="rId342" Type="http://schemas.openxmlformats.org/officeDocument/2006/relationships/hyperlink" Target="https://advance.lexis.com/api/document?collection=cases-ca&amp;id=urn:contentItem:5F8T-N3V1-FC1F-M3XC-00000-00&amp;context=" TargetMode="External" /><Relationship Id="rId343" Type="http://schemas.openxmlformats.org/officeDocument/2006/relationships/hyperlink" Target="https://advance.lexis.com/api/document?collection=cases-ca&amp;id=urn:contentItem:5F7T-S781-F27X-6105-00000-00&amp;context=" TargetMode="External" /><Relationship Id="rId344" Type="http://schemas.openxmlformats.org/officeDocument/2006/relationships/hyperlink" Target="https://advance.lexis.com/api/document?collection=cases-ca&amp;id=urn:contentItem:5F82-1SF1-F4W2-638N-00000-00&amp;context=" TargetMode="External" /><Relationship Id="rId345" Type="http://schemas.openxmlformats.org/officeDocument/2006/relationships/hyperlink" Target="https://advance.lexis.com/api/document?collection=cases-ca&amp;id=urn:contentItem:5F8T-N3T1-JFKM-6514-00000-00&amp;context=" TargetMode="External" /><Relationship Id="rId346" Type="http://schemas.openxmlformats.org/officeDocument/2006/relationships/hyperlink" Target="https://advance.lexis.com/api/document?collection=cases-ca&amp;id=urn:contentItem:5F81-YGK1-JJ1H-X4S1-00000-00&amp;context=" TargetMode="External" /><Relationship Id="rId347" Type="http://schemas.openxmlformats.org/officeDocument/2006/relationships/hyperlink" Target="https://advance.lexis.com/api/document?collection=cases-ca&amp;id=urn:contentItem:5F81-VJX1-F5KY-B4FP-00000-00&amp;context=" TargetMode="External" /><Relationship Id="rId348" Type="http://schemas.openxmlformats.org/officeDocument/2006/relationships/hyperlink" Target="https://advance.lexis.com/api/document?collection=cases-ca&amp;id=urn:contentItem:5F81-VJX1-JJYN-B4S4-00000-00&amp;context=" TargetMode="External" /><Relationship Id="rId349" Type="http://schemas.openxmlformats.org/officeDocument/2006/relationships/hyperlink" Target="https://advance.lexis.com/api/document?collection=cases-ca&amp;id=urn:contentItem:5F82-1SF1-K054-G3V2-00000-00&amp;context=" TargetMode="External" /><Relationship Id="rId35" Type="http://schemas.openxmlformats.org/officeDocument/2006/relationships/hyperlink" Target="https://advance.lexis.com/api/document?collection=cases-ca&amp;id=urn:contentItem:5F81-VJX1-FFTT-X1M6-00000-00&amp;context=" TargetMode="External" /><Relationship Id="rId350" Type="http://schemas.openxmlformats.org/officeDocument/2006/relationships/hyperlink" Target="https://advance.lexis.com/api/document?collection=cases-ca&amp;id=urn:contentItem:5F7T-S771-F81W-22RB-00000-00&amp;context=" TargetMode="External" /><Relationship Id="rId351" Type="http://schemas.openxmlformats.org/officeDocument/2006/relationships/hyperlink" Target="https://advance.lexis.com/api/document?collection=cases-ca&amp;id=urn:contentItem:5F8T-N3N1-JWXF-24TY-00000-00&amp;context=" TargetMode="External" /><Relationship Id="rId352" Type="http://schemas.openxmlformats.org/officeDocument/2006/relationships/hyperlink" Target="https://advance.lexis.com/api/document?collection=cases-ca&amp;id=urn:contentItem:5F8P-SBV1-JXNB-636M-00000-00&amp;context=" TargetMode="External" /><Relationship Id="rId353" Type="http://schemas.openxmlformats.org/officeDocument/2006/relationships/hyperlink" Target="https://advance.lexis.com/api/document?collection=cases-ca&amp;id=urn:contentItem:5F16-93D1-JCRC-B1SJ-00000-00&amp;context=" TargetMode="External" /><Relationship Id="rId354" Type="http://schemas.openxmlformats.org/officeDocument/2006/relationships/hyperlink" Target="https://advance.lexis.com/api/document?collection=cases-ca&amp;id=urn:contentItem:5F16-93D1-F81W-214C-00000-00&amp;context=" TargetMode="External" /><Relationship Id="rId355" Type="http://schemas.openxmlformats.org/officeDocument/2006/relationships/hyperlink" Target="https://advance.lexis.com/api/document?collection=cases-ca&amp;id=urn:contentItem:5F7T-S7C1-F30T-B24B-00000-00&amp;context=" TargetMode="External" /><Relationship Id="rId356" Type="http://schemas.openxmlformats.org/officeDocument/2006/relationships/hyperlink" Target="https://advance.lexis.com/api/document?collection=cases-ca&amp;id=urn:contentItem:5F81-VJX1-JP9P-G4NJ-00000-00&amp;context=" TargetMode="External" /><Relationship Id="rId357" Type="http://schemas.openxmlformats.org/officeDocument/2006/relationships/hyperlink" Target="https://advance.lexis.com/api/document?collection=cases-ca&amp;id=urn:contentItem:5F8P-SCK1-FGJR-24JM-00000-00&amp;context=" TargetMode="External" /><Relationship Id="rId358" Type="http://schemas.openxmlformats.org/officeDocument/2006/relationships/hyperlink" Target="https://advance.lexis.com/api/document?collection=cases-ca&amp;id=urn:contentItem:5F7T-S7H1-F4GK-M350-00000-00&amp;context=" TargetMode="External" /><Relationship Id="rId359" Type="http://schemas.openxmlformats.org/officeDocument/2006/relationships/hyperlink" Target="https://advance.lexis.com/api/document?collection=cases-ca&amp;id=urn:contentItem:5F8T-N3S1-JBDT-B07T-00000-00&amp;context=" TargetMode="External" /><Relationship Id="rId36" Type="http://schemas.openxmlformats.org/officeDocument/2006/relationships/hyperlink" Target="https://advance.lexis.com/api/document?collection=legislation-ca&amp;id=urn:contentItem:5W00-SYR1-JX8W-M4S2-00000-00&amp;context=" TargetMode="External" /><Relationship Id="rId360" Type="http://schemas.openxmlformats.org/officeDocument/2006/relationships/hyperlink" Target="https://advance.lexis.com/api/document?collection=cases-ca&amp;id=urn:contentItem:5F7T-S7D1-F7ND-G06W-00000-00&amp;context=" TargetMode="External" /><Relationship Id="rId361" Type="http://schemas.openxmlformats.org/officeDocument/2006/relationships/hyperlink" Target="https://advance.lexis.com/api/document?collection=cases-ca&amp;id=urn:contentItem:5F81-VJX1-F22N-X1PV-00000-00&amp;context=" TargetMode="External" /><Relationship Id="rId362" Type="http://schemas.openxmlformats.org/officeDocument/2006/relationships/hyperlink" Target="https://advance.lexis.com/api/document?collection=cases-ca&amp;id=urn:contentItem:5F8P-SCK1-JGHR-M3PB-00000-00&amp;context=" TargetMode="External" /><Relationship Id="rId363" Type="http://schemas.openxmlformats.org/officeDocument/2006/relationships/hyperlink" Target="https://advance.lexis.com/api/document?collection=cases-ca&amp;id=urn:contentItem:5F7T-S7D1-JG02-S2MR-00000-00&amp;context=" TargetMode="External" /><Relationship Id="rId364" Type="http://schemas.openxmlformats.org/officeDocument/2006/relationships/hyperlink" Target="https://advance.lexis.com/api/document?collection=cases-ca&amp;id=urn:contentItem:5F7T-S7K1-JNY7-X4HD-00000-00&amp;context=" TargetMode="External" /><Relationship Id="rId365" Type="http://schemas.openxmlformats.org/officeDocument/2006/relationships/hyperlink" Target="https://advance.lexis.com/api/document?collection=cases-ca&amp;id=urn:contentItem:5F8T-N3V1-FC1F-M41G-00000-00&amp;context=" TargetMode="External" /><Relationship Id="rId366" Type="http://schemas.openxmlformats.org/officeDocument/2006/relationships/hyperlink" Target="https://advance.lexis.com/api/document?collection=cases-ca&amp;id=urn:contentItem:5F81-VJV1-JG59-22N6-00000-00&amp;context=" TargetMode="External" /><Relationship Id="rId367" Type="http://schemas.openxmlformats.org/officeDocument/2006/relationships/hyperlink" Target="https://advance.lexis.com/api/document?collection=legislation-ca&amp;id=urn:contentItem:5F41-1FG1-F4NT-X0BJ-00000-00&amp;context=" TargetMode="External" /><Relationship Id="rId368" Type="http://schemas.openxmlformats.org/officeDocument/2006/relationships/hyperlink" Target="https://advance.lexis.com/api/document?collection=cases-ca&amp;id=urn:contentItem:5F7T-S7K1-F528-G35K-00000-00&amp;context=" TargetMode="External" /><Relationship Id="rId369" Type="http://schemas.openxmlformats.org/officeDocument/2006/relationships/hyperlink" Target="https://advance.lexis.com/api/document?collection=cases-ca&amp;id=urn:contentItem:5F7T-S7K1-JNY7-X476-00000-00&amp;context=" TargetMode="External" /><Relationship Id="rId37" Type="http://schemas.openxmlformats.org/officeDocument/2006/relationships/hyperlink" Target="https://advance.lexis.com/api/document?collection=cases-ca&amp;id=urn:contentItem:5F7T-XPR1-JBDT-B519-00000-00&amp;context=" TargetMode="External" /><Relationship Id="rId370" Type="http://schemas.openxmlformats.org/officeDocument/2006/relationships/hyperlink" Target="https://advance.lexis.com/api/document?collection=cases-ca&amp;id=urn:contentItem:5F7T-S7J1-JGBH-B2GM-00000-00&amp;context=" TargetMode="External" /><Relationship Id="rId371" Type="http://schemas.openxmlformats.org/officeDocument/2006/relationships/hyperlink" Target="https://advance.lexis.com/api/document?collection=cases-ca&amp;id=urn:contentItem:5F7H-KWB1-F1WF-M1M9-00000-00&amp;context=" TargetMode="External" /><Relationship Id="rId372" Type="http://schemas.openxmlformats.org/officeDocument/2006/relationships/hyperlink" Target="https://advance.lexis.com/api/document?collection=cases-ca&amp;id=urn:contentItem:5F8T-N3V1-FH4C-X1VV-00000-00&amp;context=" TargetMode="External" /><Relationship Id="rId373" Type="http://schemas.openxmlformats.org/officeDocument/2006/relationships/hyperlink" Target="https://advance.lexis.com/api/document?collection=cases-ca&amp;id=urn:contentItem:5F7T-S7F1-DXWW-24MG-00000-00&amp;context=" TargetMode="External" /><Relationship Id="rId374" Type="http://schemas.openxmlformats.org/officeDocument/2006/relationships/hyperlink" Target="https://advance.lexis.com/api/document?collection=cases-ca&amp;id=urn:contentItem:5F7T-S7H1-F016-S46G-00000-00&amp;context=" TargetMode="External" /><Relationship Id="rId375" Type="http://schemas.openxmlformats.org/officeDocument/2006/relationships/hyperlink" Target="https://advance.lexis.com/api/document?collection=cases-ca&amp;id=urn:contentItem:5F7T-S7F1-FJTD-G36X-00000-00&amp;context=" TargetMode="External" /><Relationship Id="rId376" Type="http://schemas.openxmlformats.org/officeDocument/2006/relationships/hyperlink" Target="https://advance.lexis.com/api/document?collection=cases-ca&amp;id=urn:contentItem:5F7T-S7G1-JWR6-S1KV-00000-00&amp;context=" TargetMode="External" /><Relationship Id="rId377" Type="http://schemas.openxmlformats.org/officeDocument/2006/relationships/hyperlink" Target="https://advance.lexis.com/api/document?collection=cases-ca&amp;id=urn:contentItem:5F82-1SH1-F22N-X29K-00000-00&amp;context=" TargetMode="External" /><Relationship Id="rId378" Type="http://schemas.openxmlformats.org/officeDocument/2006/relationships/hyperlink" Target="https://advance.lexis.com/api/document?collection=cases-ca&amp;id=urn:contentItem:5F7T-S6X1-F7G6-624B-00000-00&amp;context=" TargetMode="External" /><Relationship Id="rId379" Type="http://schemas.openxmlformats.org/officeDocument/2006/relationships/hyperlink" Target="https://advance.lexis.com/api/document?collection=cases-ca&amp;id=urn:contentItem:5F81-VJX1-FD4T-B30S-00000-00&amp;context=" TargetMode="External" /><Relationship Id="rId38" Type="http://schemas.openxmlformats.org/officeDocument/2006/relationships/hyperlink" Target="https://advance.lexis.com/api/document?collection=cases-ca&amp;id=urn:contentItem:5F8P-SDK1-F5DR-20BX-00000-00&amp;context=" TargetMode="External" /><Relationship Id="rId380" Type="http://schemas.openxmlformats.org/officeDocument/2006/relationships/hyperlink" Target="https://advance.lexis.com/api/document?collection=cases-ca&amp;id=urn:contentItem:5F8P-SGC1-JG02-S2HT-00000-00&amp;context=" TargetMode="External" /><Relationship Id="rId381" Type="http://schemas.openxmlformats.org/officeDocument/2006/relationships/header" Target="header55.xml" /><Relationship Id="rId382" Type="http://schemas.openxmlformats.org/officeDocument/2006/relationships/header" Target="header56.xml" /><Relationship Id="rId383" Type="http://schemas.openxmlformats.org/officeDocument/2006/relationships/footer" Target="footer55.xml" /><Relationship Id="rId384" Type="http://schemas.openxmlformats.org/officeDocument/2006/relationships/footer" Target="footer56.xml" /><Relationship Id="rId385" Type="http://schemas.openxmlformats.org/officeDocument/2006/relationships/header" Target="header57.xml" /><Relationship Id="rId386" Type="http://schemas.openxmlformats.org/officeDocument/2006/relationships/footer" Target="footer57.xml" /><Relationship Id="rId387" Type="http://schemas.openxmlformats.org/officeDocument/2006/relationships/hyperlink" Target="https://advance.lexis.com/api/document?collection=cases-ca&amp;id=urn:contentItem:5S41-SWT1-JG59-21H5-00000-00&amp;context=" TargetMode="External" /><Relationship Id="rId388" Type="http://schemas.openxmlformats.org/officeDocument/2006/relationships/hyperlink" Target="https://advance.lexis.com/api/document?collection=cases-ca&amp;id=urn:contentItem:5PVV-JWM1-JCJ5-21V6-00000-00&amp;context=" TargetMode="External" /><Relationship Id="rId389" Type="http://schemas.openxmlformats.org/officeDocument/2006/relationships/header" Target="header58.xml" /><Relationship Id="rId39" Type="http://schemas.openxmlformats.org/officeDocument/2006/relationships/hyperlink" Target="https://advance.lexis.com/api/document?collection=cases-ca&amp;id=urn:contentItem:5F8T-N3R1-FBV7-B06C-00000-00&amp;context=" TargetMode="External" /><Relationship Id="rId390" Type="http://schemas.openxmlformats.org/officeDocument/2006/relationships/header" Target="header59.xml" /><Relationship Id="rId391" Type="http://schemas.openxmlformats.org/officeDocument/2006/relationships/footer" Target="footer58.xml" /><Relationship Id="rId392" Type="http://schemas.openxmlformats.org/officeDocument/2006/relationships/footer" Target="footer59.xml" /><Relationship Id="rId393" Type="http://schemas.openxmlformats.org/officeDocument/2006/relationships/header" Target="header60.xml" /><Relationship Id="rId394" Type="http://schemas.openxmlformats.org/officeDocument/2006/relationships/footer" Target="footer60.xml" /><Relationship Id="rId395" Type="http://schemas.openxmlformats.org/officeDocument/2006/relationships/hyperlink" Target="https://advance.lexis.com/api/document?collection=cases-ca&amp;id=urn:contentItem:5F7T-S7H1-F016-S3XT-00000-00&amp;context=" TargetMode="External" /><Relationship Id="rId396" Type="http://schemas.openxmlformats.org/officeDocument/2006/relationships/hyperlink" Target="https://advance.lexis.com/api/document?collection=legislation-ca&amp;id=urn:contentItem:5JKN-R7N1-FBN1-20DP-00000-00&amp;context=" TargetMode="External" /><Relationship Id="rId397" Type="http://schemas.openxmlformats.org/officeDocument/2006/relationships/hyperlink" Target="https://advance.lexis.com/api/document?collection=cases-ca&amp;id=urn:contentItem:5F7T-S7H1-JG02-S3M3-00000-00&amp;context=" TargetMode="External" /><Relationship Id="rId398" Type="http://schemas.openxmlformats.org/officeDocument/2006/relationships/hyperlink" Target="https://advance.lexis.com/api/document?collection=cases-ca&amp;id=urn:contentItem:5F7T-S6Y1-JPP5-21K4-00000-00&amp;context=" TargetMode="External" /><Relationship Id="rId399" Type="http://schemas.openxmlformats.org/officeDocument/2006/relationships/hyperlink" Target="https://advance.lexis.com/api/document?collection=cases-ca&amp;id=urn:contentItem:5F7T-S7D1-FCSB-S369-00000-00&amp;context=" TargetMode="External" /><Relationship Id="rId4" Type="http://schemas.openxmlformats.org/officeDocument/2006/relationships/header" Target="header1.xml" /><Relationship Id="rId40" Type="http://schemas.openxmlformats.org/officeDocument/2006/relationships/hyperlink" Target="https://advance.lexis.com/api/document?collection=cases-ca&amp;id=urn:contentItem:5F7T-S6R1-JSXV-G165-00000-00&amp;context=" TargetMode="External" /><Relationship Id="rId400" Type="http://schemas.openxmlformats.org/officeDocument/2006/relationships/hyperlink" Target="https://advance.lexis.com/api/document?collection=cases-ca&amp;id=urn:contentItem:5F7T-S781-JSC5-M3VV-00000-00&amp;context=" TargetMode="External" /><Relationship Id="rId401" Type="http://schemas.openxmlformats.org/officeDocument/2006/relationships/header" Target="header61.xml" /><Relationship Id="rId402" Type="http://schemas.openxmlformats.org/officeDocument/2006/relationships/header" Target="header62.xml" /><Relationship Id="rId403" Type="http://schemas.openxmlformats.org/officeDocument/2006/relationships/footer" Target="footer61.xml" /><Relationship Id="rId404" Type="http://schemas.openxmlformats.org/officeDocument/2006/relationships/footer" Target="footer62.xml" /><Relationship Id="rId405" Type="http://schemas.openxmlformats.org/officeDocument/2006/relationships/header" Target="header63.xml" /><Relationship Id="rId406" Type="http://schemas.openxmlformats.org/officeDocument/2006/relationships/footer" Target="footer63.xml" /><Relationship Id="rId407" Type="http://schemas.openxmlformats.org/officeDocument/2006/relationships/hyperlink" Target="https://advance.lexis.com/api/document?collection=cases-ca&amp;id=urn:contentItem:5F7T-S7C1-JCJ5-20JW-00000-00&amp;context=" TargetMode="External" /><Relationship Id="rId408" Type="http://schemas.openxmlformats.org/officeDocument/2006/relationships/image" Target="media/image1.png" /><Relationship Id="rId409" Type="http://schemas.openxmlformats.org/officeDocument/2006/relationships/hyperlink" Target="https://advance.lexis.com/api/document?collection=cases-ca&amp;id=urn:contentItem:5F7T-S7G1-JBT7-X40C-00000-00&amp;context=" TargetMode="External" /><Relationship Id="rId41" Type="http://schemas.openxmlformats.org/officeDocument/2006/relationships/hyperlink" Target="https://advance.lexis.com/api/document?collection=cases-ca&amp;id=urn:contentItem:5F7T-S731-F1WF-M24K-00000-00&amp;context=" TargetMode="External" /><Relationship Id="rId410" Type="http://schemas.openxmlformats.org/officeDocument/2006/relationships/hyperlink" Target="https://advance.lexis.com/api/document?collection=cases-ca&amp;id=urn:contentItem:5F7T-S701-FJDY-X2FB-00000-00&amp;context=" TargetMode="External" /><Relationship Id="rId411" Type="http://schemas.openxmlformats.org/officeDocument/2006/relationships/hyperlink" Target="https://advance.lexis.com/api/document?collection=cases-ca&amp;id=urn:contentItem:5F7T-S751-JX3N-B12X-00000-00&amp;context=" TargetMode="External" /><Relationship Id="rId412" Type="http://schemas.openxmlformats.org/officeDocument/2006/relationships/hyperlink" Target="https://advance.lexis.com/api/document?collection=cases-ca&amp;id=urn:contentItem:5F7T-S731-FFFC-B0D7-00000-00&amp;context=" TargetMode="External" /><Relationship Id="rId413" Type="http://schemas.openxmlformats.org/officeDocument/2006/relationships/hyperlink" Target="https://advance.lexis.com/api/document?collection=cases-ca&amp;id=urn:contentItem:5F7T-S711-JNY7-X3DS-00000-00&amp;context=" TargetMode="External" /><Relationship Id="rId414" Type="http://schemas.openxmlformats.org/officeDocument/2006/relationships/hyperlink" Target="https://advance.lexis.com/api/document?collection=cases-ca&amp;id=urn:contentItem:5F7T-S7G1-JWR6-S1Y2-00000-00&amp;context=" TargetMode="External" /><Relationship Id="rId415" Type="http://schemas.openxmlformats.org/officeDocument/2006/relationships/hyperlink" Target="https://advance.lexis.com/api/document?collection=cases-ca&amp;id=urn:contentItem:5F7T-S6S1-JNY7-X1YH-00000-00&amp;context=" TargetMode="External" /><Relationship Id="rId416" Type="http://schemas.openxmlformats.org/officeDocument/2006/relationships/hyperlink" Target="https://advance.lexis.com/api/document?collection=cases-ca&amp;id=urn:contentItem:5F7T-S7G1-JNY7-X3XK-00000-00&amp;context=" TargetMode="External" /><Relationship Id="rId417" Type="http://schemas.openxmlformats.org/officeDocument/2006/relationships/hyperlink" Target="https://advance.lexis.com/api/document?collection=cases-ca&amp;id=urn:contentItem:5F7T-S7G1-JX3N-B24M-00000-00&amp;context=" TargetMode="External" /><Relationship Id="rId418" Type="http://schemas.openxmlformats.org/officeDocument/2006/relationships/hyperlink" Target="https://advance.lexis.com/api/document?collection=cases-ca&amp;id=urn:contentItem:5F81-VJT1-JF75-M123-00000-00&amp;context=" TargetMode="External" /><Relationship Id="rId419" Type="http://schemas.openxmlformats.org/officeDocument/2006/relationships/header" Target="header64.xml" /><Relationship Id="rId42" Type="http://schemas.openxmlformats.org/officeDocument/2006/relationships/hyperlink" Target="https://advance.lexis.com/api/document?collection=cases-ca&amp;id=urn:contentItem:5F7T-S731-JNJT-B1YH-00000-00&amp;context=" TargetMode="External" /><Relationship Id="rId420" Type="http://schemas.openxmlformats.org/officeDocument/2006/relationships/header" Target="header65.xml" /><Relationship Id="rId421" Type="http://schemas.openxmlformats.org/officeDocument/2006/relationships/footer" Target="footer64.xml" /><Relationship Id="rId422" Type="http://schemas.openxmlformats.org/officeDocument/2006/relationships/footer" Target="footer65.xml" /><Relationship Id="rId423" Type="http://schemas.openxmlformats.org/officeDocument/2006/relationships/header" Target="header66.xml" /><Relationship Id="rId424" Type="http://schemas.openxmlformats.org/officeDocument/2006/relationships/footer" Target="footer66.xml" /><Relationship Id="rId425" Type="http://schemas.openxmlformats.org/officeDocument/2006/relationships/hyperlink" Target="https://advance.lexis.com/api/document?collection=cases-ca&amp;id=urn:contentItem:5F7T-S7F1-JK4W-M1F9-00000-00&amp;context=" TargetMode="External" /><Relationship Id="rId426" Type="http://schemas.openxmlformats.org/officeDocument/2006/relationships/hyperlink" Target="https://advance.lexis.com/api/document?collection=cases-ca&amp;id=urn:contentItem:5F7T-S7F1-DXWW-23R0-00000-00&amp;context=" TargetMode="External" /><Relationship Id="rId427" Type="http://schemas.openxmlformats.org/officeDocument/2006/relationships/hyperlink" Target="https://advance.lexis.com/api/document?collection=cases-ca&amp;id=urn:contentItem:5F7T-S781-F27X-61BF-00000-00&amp;context=" TargetMode="External" /><Relationship Id="rId428" Type="http://schemas.openxmlformats.org/officeDocument/2006/relationships/hyperlink" Target="https://advance.lexis.com/api/document?collection=cases-ca&amp;id=urn:contentItem:5F7T-S791-FJTD-G2V2-00000-00&amp;context=" TargetMode="External" /><Relationship Id="rId429" Type="http://schemas.openxmlformats.org/officeDocument/2006/relationships/header" Target="header67.xml" /><Relationship Id="rId43" Type="http://schemas.openxmlformats.org/officeDocument/2006/relationships/hyperlink" Target="https://advance.lexis.com/api/document?collection=cases-ca&amp;id=urn:contentItem:5F7V-3DJ1-JJSF-22W1-00000-00&amp;context=" TargetMode="External" /><Relationship Id="rId430" Type="http://schemas.openxmlformats.org/officeDocument/2006/relationships/header" Target="header68.xml" /><Relationship Id="rId431" Type="http://schemas.openxmlformats.org/officeDocument/2006/relationships/footer" Target="footer67.xml" /><Relationship Id="rId432" Type="http://schemas.openxmlformats.org/officeDocument/2006/relationships/footer" Target="footer68.xml" /><Relationship Id="rId433" Type="http://schemas.openxmlformats.org/officeDocument/2006/relationships/header" Target="header69.xml" /><Relationship Id="rId434" Type="http://schemas.openxmlformats.org/officeDocument/2006/relationships/footer" Target="footer69.xml" /><Relationship Id="rId435" Type="http://schemas.openxmlformats.org/officeDocument/2006/relationships/hyperlink" Target="https://advance.lexis.com/api/document?collection=cases-ca&amp;id=urn:contentItem:5F7T-S7D1-JG02-S357-00000-00&amp;context=" TargetMode="External" /><Relationship Id="rId436" Type="http://schemas.openxmlformats.org/officeDocument/2006/relationships/hyperlink" Target="https://advance.lexis.com/api/document?collection=cases-ca&amp;id=urn:contentItem:5F7T-S6Y1-JTNR-M4K5-00000-00&amp;context=" TargetMode="External" /><Relationship Id="rId437" Type="http://schemas.openxmlformats.org/officeDocument/2006/relationships/hyperlink" Target="https://advance.lexis.com/api/document?collection=cases-ca&amp;id=urn:contentItem:5F7T-S701-JJ6S-61BB-00000-00&amp;context=" TargetMode="External" /><Relationship Id="rId438" Type="http://schemas.openxmlformats.org/officeDocument/2006/relationships/hyperlink" Target="https://advance.lexis.com/api/document?collection=cases-ca&amp;id=urn:contentItem:5F7T-S711-JB2B-S15V-00000-00&amp;context=" TargetMode="External" /><Relationship Id="rId439" Type="http://schemas.openxmlformats.org/officeDocument/2006/relationships/hyperlink" Target="https://advance.lexis.com/api/document?collection=cases-ca&amp;id=urn:contentItem:5F7T-S761-JX8W-M2NY-00000-00&amp;context=" TargetMode="External" /><Relationship Id="rId44" Type="http://schemas.openxmlformats.org/officeDocument/2006/relationships/hyperlink" Target="https://advance.lexis.com/api/document?collection=cases-ca&amp;id=urn:contentItem:5F7T-S7G1-JX3N-B243-00000-00&amp;context=" TargetMode="External" /><Relationship Id="rId440" Type="http://schemas.openxmlformats.org/officeDocument/2006/relationships/hyperlink" Target="https://advance.lexis.com/api/document?collection=cases-ca&amp;id=urn:contentItem:5F7T-S771-F81W-22NX-00000-00&amp;context=" TargetMode="External" /><Relationship Id="rId441" Type="http://schemas.openxmlformats.org/officeDocument/2006/relationships/hyperlink" Target="https://advance.lexis.com/api/document?collection=cases-ca&amp;id=urn:contentItem:5F7T-S771-JJD0-G1FY-00000-00&amp;context=" TargetMode="External" /><Relationship Id="rId442" Type="http://schemas.openxmlformats.org/officeDocument/2006/relationships/hyperlink" Target="https://advance.lexis.com/api/document?collection=cases-ca&amp;id=urn:contentItem:5F7T-S7C1-JXG3-X05F-00000-00&amp;context=" TargetMode="External" /><Relationship Id="rId443" Type="http://schemas.openxmlformats.org/officeDocument/2006/relationships/header" Target="header70.xml" /><Relationship Id="rId444" Type="http://schemas.openxmlformats.org/officeDocument/2006/relationships/header" Target="header71.xml" /><Relationship Id="rId445" Type="http://schemas.openxmlformats.org/officeDocument/2006/relationships/footer" Target="footer70.xml" /><Relationship Id="rId446" Type="http://schemas.openxmlformats.org/officeDocument/2006/relationships/footer" Target="footer71.xml" /><Relationship Id="rId447" Type="http://schemas.openxmlformats.org/officeDocument/2006/relationships/header" Target="header72.xml" /><Relationship Id="rId448" Type="http://schemas.openxmlformats.org/officeDocument/2006/relationships/footer" Target="footer72.xml" /><Relationship Id="rId449" Type="http://schemas.openxmlformats.org/officeDocument/2006/relationships/hyperlink" Target="https://advance.lexis.com/api/document?collection=cases-ca&amp;id=urn:contentItem:5F7T-S7C1-JXG3-X050-00000-00&amp;context=" TargetMode="External" /><Relationship Id="rId45" Type="http://schemas.openxmlformats.org/officeDocument/2006/relationships/hyperlink" Target="https://advance.lexis.com/api/document?collection=cases-ca&amp;id=urn:contentItem:5F7V-3DK1-JNY7-X2HW-00000-00&amp;context=" TargetMode="External" /><Relationship Id="rId450" Type="http://schemas.openxmlformats.org/officeDocument/2006/relationships/hyperlink" Target="https://advance.lexis.com/api/document?collection=cases-ca&amp;id=urn:contentItem:5F7T-S6V1-JFKM-61CW-00000-00&amp;context=" TargetMode="External" /><Relationship Id="rId451" Type="http://schemas.openxmlformats.org/officeDocument/2006/relationships/hyperlink" Target="https://advance.lexis.com/api/document?collection=cases-ca&amp;id=urn:contentItem:5F7T-S791-JCJ5-2522-00000-00&amp;context=" TargetMode="External" /><Relationship Id="rId452" Type="http://schemas.openxmlformats.org/officeDocument/2006/relationships/hyperlink" Target="https://advance.lexis.com/api/document?collection=cases-ca&amp;id=urn:contentItem:5F7T-S761-JS5Y-B1XS-00000-00&amp;context=" TargetMode="External" /><Relationship Id="rId453" Type="http://schemas.openxmlformats.org/officeDocument/2006/relationships/hyperlink" Target="https://advance.lexis.com/api/document?collection=cases-ca&amp;id=urn:contentItem:5F7T-S771-JJD0-G128-00000-00&amp;context=" TargetMode="External" /><Relationship Id="rId454" Type="http://schemas.openxmlformats.org/officeDocument/2006/relationships/hyperlink" Target="https://advance.lexis.com/api/document?collection=cases-ca&amp;id=urn:contentItem:5F7T-S711-JB2B-S128-00000-00&amp;context=" TargetMode="External" /><Relationship Id="rId455" Type="http://schemas.openxmlformats.org/officeDocument/2006/relationships/header" Target="header73.xml" /><Relationship Id="rId456" Type="http://schemas.openxmlformats.org/officeDocument/2006/relationships/header" Target="header74.xml" /><Relationship Id="rId457" Type="http://schemas.openxmlformats.org/officeDocument/2006/relationships/footer" Target="footer73.xml" /><Relationship Id="rId458" Type="http://schemas.openxmlformats.org/officeDocument/2006/relationships/footer" Target="footer74.xml" /><Relationship Id="rId459" Type="http://schemas.openxmlformats.org/officeDocument/2006/relationships/header" Target="header75.xml" /><Relationship Id="rId46" Type="http://schemas.openxmlformats.org/officeDocument/2006/relationships/hyperlink" Target="https://advance.lexis.com/api/document?collection=cases-ca&amp;id=urn:contentItem:5F7T-S741-F2F4-G2HC-00000-00&amp;context=" TargetMode="External" /><Relationship Id="rId460" Type="http://schemas.openxmlformats.org/officeDocument/2006/relationships/footer" Target="footer75.xml" /><Relationship Id="rId461" Type="http://schemas.openxmlformats.org/officeDocument/2006/relationships/hyperlink" Target="https://advance.lexis.com/api/document?collection=cases-ca&amp;id=urn:contentItem:5F7T-S7P1-JG02-S454-00000-00&amp;context=" TargetMode="External" /><Relationship Id="rId462" Type="http://schemas.openxmlformats.org/officeDocument/2006/relationships/hyperlink" Target="https://advance.lexis.com/api/document?collection=cases-ca&amp;id=urn:contentItem:5F7T-S7D1-JG02-S2TS-00000-00&amp;context=" TargetMode="External" /><Relationship Id="rId463" Type="http://schemas.openxmlformats.org/officeDocument/2006/relationships/hyperlink" Target="https://advance.lexis.com/api/document?collection=cases-ca&amp;id=urn:contentItem:5F7T-S731-FG12-62D5-00000-00&amp;context=" TargetMode="External" /><Relationship Id="rId464" Type="http://schemas.openxmlformats.org/officeDocument/2006/relationships/hyperlink" Target="https://advance.lexis.com/api/document?collection=cases-ca&amp;id=urn:contentItem:5F7T-S7C1-F4NT-X3JG-00000-00&amp;context=" TargetMode="External" /><Relationship Id="rId465" Type="http://schemas.openxmlformats.org/officeDocument/2006/relationships/hyperlink" Target="https://advance.lexis.com/api/document?collection=cases-ca&amp;id=urn:contentItem:5F7T-S741-F7VM-S2N8-00000-00&amp;context=" TargetMode="External" /><Relationship Id="rId466" Type="http://schemas.openxmlformats.org/officeDocument/2006/relationships/hyperlink" Target="https://advance.lexis.com/api/document?collection=cases-ca&amp;id=urn:contentItem:5F7T-S7F1-JBT7-X2RC-00000-00&amp;context=" TargetMode="External" /><Relationship Id="rId467" Type="http://schemas.openxmlformats.org/officeDocument/2006/relationships/header" Target="header76.xml" /><Relationship Id="rId468" Type="http://schemas.openxmlformats.org/officeDocument/2006/relationships/header" Target="header77.xml" /><Relationship Id="rId469" Type="http://schemas.openxmlformats.org/officeDocument/2006/relationships/footer" Target="footer76.xml" /><Relationship Id="rId47" Type="http://schemas.openxmlformats.org/officeDocument/2006/relationships/hyperlink" Target="https://advance.lexis.com/api/document?collection=cases-ca&amp;id=urn:contentItem:5F7T-S7H1-K054-G234-00000-00&amp;context=" TargetMode="External" /><Relationship Id="rId470" Type="http://schemas.openxmlformats.org/officeDocument/2006/relationships/footer" Target="footer77.xml" /><Relationship Id="rId471" Type="http://schemas.openxmlformats.org/officeDocument/2006/relationships/header" Target="header78.xml" /><Relationship Id="rId472" Type="http://schemas.openxmlformats.org/officeDocument/2006/relationships/footer" Target="footer78.xml" /><Relationship Id="rId473" Type="http://schemas.openxmlformats.org/officeDocument/2006/relationships/hyperlink" Target="https://advance.lexis.com/api/document?collection=cases-ca&amp;id=urn:contentItem:5F7T-S7P1-JBDT-B1CC-00000-00&amp;context=" TargetMode="External" /><Relationship Id="rId474" Type="http://schemas.openxmlformats.org/officeDocument/2006/relationships/hyperlink" Target="https://advance.lexis.com/api/document?collection=cases-ca&amp;id=urn:contentItem:5F7T-S7H1-F4GK-M32G-00000-00&amp;context=" TargetMode="External" /><Relationship Id="rId475" Type="http://schemas.openxmlformats.org/officeDocument/2006/relationships/hyperlink" Target="https://advance.lexis.com/api/document?collection=cases-ca&amp;id=urn:contentItem:5F7T-S6Y1-F65M-6050-00000-00&amp;context=" TargetMode="External" /><Relationship Id="rId476" Type="http://schemas.openxmlformats.org/officeDocument/2006/relationships/hyperlink" Target="https://advance.lexis.com/api/document?collection=cases-ca&amp;id=urn:contentItem:5F7T-S7H1-JS5Y-B2M6-00000-00&amp;context=" TargetMode="External" /><Relationship Id="rId477" Type="http://schemas.openxmlformats.org/officeDocument/2006/relationships/hyperlink" Target="https://advance.lexis.com/api/document?collection=cases-ca&amp;id=urn:contentItem:5F7T-S7N1-JJ1H-X2PB-00000-00&amp;context=" TargetMode="External" /><Relationship Id="rId478" Type="http://schemas.openxmlformats.org/officeDocument/2006/relationships/header" Target="header79.xml" /><Relationship Id="rId479" Type="http://schemas.openxmlformats.org/officeDocument/2006/relationships/header" Target="header80.xml" /><Relationship Id="rId48" Type="http://schemas.openxmlformats.org/officeDocument/2006/relationships/hyperlink" Target="https://advance.lexis.com/api/document?collection=cases-ca&amp;id=urn:contentItem:5F8P-SC81-JN14-G2CB-00000-00&amp;context=" TargetMode="External" /><Relationship Id="rId480" Type="http://schemas.openxmlformats.org/officeDocument/2006/relationships/footer" Target="footer79.xml" /><Relationship Id="rId481" Type="http://schemas.openxmlformats.org/officeDocument/2006/relationships/footer" Target="footer80.xml" /><Relationship Id="rId482" Type="http://schemas.openxmlformats.org/officeDocument/2006/relationships/header" Target="header81.xml" /><Relationship Id="rId483" Type="http://schemas.openxmlformats.org/officeDocument/2006/relationships/footer" Target="footer81.xml" /><Relationship Id="rId484" Type="http://schemas.openxmlformats.org/officeDocument/2006/relationships/hyperlink" Target="https://advance.lexis.com/api/document?collection=cases-ca&amp;id=urn:contentItem:5V50-77F1-JCRC-B39S-00000-00&amp;context=" TargetMode="External" /><Relationship Id="rId485" Type="http://schemas.openxmlformats.org/officeDocument/2006/relationships/hyperlink" Target="https://advance.lexis.com/api/document?collection=cases-ca&amp;id=urn:contentItem:5F7T-S7P1-JBDT-B0YC-00000-00&amp;context=" TargetMode="External" /><Relationship Id="rId486" Type="http://schemas.openxmlformats.org/officeDocument/2006/relationships/hyperlink" Target="https://advance.lexis.com/api/document?collection=cases-ca&amp;id=urn:contentItem:5F7T-S7H1-F4GK-M34T-00000-00&amp;context=" TargetMode="External" /><Relationship Id="rId487" Type="http://schemas.openxmlformats.org/officeDocument/2006/relationships/header" Target="header82.xml" /><Relationship Id="rId488" Type="http://schemas.openxmlformats.org/officeDocument/2006/relationships/header" Target="header83.xml" /><Relationship Id="rId489" Type="http://schemas.openxmlformats.org/officeDocument/2006/relationships/footer" Target="footer82.xml" /><Relationship Id="rId49" Type="http://schemas.openxmlformats.org/officeDocument/2006/relationships/hyperlink" Target="https://advance.lexis.com/api/document?collection=cases-ca&amp;id=urn:contentItem:5F16-93B1-JN14-G0F6-00000-00&amp;context=" TargetMode="External" /><Relationship Id="rId490" Type="http://schemas.openxmlformats.org/officeDocument/2006/relationships/footer" Target="footer83.xml" /><Relationship Id="rId491" Type="http://schemas.openxmlformats.org/officeDocument/2006/relationships/header" Target="header84.xml" /><Relationship Id="rId492" Type="http://schemas.openxmlformats.org/officeDocument/2006/relationships/footer" Target="footer84.xml" /><Relationship Id="rId493" Type="http://schemas.openxmlformats.org/officeDocument/2006/relationships/hyperlink" Target="https://advance.lexis.com/api/document?collection=cases-ca&amp;id=urn:contentItem:5F7T-S7P1-JP4G-61YC-00000-00&amp;context=" TargetMode="External" /><Relationship Id="rId494" Type="http://schemas.openxmlformats.org/officeDocument/2006/relationships/hyperlink" Target="https://advance.lexis.com/api/document?collection=cases-ca&amp;id=urn:contentItem:5F7T-S7N1-F06F-248K-00000-00&amp;context=" TargetMode="External" /><Relationship Id="rId495" Type="http://schemas.openxmlformats.org/officeDocument/2006/relationships/hyperlink" Target="https://advance.lexis.com/api/document?collection=cases-ca&amp;id=urn:contentItem:5F7T-S7N1-JC5P-G28B-00000-00&amp;context=" TargetMode="External" /><Relationship Id="rId496" Type="http://schemas.openxmlformats.org/officeDocument/2006/relationships/hyperlink" Target="https://advance.lexis.com/api/document?collection=cases-ca&amp;id=urn:contentItem:5F7T-S7K1-JX3N-B2V4-00000-00&amp;context=" TargetMode="External" /><Relationship Id="rId497" Type="http://schemas.openxmlformats.org/officeDocument/2006/relationships/hyperlink" Target="https://advance.lexis.com/api/document?collection=cases-ca&amp;id=urn:contentItem:5F8T-N3P1-F7ND-G14C-00000-00&amp;context=" TargetMode="External" /><Relationship Id="rId498" Type="http://schemas.openxmlformats.org/officeDocument/2006/relationships/hyperlink" Target="https://advance.lexis.com/api/document?collection=cases-ca&amp;id=urn:contentItem:5F81-YGW1-DYFH-X025-00000-00&amp;context=" TargetMode="External" /><Relationship Id="rId499" Type="http://schemas.openxmlformats.org/officeDocument/2006/relationships/hyperlink" Target="https://advance.lexis.com/api/document?collection=cases-ca&amp;id=urn:contentItem:5F8P-SC71-JK4W-M2MK-00000-00&amp;context=" TargetMode="External" /><Relationship Id="rId5" Type="http://schemas.openxmlformats.org/officeDocument/2006/relationships/header" Target="header2.xml" /><Relationship Id="rId50" Type="http://schemas.openxmlformats.org/officeDocument/2006/relationships/hyperlink" Target="https://advance.lexis.com/api/document?collection=cases-ca&amp;id=urn:contentItem:5F7T-S701-JJ6S-61WT-00000-00&amp;context=" TargetMode="External" /><Relationship Id="rId500" Type="http://schemas.openxmlformats.org/officeDocument/2006/relationships/hyperlink" Target="https://advance.lexis.com/api/document?collection=cases-ca&amp;id=urn:contentItem:5F8T-N3V1-JF75-M3WX-00000-00&amp;context=" TargetMode="External" /><Relationship Id="rId501" Type="http://schemas.openxmlformats.org/officeDocument/2006/relationships/hyperlink" Target="https://advance.lexis.com/api/document?collection=cases-ca&amp;id=urn:contentItem:5F7T-S7G1-JNY7-X443-00000-00&amp;context=" TargetMode="External" /><Relationship Id="rId502" Type="http://schemas.openxmlformats.org/officeDocument/2006/relationships/hyperlink" Target="https://advance.lexis.com/api/document?collection=cases-ca&amp;id=urn:contentItem:5F7T-S7H1-F4GK-M33F-00000-00&amp;context=" TargetMode="External" /><Relationship Id="rId503" Type="http://schemas.openxmlformats.org/officeDocument/2006/relationships/hyperlink" Target="https://advance.lexis.com/api/document?collection=cases-ca&amp;id=urn:contentItem:5F7T-S7J1-FGCG-S0N7-00000-00&amp;context=" TargetMode="External" /><Relationship Id="rId504" Type="http://schemas.openxmlformats.org/officeDocument/2006/relationships/hyperlink" Target="https://advance.lexis.com/api/document?collection=cases-ca&amp;id=urn:contentItem:5F8T-N3V1-JTGH-B18F-00000-00&amp;context=" TargetMode="External" /><Relationship Id="rId505" Type="http://schemas.openxmlformats.org/officeDocument/2006/relationships/hyperlink" Target="https://advance.lexis.com/api/document?collection=cases-ca&amp;id=urn:contentItem:5F8T-N3V1-JF75-M3S6-00000-00&amp;context=" TargetMode="External" /><Relationship Id="rId506" Type="http://schemas.openxmlformats.org/officeDocument/2006/relationships/hyperlink" Target="https://advance.lexis.com/api/document?collection=cases-ca&amp;id=urn:contentItem:5F8T-N3V1-JTGH-B153-00000-00&amp;context=" TargetMode="External" /><Relationship Id="rId507" Type="http://schemas.openxmlformats.org/officeDocument/2006/relationships/hyperlink" Target="https://advance.lexis.com/api/document?collection=cases-ca&amp;id=urn:contentItem:5F7T-S7F1-JK4W-M1CF-00000-00&amp;context=" TargetMode="External" /><Relationship Id="rId508" Type="http://schemas.openxmlformats.org/officeDocument/2006/relationships/hyperlink" Target="https://advance.lexis.com/api/document?collection=cases-ca&amp;id=urn:contentItem:5F7T-S741-F528-G2J5-00000-00&amp;context=" TargetMode="External" /><Relationship Id="rId509" Type="http://schemas.openxmlformats.org/officeDocument/2006/relationships/hyperlink" Target="https://advance.lexis.com/api/document?collection=cases-ca&amp;id=urn:contentItem:5F7T-S7B1-FH4C-X381-00000-00&amp;context=" TargetMode="External" /><Relationship Id="rId51" Type="http://schemas.openxmlformats.org/officeDocument/2006/relationships/hyperlink" Target="https://advance.lexis.com/api/document?collection=cases-ca&amp;id=urn:contentItem:5F16-93C1-JF1Y-B47P-00000-00&amp;context=" TargetMode="External" /><Relationship Id="rId510" Type="http://schemas.openxmlformats.org/officeDocument/2006/relationships/hyperlink" Target="https://advance.lexis.com/api/document?collection=cases-ca&amp;id=urn:contentItem:5F8T-N3T1-JJSF-2361-00000-00&amp;context=" TargetMode="External" /><Relationship Id="rId511" Type="http://schemas.openxmlformats.org/officeDocument/2006/relationships/hyperlink" Target="https://advance.lexis.com/api/document?collection=cases-ca&amp;id=urn:contentItem:5F7T-S7K1-F1H1-22C1-00000-00&amp;context=" TargetMode="External" /><Relationship Id="rId512" Type="http://schemas.openxmlformats.org/officeDocument/2006/relationships/hyperlink" Target="https://advance.lexis.com/api/document?collection=cases-ca&amp;id=urn:contentItem:5F7T-S7D1-FBFS-S1M7-00000-00&amp;context=" TargetMode="External" /><Relationship Id="rId513" Type="http://schemas.openxmlformats.org/officeDocument/2006/relationships/hyperlink" Target="https://advance.lexis.com/api/document?collection=cases-ca&amp;id=urn:contentItem:5F7T-S7D1-JN6B-S13K-00000-00&amp;context=" TargetMode="External" /><Relationship Id="rId514" Type="http://schemas.openxmlformats.org/officeDocument/2006/relationships/hyperlink" Target="https://advance.lexis.com/api/document?collection=cases-ca&amp;id=urn:contentItem:5F7T-S6V1-JFKM-6133-00000-00&amp;context=" TargetMode="External" /><Relationship Id="rId515" Type="http://schemas.openxmlformats.org/officeDocument/2006/relationships/hyperlink" Target="https://advance.lexis.com/api/document?collection=cases-ca&amp;id=urn:contentItem:5F7T-S6T1-FJTD-G1NJ-00000-00&amp;context=" TargetMode="External" /><Relationship Id="rId516" Type="http://schemas.openxmlformats.org/officeDocument/2006/relationships/hyperlink" Target="https://advance.lexis.com/api/document?collection=cases-ca&amp;id=urn:contentItem:5F7T-S7M1-DYMS-6201-00000-00&amp;context=" TargetMode="External" /><Relationship Id="rId517" Type="http://schemas.openxmlformats.org/officeDocument/2006/relationships/hyperlink" Target="https://advance.lexis.com/api/document?collection=cases-ca&amp;id=urn:contentItem:5F7T-S7J1-FGCG-S025-00000-00&amp;context=" TargetMode="External" /><Relationship Id="rId518" Type="http://schemas.openxmlformats.org/officeDocument/2006/relationships/hyperlink" Target="https://advance.lexis.com/api/document?collection=cases-ca&amp;id=urn:contentItem:5F7T-S7H1-FCSB-S3JG-00000-00&amp;context=" TargetMode="External" /><Relationship Id="rId519" Type="http://schemas.openxmlformats.org/officeDocument/2006/relationships/hyperlink" Target="https://advance.lexis.com/api/document?collection=cases-ca&amp;id=urn:contentItem:5F7T-S7G1-JBT7-X3YV-00000-00&amp;context=" TargetMode="External" /><Relationship Id="rId52" Type="http://schemas.openxmlformats.org/officeDocument/2006/relationships/hyperlink" Target="https://advance.lexis.com/api/document?collection=cases-ca&amp;id=urn:contentItem:5F16-9301-FD4T-B1VX-00000-00&amp;context=" TargetMode="External" /><Relationship Id="rId520" Type="http://schemas.openxmlformats.org/officeDocument/2006/relationships/hyperlink" Target="https://advance.lexis.com/api/document?collection=cases-ca&amp;id=urn:contentItem:5F7T-S7J1-JGBH-B202-00000-00&amp;context=" TargetMode="External" /><Relationship Id="rId521" Type="http://schemas.openxmlformats.org/officeDocument/2006/relationships/hyperlink" Target="https://advance.lexis.com/api/document?collection=cases-ca&amp;id=urn:contentItem:5F7T-S7G1-JWR6-S1K1-00000-00&amp;context=" TargetMode="External" /><Relationship Id="rId522" Type="http://schemas.openxmlformats.org/officeDocument/2006/relationships/hyperlink" Target="https://advance.lexis.com/api/document?collection=cases-ca&amp;id=urn:contentItem:5F7T-S7F1-JFKM-61YH-00000-00&amp;context=" TargetMode="External" /><Relationship Id="rId523" Type="http://schemas.openxmlformats.org/officeDocument/2006/relationships/hyperlink" Target="https://advance.lexis.com/api/document?collection=cases-ca&amp;id=urn:contentItem:5F7T-S7M1-JCRC-B1V3-00000-00&amp;context=" TargetMode="External" /><Relationship Id="rId524" Type="http://schemas.openxmlformats.org/officeDocument/2006/relationships/hyperlink" Target="https://advance.lexis.com/api/document?collection=cases-ca&amp;id=urn:contentItem:5F7T-S7D1-DY89-M463-00000-00&amp;context=" TargetMode="External" /><Relationship Id="rId525" Type="http://schemas.openxmlformats.org/officeDocument/2006/relationships/hyperlink" Target="https://advance.lexis.com/api/document?collection=cases-ca&amp;id=urn:contentItem:5F8T-N3V1-JTGH-B0YB-00000-00&amp;context=" TargetMode="External" /><Relationship Id="rId526" Type="http://schemas.openxmlformats.org/officeDocument/2006/relationships/hyperlink" Target="https://advance.lexis.com/api/document?collection=cases-ca&amp;id=urn:contentItem:5F7T-S7B1-F7ND-G4YK-00000-00&amp;context=" TargetMode="External" /><Relationship Id="rId527" Type="http://schemas.openxmlformats.org/officeDocument/2006/relationships/hyperlink" Target="https://advance.lexis.com/api/document?collection=cases-ca&amp;id=urn:contentItem:5F7T-S7H1-F016-S3X8-00000-00&amp;context=" TargetMode="External" /><Relationship Id="rId528" Type="http://schemas.openxmlformats.org/officeDocument/2006/relationships/hyperlink" Target="https://advance.lexis.com/api/document?collection=cases-ca&amp;id=urn:contentItem:5F7T-S7D1-F7ND-G0MH-00000-00&amp;context=" TargetMode="External" /><Relationship Id="rId529" Type="http://schemas.openxmlformats.org/officeDocument/2006/relationships/hyperlink" Target="https://advance.lexis.com/api/document?collection=cases-ca&amp;id=urn:contentItem:5F7T-S771-JN14-G2PR-00000-00&amp;context=" TargetMode="External" /><Relationship Id="rId53" Type="http://schemas.openxmlformats.org/officeDocument/2006/relationships/hyperlink" Target="https://advance.lexis.com/api/document?collection=cases-ca&amp;id=urn:contentItem:5F8T-N3V1-JF75-M3DF-00000-00&amp;context=" TargetMode="External" /><Relationship Id="rId530" Type="http://schemas.openxmlformats.org/officeDocument/2006/relationships/hyperlink" Target="https://advance.lexis.com/api/document?collection=cases-ca&amp;id=urn:contentItem:5F7T-S731-F016-S3D3-00000-00&amp;context=" TargetMode="External" /><Relationship Id="rId531" Type="http://schemas.openxmlformats.org/officeDocument/2006/relationships/hyperlink" Target="https://advance.lexis.com/api/document?collection=cases-ca&amp;id=urn:contentItem:5F7T-S751-JCJ5-24CV-00000-00&amp;context=" TargetMode="External" /><Relationship Id="rId532" Type="http://schemas.openxmlformats.org/officeDocument/2006/relationships/hyperlink" Target="https://advance.lexis.com/api/document?collection=cases-ca&amp;id=urn:contentItem:5F7T-S711-JNY7-X30K-00000-00&amp;context=" TargetMode="External" /><Relationship Id="rId533" Type="http://schemas.openxmlformats.org/officeDocument/2006/relationships/hyperlink" Target="https://advance.lexis.com/api/document?collection=cases-ca&amp;id=urn:contentItem:5F7T-S6W1-JYYX-61TX-00000-00&amp;context=" TargetMode="External" /><Relationship Id="rId534" Type="http://schemas.openxmlformats.org/officeDocument/2006/relationships/hyperlink" Target="https://advance.lexis.com/api/document?collection=cases-ca&amp;id=urn:contentItem:5F7T-S731-DY33-B0YN-00000-00&amp;context=" TargetMode="External" /><Relationship Id="rId535" Type="http://schemas.openxmlformats.org/officeDocument/2006/relationships/hyperlink" Target="https://advance.lexis.com/api/document?collection=cases-ca&amp;id=urn:contentItem:5F7T-S731-F1WF-M2HD-00000-00&amp;context=" TargetMode="External" /><Relationship Id="rId536" Type="http://schemas.openxmlformats.org/officeDocument/2006/relationships/hyperlink" Target="https://advance.lexis.com/api/document?collection=cases-ca&amp;id=urn:contentItem:5F7T-S7K1-JSJC-X168-00000-00&amp;context=" TargetMode="External" /><Relationship Id="rId537" Type="http://schemas.openxmlformats.org/officeDocument/2006/relationships/hyperlink" Target="https://advance.lexis.com/api/document?collection=cases-ca&amp;id=urn:contentItem:5F8T-N3S1-JT99-250W-00000-00&amp;context=" TargetMode="External" /><Relationship Id="rId538" Type="http://schemas.openxmlformats.org/officeDocument/2006/relationships/hyperlink" Target="https://advance.lexis.com/api/document?collection=cases-ca&amp;id=urn:contentItem:5F7T-S7N1-JW09-M12P-00000-00&amp;context=" TargetMode="External" /><Relationship Id="rId539" Type="http://schemas.openxmlformats.org/officeDocument/2006/relationships/hyperlink" Target="https://advance.lexis.com/api/document?collection=cases-ca&amp;id=urn:contentItem:5F7T-S6W1-JB7K-21F4-00000-00&amp;context=" TargetMode="External" /><Relationship Id="rId54" Type="http://schemas.openxmlformats.org/officeDocument/2006/relationships/hyperlink" Target="https://advance.lexis.com/api/document?collection=cases-ca&amp;id=urn:contentItem:5F81-VJS1-JNY7-X3DJ-00000-00&amp;context=" TargetMode="External" /><Relationship Id="rId540" Type="http://schemas.openxmlformats.org/officeDocument/2006/relationships/hyperlink" Target="https://advance.lexis.com/api/document?collection=cases-ca&amp;id=urn:contentItem:5F8T-N3V1-FC1F-M4BC-00000-00&amp;context=" TargetMode="External" /><Relationship Id="rId541" Type="http://schemas.openxmlformats.org/officeDocument/2006/relationships/hyperlink" Target="https://advance.lexis.com/api/document?collection=cases-ca&amp;id=urn:contentItem:5F7T-S7M1-JNCK-22MK-00000-00&amp;context=" TargetMode="External" /><Relationship Id="rId542" Type="http://schemas.openxmlformats.org/officeDocument/2006/relationships/header" Target="header85.xml" /><Relationship Id="rId543" Type="http://schemas.openxmlformats.org/officeDocument/2006/relationships/header" Target="header86.xml" /><Relationship Id="rId544" Type="http://schemas.openxmlformats.org/officeDocument/2006/relationships/footer" Target="footer85.xml" /><Relationship Id="rId545" Type="http://schemas.openxmlformats.org/officeDocument/2006/relationships/footer" Target="footer86.xml" /><Relationship Id="rId546" Type="http://schemas.openxmlformats.org/officeDocument/2006/relationships/header" Target="header87.xml" /><Relationship Id="rId547" Type="http://schemas.openxmlformats.org/officeDocument/2006/relationships/footer" Target="footer87.xml" /><Relationship Id="rId548" Type="http://schemas.openxmlformats.org/officeDocument/2006/relationships/hyperlink" Target="https://advance.lexis.com/api/document?collection=cases-ca&amp;id=urn:contentItem:5F7T-S7M1-F4W2-628S-00000-00&amp;context=" TargetMode="External" /><Relationship Id="rId549" Type="http://schemas.openxmlformats.org/officeDocument/2006/relationships/header" Target="header88.xml" /><Relationship Id="rId55" Type="http://schemas.openxmlformats.org/officeDocument/2006/relationships/hyperlink" Target="https://advance.lexis.com/api/document?collection=cases-ca&amp;id=urn:contentItem:5F8T-N3P1-FC6N-X17H-00000-00&amp;context=" TargetMode="External" /><Relationship Id="rId550" Type="http://schemas.openxmlformats.org/officeDocument/2006/relationships/header" Target="header89.xml" /><Relationship Id="rId551" Type="http://schemas.openxmlformats.org/officeDocument/2006/relationships/footer" Target="footer88.xml" /><Relationship Id="rId552" Type="http://schemas.openxmlformats.org/officeDocument/2006/relationships/footer" Target="footer89.xml" /><Relationship Id="rId553" Type="http://schemas.openxmlformats.org/officeDocument/2006/relationships/header" Target="header90.xml" /><Relationship Id="rId554" Type="http://schemas.openxmlformats.org/officeDocument/2006/relationships/footer" Target="footer90.xml" /><Relationship Id="rId555" Type="http://schemas.openxmlformats.org/officeDocument/2006/relationships/hyperlink" Target="https://advance.lexis.com/api/document?collection=cases-ca&amp;id=urn:contentItem:5G5K-89P1-K054-G340-00000-00&amp;context=" TargetMode="External" /><Relationship Id="rId556" Type="http://schemas.openxmlformats.org/officeDocument/2006/relationships/hyperlink" Target="https://advance.lexis.com/api/document?collection=cases-ca&amp;id=urn:contentItem:5G3H-VVF1-JSRM-62N0-00000-00&amp;context=" TargetMode="External" /><Relationship Id="rId557" Type="http://schemas.openxmlformats.org/officeDocument/2006/relationships/hyperlink" Target="https://advance.lexis.com/api/document?collection=cases-ca&amp;id=urn:contentItem:5F7T-S7G1-FCYK-208R-00000-00&amp;context=" TargetMode="External" /><Relationship Id="rId558" Type="http://schemas.openxmlformats.org/officeDocument/2006/relationships/hyperlink" Target="https://advance.lexis.com/api/document?collection=cases-ca&amp;id=urn:contentItem:5F7T-S7H1-JCRC-B0XG-00000-00&amp;context=" TargetMode="External" /><Relationship Id="rId559" Type="http://schemas.openxmlformats.org/officeDocument/2006/relationships/hyperlink" Target="https://advance.lexis.com/api/document?collection=cases-ca&amp;id=urn:contentItem:5F7T-S6Y1-JNY7-X2NF-00000-00&amp;context=" TargetMode="External" /><Relationship Id="rId56" Type="http://schemas.openxmlformats.org/officeDocument/2006/relationships/hyperlink" Target="https://advance.lexis.com/api/document?collection=cases-ca&amp;id=urn:contentItem:5F7T-S7D1-JS5Y-B2F6-00000-00&amp;context=" TargetMode="External" /><Relationship Id="rId560" Type="http://schemas.openxmlformats.org/officeDocument/2006/relationships/hyperlink" Target="https://advance.lexis.com/api/document?collection=cases-ca&amp;id=urn:contentItem:5F7T-S7P1-JP4G-61VB-00000-00&amp;context=" TargetMode="External" /><Relationship Id="rId561" Type="http://schemas.openxmlformats.org/officeDocument/2006/relationships/hyperlink" Target="https://advance.lexis.com/api/document?collection=cases-ca&amp;id=urn:contentItem:5FX0-KKR1-JCBX-S2KC-00000-00&amp;context=" TargetMode="External" /><Relationship Id="rId562" Type="http://schemas.openxmlformats.org/officeDocument/2006/relationships/hyperlink" Target="https://advance.lexis.com/api/document?collection=cases-ca&amp;id=urn:contentItem:5F7T-S7G1-FCYK-207B-00000-00&amp;context=" TargetMode="External" /><Relationship Id="rId563" Type="http://schemas.openxmlformats.org/officeDocument/2006/relationships/hyperlink" Target="https://advance.lexis.com/api/document?collection=cases-ca&amp;id=urn:contentItem:5F7T-S7P1-F2TK-23HD-00000-00&amp;context=" TargetMode="External" /><Relationship Id="rId564" Type="http://schemas.openxmlformats.org/officeDocument/2006/relationships/hyperlink" Target="https://advance.lexis.com/api/document?collection=cases-ca&amp;id=urn:contentItem:5F7T-S7P1-JG02-S48M-00000-00&amp;context=" TargetMode="External" /><Relationship Id="rId565" Type="http://schemas.openxmlformats.org/officeDocument/2006/relationships/hyperlink" Target="https://advance.lexis.com/api/document?collection=cases-ca&amp;id=urn:contentItem:5F7T-S7K1-F1H1-223T-00000-00&amp;context=" TargetMode="External" /><Relationship Id="rId566" Type="http://schemas.openxmlformats.org/officeDocument/2006/relationships/hyperlink" Target="https://advance.lexis.com/api/document?collection=cases-ca&amp;id=urn:contentItem:5F7T-S721-F4NT-X2V8-00000-00&amp;context=" TargetMode="External" /><Relationship Id="rId567" Type="http://schemas.openxmlformats.org/officeDocument/2006/relationships/hyperlink" Target="https://advance.lexis.com/api/document?collection=cases-ca&amp;id=urn:contentItem:5F7T-S7F1-JX3N-B1MB-00000-00&amp;context=" TargetMode="External" /><Relationship Id="rId568" Type="http://schemas.openxmlformats.org/officeDocument/2006/relationships/hyperlink" Target="https://advance.lexis.com/api/document?collection=cases-ca&amp;id=urn:contentItem:5F7T-S7C1-JSRM-60V6-00000-00&amp;context=" TargetMode="External" /><Relationship Id="rId569" Type="http://schemas.openxmlformats.org/officeDocument/2006/relationships/hyperlink" Target="https://advance.lexis.com/api/document?collection=cases-ca&amp;id=urn:contentItem:5F7T-S731-JC0G-6399-00000-00&amp;context=" TargetMode="External" /><Relationship Id="rId57" Type="http://schemas.openxmlformats.org/officeDocument/2006/relationships/hyperlink" Target="https://advance.lexis.com/api/document?collection=cases-ca&amp;id=urn:contentItem:5F7T-S771-JJD0-G1J8-00000-00&amp;context=" TargetMode="External" /><Relationship Id="rId570" Type="http://schemas.openxmlformats.org/officeDocument/2006/relationships/hyperlink" Target="https://advance.lexis.com/api/document?collection=cases-ca&amp;id=urn:contentItem:5F7T-S7F1-JFKM-61M4-00000-00&amp;context=" TargetMode="External" /><Relationship Id="rId571" Type="http://schemas.openxmlformats.org/officeDocument/2006/relationships/hyperlink" Target="https://advance.lexis.com/api/document?collection=cases-ca&amp;id=urn:contentItem:5F7T-S7J1-JGBH-B20D-00000-00&amp;context=" TargetMode="External" /><Relationship Id="rId572" Type="http://schemas.openxmlformats.org/officeDocument/2006/relationships/hyperlink" Target="https://advance.lexis.com/api/document?collection=cases-ca&amp;id=urn:contentItem:5F7T-S7K1-F528-G2W5-00000-00&amp;context=" TargetMode="External" /><Relationship Id="rId573" Type="http://schemas.openxmlformats.org/officeDocument/2006/relationships/hyperlink" Target="https://advance.lexis.com/api/document?collection=cases-ca&amp;id=urn:contentItem:5F7T-S7G1-JWR6-S1XK-00000-00&amp;context=" TargetMode="External" /><Relationship Id="rId574" Type="http://schemas.openxmlformats.org/officeDocument/2006/relationships/hyperlink" Target="https://advance.lexis.com/api/document?collection=cases-ca&amp;id=urn:contentItem:5F8P-SDN1-F1H1-214K-00000-00&amp;context=" TargetMode="External" /><Relationship Id="rId575" Type="http://schemas.openxmlformats.org/officeDocument/2006/relationships/hyperlink" Target="https://advance.lexis.com/api/document?collection=cases-ca&amp;id=urn:contentItem:5F16-9341-JJD0-G0XF-00000-00&amp;context=" TargetMode="External" /><Relationship Id="rId576" Type="http://schemas.openxmlformats.org/officeDocument/2006/relationships/hyperlink" Target="https://advance.lexis.com/api/document?collection=cases-ca&amp;id=urn:contentItem:5F7T-S7M1-JJK6-S1PC-00000-00&amp;context=" TargetMode="External" /><Relationship Id="rId577" Type="http://schemas.openxmlformats.org/officeDocument/2006/relationships/hyperlink" Target="https://advance.lexis.com/api/document?collection=cases-ca&amp;id=urn:contentItem:5F7T-S7N1-F06F-24K5-00000-00&amp;context=" TargetMode="External" /><Relationship Id="rId578" Type="http://schemas.openxmlformats.org/officeDocument/2006/relationships/hyperlink" Target="https://advance.lexis.com/api/document?collection=cases-ca&amp;id=urn:contentItem:5F7T-S731-JNJT-B288-00000-00&amp;context=" TargetMode="External" /><Relationship Id="rId579" Type="http://schemas.openxmlformats.org/officeDocument/2006/relationships/hyperlink" Target="https://advance.lexis.com/api/document?collection=cases-ca&amp;id=urn:contentItem:5F8P-SDM1-JKPJ-G0S5-00000-00&amp;context=" TargetMode="External" /><Relationship Id="rId58" Type="http://schemas.openxmlformats.org/officeDocument/2006/relationships/hyperlink" Target="https://advance.lexis.com/api/document?collection=cases-ca&amp;id=urn:contentItem:5F7T-S6W1-JJK6-S1DF-00000-00&amp;context=" TargetMode="External" /><Relationship Id="rId580" Type="http://schemas.openxmlformats.org/officeDocument/2006/relationships/hyperlink" Target="https://advance.lexis.com/api/document?collection=cases-ca&amp;id=urn:contentItem:5F7T-S7K1-DY33-B1T3-00000-00&amp;context=" TargetMode="External" /><Relationship Id="rId581" Type="http://schemas.openxmlformats.org/officeDocument/2006/relationships/hyperlink" Target="https://advance.lexis.com/api/document?collection=cases-ca&amp;id=urn:contentItem:5F7T-S7M1-JNCK-22CY-00000-00&amp;context=" TargetMode="External" /><Relationship Id="rId582" Type="http://schemas.openxmlformats.org/officeDocument/2006/relationships/hyperlink" Target="https://advance.lexis.com/api/document?collection=cases-ca&amp;id=urn:contentItem:5F7T-S7M1-DYMS-6257-00000-00&amp;context=" TargetMode="External" /><Relationship Id="rId583" Type="http://schemas.openxmlformats.org/officeDocument/2006/relationships/hyperlink" Target="https://advance.lexis.com/api/document?collection=cases-ca&amp;id=urn:contentItem:5F7T-S741-F2F4-G2J2-00000-00&amp;context=" TargetMode="External" /><Relationship Id="rId584" Type="http://schemas.openxmlformats.org/officeDocument/2006/relationships/hyperlink" Target="https://advance.lexis.com/api/document?collection=cases-ca&amp;id=urn:contentItem:5F7T-S781-DYMS-61CK-00000-00&amp;context=" TargetMode="External" /><Relationship Id="rId585" Type="http://schemas.openxmlformats.org/officeDocument/2006/relationships/hyperlink" Target="https://advance.lexis.com/api/document?collection=cases-ca&amp;id=urn:contentItem:5F7T-S7K1-JWXF-20R4-00000-00&amp;context=" TargetMode="External" /><Relationship Id="rId586" Type="http://schemas.openxmlformats.org/officeDocument/2006/relationships/hyperlink" Target="https://advance.lexis.com/api/document?collection=cases-ca&amp;id=urn:contentItem:5F7T-S7D1-JXG3-X13R-00000-00&amp;context=" TargetMode="External" /><Relationship Id="rId587" Type="http://schemas.openxmlformats.org/officeDocument/2006/relationships/hyperlink" Target="https://advance.lexis.com/api/document?collection=cases-ca&amp;id=urn:contentItem:5F7T-S7P1-JP4G-61W2-00000-00&amp;context=" TargetMode="External" /><Relationship Id="rId588" Type="http://schemas.openxmlformats.org/officeDocument/2006/relationships/header" Target="header91.xml" /><Relationship Id="rId589" Type="http://schemas.openxmlformats.org/officeDocument/2006/relationships/header" Target="header92.xml" /><Relationship Id="rId59" Type="http://schemas.openxmlformats.org/officeDocument/2006/relationships/hyperlink" Target="https://advance.lexis.com/api/document?collection=cases-ca&amp;id=urn:contentItem:5F81-VJX1-JYYX-603T-00000-00&amp;context=" TargetMode="External" /><Relationship Id="rId590" Type="http://schemas.openxmlformats.org/officeDocument/2006/relationships/footer" Target="footer91.xml" /><Relationship Id="rId591" Type="http://schemas.openxmlformats.org/officeDocument/2006/relationships/footer" Target="footer92.xml" /><Relationship Id="rId592" Type="http://schemas.openxmlformats.org/officeDocument/2006/relationships/header" Target="header93.xml" /><Relationship Id="rId593" Type="http://schemas.openxmlformats.org/officeDocument/2006/relationships/footer" Target="footer93.xml" /><Relationship Id="rId594" Type="http://schemas.openxmlformats.org/officeDocument/2006/relationships/hyperlink" Target="https://advance.lexis.com/api/document?collection=cases-ca&amp;id=urn:contentItem:5GCC-XVC1-F900-G4X8-00000-00&amp;context=" TargetMode="External" /><Relationship Id="rId595" Type="http://schemas.openxmlformats.org/officeDocument/2006/relationships/hyperlink" Target="https://advance.lexis.com/api/document?collection=cases-ca&amp;id=urn:contentItem:5GCC-XVC1-FK0M-S002-00000-00&amp;context=" TargetMode="External" /><Relationship Id="rId596" Type="http://schemas.openxmlformats.org/officeDocument/2006/relationships/hyperlink" Target="https://advance.lexis.com/api/document?collection=cases-ca&amp;id=urn:contentItem:5FXJ-PSX1-JNJT-B0JG-00000-00&amp;context=" TargetMode="External" /><Relationship Id="rId597" Type="http://schemas.openxmlformats.org/officeDocument/2006/relationships/hyperlink" Target="https://advance.lexis.com/api/document?collection=cases-ca&amp;id=urn:contentItem:5F8T-N3V1-JTGH-B1F5-00000-00&amp;context=" TargetMode="External" /><Relationship Id="rId598" Type="http://schemas.openxmlformats.org/officeDocument/2006/relationships/hyperlink" Target="https://advance.lexis.com/api/document?collection=cases-ca&amp;id=urn:contentItem:5F8T-N3V1-JTGH-B1BH-00000-00&amp;context=" TargetMode="External" /><Relationship Id="rId599" Type="http://schemas.openxmlformats.org/officeDocument/2006/relationships/hyperlink" Target="https://advance.lexis.com/api/document?collection=cases-ca&amp;id=urn:contentItem:5F8T-N3V1-FH4C-X1Y9-00000-00&amp;context=" TargetMode="External" /><Relationship Id="rId6" Type="http://schemas.openxmlformats.org/officeDocument/2006/relationships/footer" Target="footer1.xml" /><Relationship Id="rId60" Type="http://schemas.openxmlformats.org/officeDocument/2006/relationships/hyperlink" Target="https://advance.lexis.com/api/document?collection=cases-ca&amp;id=urn:contentItem:5F7T-S751-FJDY-X3N6-00000-00&amp;context=" TargetMode="External" /><Relationship Id="rId600" Type="http://schemas.openxmlformats.org/officeDocument/2006/relationships/header" Target="header94.xml" /><Relationship Id="rId601" Type="http://schemas.openxmlformats.org/officeDocument/2006/relationships/header" Target="header95.xml" /><Relationship Id="rId602" Type="http://schemas.openxmlformats.org/officeDocument/2006/relationships/footer" Target="footer94.xml" /><Relationship Id="rId603" Type="http://schemas.openxmlformats.org/officeDocument/2006/relationships/footer" Target="footer95.xml" /><Relationship Id="rId604" Type="http://schemas.openxmlformats.org/officeDocument/2006/relationships/header" Target="header96.xml" /><Relationship Id="rId605" Type="http://schemas.openxmlformats.org/officeDocument/2006/relationships/footer" Target="footer96.xml" /><Relationship Id="rId606" Type="http://schemas.openxmlformats.org/officeDocument/2006/relationships/hyperlink" Target="https://advance.lexis.com/api/document?collection=cases-ca&amp;id=urn:contentItem:5F7T-S7N1-JW09-M14D-00000-00&amp;context=" TargetMode="External" /><Relationship Id="rId607" Type="http://schemas.openxmlformats.org/officeDocument/2006/relationships/hyperlink" Target="https://advance.lexis.com/api/document?collection=cases-ca&amp;id=urn:contentItem:5F8T-N3V1-FH4C-X20M-00000-00&amp;context=" TargetMode="External" /><Relationship Id="rId608" Type="http://schemas.openxmlformats.org/officeDocument/2006/relationships/hyperlink" Target="https://advance.lexis.com/api/document?collection=cases-ca&amp;id=urn:contentItem:5F8T-N3T1-JFKM-655K-00000-00&amp;context=" TargetMode="External" /><Relationship Id="rId609" Type="http://schemas.openxmlformats.org/officeDocument/2006/relationships/header" Target="header97.xml" /><Relationship Id="rId61" Type="http://schemas.openxmlformats.org/officeDocument/2006/relationships/hyperlink" Target="https://advance.lexis.com/api/document?collection=cases-ca&amp;id=urn:contentItem:5F8T-N3V1-JFKM-6085-00000-00&amp;context=" TargetMode="External" /><Relationship Id="rId610" Type="http://schemas.openxmlformats.org/officeDocument/2006/relationships/header" Target="header98.xml" /><Relationship Id="rId611" Type="http://schemas.openxmlformats.org/officeDocument/2006/relationships/footer" Target="footer97.xml" /><Relationship Id="rId612" Type="http://schemas.openxmlformats.org/officeDocument/2006/relationships/footer" Target="footer98.xml" /><Relationship Id="rId613" Type="http://schemas.openxmlformats.org/officeDocument/2006/relationships/header" Target="header99.xml" /><Relationship Id="rId614" Type="http://schemas.openxmlformats.org/officeDocument/2006/relationships/footer" Target="footer99.xml" /><Relationship Id="rId615" Type="http://schemas.openxmlformats.org/officeDocument/2006/relationships/hyperlink" Target="https://advance.lexis.com/api/document?collection=cases-ca&amp;id=urn:contentItem:5W78-2BT1-F30T-B35G-00000-00&amp;context=" TargetMode="External" /><Relationship Id="rId616" Type="http://schemas.openxmlformats.org/officeDocument/2006/relationships/hyperlink" Target="https://advance.lexis.com/api/document?collection=cases-ca&amp;id=urn:contentItem:5H01-8H81-JB7K-226S-00000-00&amp;context=" TargetMode="External" /><Relationship Id="rId617" Type="http://schemas.openxmlformats.org/officeDocument/2006/relationships/hyperlink" Target="https://advance.lexis.com/api/document?collection=cases-ca&amp;id=urn:contentItem:5F7T-S7N1-F57G-S2HF-00000-00&amp;context=" TargetMode="External" /><Relationship Id="rId618" Type="http://schemas.openxmlformats.org/officeDocument/2006/relationships/hyperlink" Target="https://advance.lexis.com/api/document?collection=cases-ca&amp;id=urn:contentItem:5F7T-S7K1-JWXF-20X0-00000-00&amp;context=" TargetMode="External" /><Relationship Id="rId619" Type="http://schemas.openxmlformats.org/officeDocument/2006/relationships/hyperlink" Target="https://advance.lexis.com/api/document?collection=cases-ca&amp;id=urn:contentItem:5F7T-S7M1-JPP5-22GK-00000-00&amp;context=" TargetMode="External" /><Relationship Id="rId62" Type="http://schemas.openxmlformats.org/officeDocument/2006/relationships/hyperlink" Target="https://advance.lexis.com/api/document?collection=cases-ca&amp;id=urn:contentItem:5F7T-S771-JTGH-B18V-00000-00&amp;context=" TargetMode="External" /><Relationship Id="rId620" Type="http://schemas.openxmlformats.org/officeDocument/2006/relationships/hyperlink" Target="https://advance.lexis.com/api/document?collection=cases-ca&amp;id=urn:contentItem:5MJ7-NBJ1-F1WF-M26Y-00000-00&amp;context=" TargetMode="External" /><Relationship Id="rId621" Type="http://schemas.openxmlformats.org/officeDocument/2006/relationships/hyperlink" Target="https://advance.lexis.com/api/document?collection=cases-ca&amp;id=urn:contentItem:5H7P-6RS1-JGBH-B26Y-00000-00&amp;context=" TargetMode="External" /><Relationship Id="rId622" Type="http://schemas.openxmlformats.org/officeDocument/2006/relationships/hyperlink" Target="https://advance.lexis.com/api/document?collection=cases-ca&amp;id=urn:contentItem:5N7F-GP91-FGRY-B0TB-00000-00&amp;context=" TargetMode="External" /><Relationship Id="rId623" Type="http://schemas.openxmlformats.org/officeDocument/2006/relationships/hyperlink" Target="https://advance.lexis.com/api/document?collection=cases-ca&amp;id=urn:contentItem:5VMN-8DP1-JSXV-G1F6-00000-00&amp;context=" TargetMode="External" /><Relationship Id="rId624" Type="http://schemas.openxmlformats.org/officeDocument/2006/relationships/hyperlink" Target="https://advance.lexis.com/api/document?collection=cases-ca&amp;id=urn:contentItem:5JVG-2XS1-JN14-G1JY-00000-00&amp;context=" TargetMode="External" /><Relationship Id="rId625" Type="http://schemas.openxmlformats.org/officeDocument/2006/relationships/hyperlink" Target="https://advance.lexis.com/api/document?collection=cases-ca&amp;id=urn:contentItem:5PVF-9W91-JP4G-63P6-00000-00&amp;context=" TargetMode="External" /><Relationship Id="rId626" Type="http://schemas.openxmlformats.org/officeDocument/2006/relationships/hyperlink" Target="https://advance.lexis.com/api/document?collection=cases-ca&amp;id=urn:contentItem:5F8T-N3T1-JJSF-234V-00000-00&amp;context=" TargetMode="External" /><Relationship Id="rId627" Type="http://schemas.openxmlformats.org/officeDocument/2006/relationships/hyperlink" Target="https://advance.lexis.com/api/document?collection=cases-ca&amp;id=urn:contentItem:5K56-XS31-FC6N-X37J-00000-00&amp;context=" TargetMode="External" /><Relationship Id="rId628" Type="http://schemas.openxmlformats.org/officeDocument/2006/relationships/hyperlink" Target="https://advance.lexis.com/api/document?collection=cases-ca&amp;id=urn:contentItem:5RRK-9081-JCBX-S0HC-00000-00&amp;context=" TargetMode="External" /><Relationship Id="rId629" Type="http://schemas.openxmlformats.org/officeDocument/2006/relationships/hyperlink" Target="https://advance.lexis.com/api/document?collection=cases-ca&amp;id=urn:contentItem:5K0Y-G9P1-DYMS-61NK-00000-00&amp;context=" TargetMode="External" /><Relationship Id="rId63" Type="http://schemas.openxmlformats.org/officeDocument/2006/relationships/hyperlink" Target="https://advance.lexis.com/api/document?collection=cases-ca&amp;id=urn:contentItem:5F8T-N3V1-JTGH-B13R-00000-00&amp;context=" TargetMode="External" /><Relationship Id="rId630" Type="http://schemas.openxmlformats.org/officeDocument/2006/relationships/hyperlink" Target="https://advance.lexis.com/api/document?collection=cases-ca&amp;id=urn:contentItem:5GCC-XVC1-F900-G4SP-00000-00&amp;context=" TargetMode="External" /><Relationship Id="rId631" Type="http://schemas.openxmlformats.org/officeDocument/2006/relationships/hyperlink" Target="https://advance.lexis.com/api/document?collection=cases-ca&amp;id=urn:contentItem:5F7T-S7F1-F7VM-S475-00000-00&amp;context=" TargetMode="External" /><Relationship Id="rId632" Type="http://schemas.openxmlformats.org/officeDocument/2006/relationships/hyperlink" Target="https://advance.lexis.com/api/document?collection=cases-ca&amp;id=urn:contentItem:5F7T-S7P1-JSJC-X1MC-00000-00&amp;context=" TargetMode="External" /><Relationship Id="rId633" Type="http://schemas.openxmlformats.org/officeDocument/2006/relationships/hyperlink" Target="https://advance.lexis.com/api/document?collection=cases-ca&amp;id=urn:contentItem:5F7T-S7K1-JKHB-62PC-00000-00&amp;context=" TargetMode="External" /><Relationship Id="rId634" Type="http://schemas.openxmlformats.org/officeDocument/2006/relationships/hyperlink" Target="https://advance.lexis.com/api/document?collection=cases-ca&amp;id=urn:contentItem:5F7T-S7K1-DY33-B1KT-00000-00&amp;context=" TargetMode="External" /><Relationship Id="rId635" Type="http://schemas.openxmlformats.org/officeDocument/2006/relationships/hyperlink" Target="https://advance.lexis.com/api/document?collection=cases-ca&amp;id=urn:contentItem:5F7T-S7J1-JNS1-M2G2-00000-00&amp;context=" TargetMode="External" /><Relationship Id="rId636" Type="http://schemas.openxmlformats.org/officeDocument/2006/relationships/hyperlink" Target="https://advance.lexis.com/api/document?collection=cases-ca&amp;id=urn:contentItem:5F7T-S6X1-JTNR-M3X3-00000-00&amp;context=" TargetMode="External" /><Relationship Id="rId637" Type="http://schemas.openxmlformats.org/officeDocument/2006/relationships/hyperlink" Target="https://advance.lexis.com/api/document?collection=cases-ca&amp;id=urn:contentItem:5F7T-S791-JCJ5-251B-00000-00&amp;context=" TargetMode="External" /><Relationship Id="rId638" Type="http://schemas.openxmlformats.org/officeDocument/2006/relationships/hyperlink" Target="https://advance.lexis.com/api/document?collection=cases-ca&amp;id=urn:contentItem:5F7T-S7C1-F4NT-X3NB-00000-00&amp;context=" TargetMode="External" /><Relationship Id="rId639" Type="http://schemas.openxmlformats.org/officeDocument/2006/relationships/hyperlink" Target="https://advance.lexis.com/api/document?collection=cases-ca&amp;id=urn:contentItem:5F7T-S7N1-F57G-S2D4-00000-00&amp;context=" TargetMode="External" /><Relationship Id="rId64" Type="http://schemas.openxmlformats.org/officeDocument/2006/relationships/hyperlink" Target="https://advance.lexis.com/api/document?collection=cases-ca&amp;id=urn:contentItem:5F8T-N3T1-JJSF-23F8-00000-00&amp;context=" TargetMode="External" /><Relationship Id="rId640" Type="http://schemas.openxmlformats.org/officeDocument/2006/relationships/hyperlink" Target="https://advance.lexis.com/api/document?collection=cases-ca&amp;id=urn:contentItem:5F7T-S7N1-JC5P-G2DS-00000-00&amp;context=" TargetMode="External" /><Relationship Id="rId641" Type="http://schemas.openxmlformats.org/officeDocument/2006/relationships/header" Target="header100.xml" /><Relationship Id="rId642" Type="http://schemas.openxmlformats.org/officeDocument/2006/relationships/header" Target="header101.xml" /><Relationship Id="rId643" Type="http://schemas.openxmlformats.org/officeDocument/2006/relationships/footer" Target="footer100.xml" /><Relationship Id="rId644" Type="http://schemas.openxmlformats.org/officeDocument/2006/relationships/footer" Target="footer101.xml" /><Relationship Id="rId645" Type="http://schemas.openxmlformats.org/officeDocument/2006/relationships/header" Target="header102.xml" /><Relationship Id="rId646" Type="http://schemas.openxmlformats.org/officeDocument/2006/relationships/footer" Target="footer102.xml" /><Relationship Id="rId647" Type="http://schemas.openxmlformats.org/officeDocument/2006/relationships/hyperlink" Target="https://advance.lexis.com/api/document?collection=cases-ca&amp;id=urn:contentItem:5GNX-HSK1-FG12-625W-00000-00&amp;context=" TargetMode="External" /><Relationship Id="rId648" Type="http://schemas.openxmlformats.org/officeDocument/2006/relationships/hyperlink" Target="https://advance.lexis.com/api/document?collection=cases-ca&amp;id=urn:contentItem:5F7T-S7K1-DY33-B1K8-00000-00&amp;context=" TargetMode="External" /><Relationship Id="rId649" Type="http://schemas.openxmlformats.org/officeDocument/2006/relationships/hyperlink" Target="https://advance.lexis.com/api/document?collection=cases-ca&amp;id=urn:contentItem:5F7T-S7H1-JCRC-B0PH-00000-00&amp;context=" TargetMode="External" /><Relationship Id="rId65" Type="http://schemas.openxmlformats.org/officeDocument/2006/relationships/hyperlink" Target="https://advance.lexis.com/api/document?collection=cases-ca&amp;id=urn:contentItem:5F8T-N3V1-JF75-M3FN-00000-00&amp;context=" TargetMode="External" /><Relationship Id="rId650" Type="http://schemas.openxmlformats.org/officeDocument/2006/relationships/hyperlink" Target="https://advance.lexis.com/api/document?collection=cases-ca&amp;id=urn:contentItem:5F7T-S7J1-JGBH-B2DW-00000-00&amp;context=" TargetMode="External" /><Relationship Id="rId651" Type="http://schemas.openxmlformats.org/officeDocument/2006/relationships/hyperlink" Target="https://advance.lexis.com/api/document?collection=cases-ca&amp;id=urn:contentItem:5F7T-S7J1-FGCG-S05H-00000-00&amp;context=" TargetMode="External" /><Relationship Id="rId652" Type="http://schemas.openxmlformats.org/officeDocument/2006/relationships/hyperlink" Target="https://advance.lexis.com/api/document?collection=cases-ca&amp;id=urn:contentItem:5F7T-S7H1-F016-S3Y1-00000-00&amp;context=" TargetMode="External" /><Relationship Id="rId653" Type="http://schemas.openxmlformats.org/officeDocument/2006/relationships/hyperlink" Target="https://advance.lexis.com/api/document?collection=cases-ca&amp;id=urn:contentItem:5R02-7JM1-F7G6-64V6-00000-00&amp;context=" TargetMode="External" /><Relationship Id="rId654" Type="http://schemas.openxmlformats.org/officeDocument/2006/relationships/hyperlink" Target="https://advance.lexis.com/api/document?collection=cases-ca&amp;id=urn:contentItem:5F7T-S7D1-JN6B-S119-00000-00&amp;context=" TargetMode="External" /><Relationship Id="rId655" Type="http://schemas.openxmlformats.org/officeDocument/2006/relationships/hyperlink" Target="https://advance.lexis.com/api/document?collection=cases-ca&amp;id=urn:contentItem:5F7T-S7F1-JK4W-M1T2-00000-00&amp;context=" TargetMode="External" /><Relationship Id="rId656" Type="http://schemas.openxmlformats.org/officeDocument/2006/relationships/hyperlink" Target="https://advance.lexis.com/api/document?collection=cases-ca&amp;id=urn:contentItem:5F7T-S7P1-JBDT-B0XJ-00000-00&amp;context=" TargetMode="External" /><Relationship Id="rId657" Type="http://schemas.openxmlformats.org/officeDocument/2006/relationships/hyperlink" Target="https://advance.lexis.com/api/document?collection=cases-ca&amp;id=urn:contentItem:5F7T-S7N1-JWR6-S2NB-00000-00&amp;context=" TargetMode="External" /><Relationship Id="rId658" Type="http://schemas.openxmlformats.org/officeDocument/2006/relationships/hyperlink" Target="https://advance.lexis.com/api/document?collection=cases-ca&amp;id=urn:contentItem:5F7T-S7P1-JG02-S42X-00000-00&amp;context=" TargetMode="External" /><Relationship Id="rId659" Type="http://schemas.openxmlformats.org/officeDocument/2006/relationships/hyperlink" Target="https://advance.lexis.com/api/document?collection=cases-ca&amp;id=urn:contentItem:5F7T-S7P1-JCRC-B2G7-00000-00&amp;context=" TargetMode="External" /><Relationship Id="rId66" Type="http://schemas.openxmlformats.org/officeDocument/2006/relationships/hyperlink" Target="https://advance.lexis.com/api/document?collection=cases-ca&amp;id=urn:contentItem:5F8T-N3T1-JFKM-6519-00000-00&amp;context=" TargetMode="External" /><Relationship Id="rId660" Type="http://schemas.openxmlformats.org/officeDocument/2006/relationships/hyperlink" Target="https://advance.lexis.com/api/document?collection=cases-ca&amp;id=urn:contentItem:5F7T-S7N1-F06F-24MW-00000-00&amp;context=" TargetMode="External" /><Relationship Id="rId661" Type="http://schemas.openxmlformats.org/officeDocument/2006/relationships/hyperlink" Target="https://advance.lexis.com/api/document?collection=cases-ca&amp;id=urn:contentItem:5GCC-XVB1-JSXV-G035-00000-00&amp;context=" TargetMode="External" /><Relationship Id="rId662" Type="http://schemas.openxmlformats.org/officeDocument/2006/relationships/hyperlink" Target="https://advance.lexis.com/api/document?collection=cases-ca&amp;id=urn:contentItem:5G3H-VVF1-JSRM-62MX-00000-00&amp;context=" TargetMode="External" /><Relationship Id="rId663" Type="http://schemas.openxmlformats.org/officeDocument/2006/relationships/hyperlink" Target="https://advance.lexis.com/api/document?collection=cases-ca&amp;id=urn:contentItem:5F7T-S7P1-JBDT-B0WF-00000-00&amp;context=" TargetMode="External" /><Relationship Id="rId664" Type="http://schemas.openxmlformats.org/officeDocument/2006/relationships/hyperlink" Target="https://advance.lexis.com/api/document?collection=cases-ca&amp;id=urn:contentItem:5F7T-S7P1-JNJT-B2VS-00000-00&amp;context=" TargetMode="External" /><Relationship Id="rId665" Type="http://schemas.openxmlformats.org/officeDocument/2006/relationships/hyperlink" Target="https://advance.lexis.com/api/document?collection=cases-ca&amp;id=urn:contentItem:5F7T-S761-F81W-21RK-00000-00&amp;context=" TargetMode="External" /><Relationship Id="rId666" Type="http://schemas.openxmlformats.org/officeDocument/2006/relationships/header" Target="header103.xml" /><Relationship Id="rId667" Type="http://schemas.openxmlformats.org/officeDocument/2006/relationships/header" Target="header104.xml" /><Relationship Id="rId668" Type="http://schemas.openxmlformats.org/officeDocument/2006/relationships/footer" Target="footer103.xml" /><Relationship Id="rId669" Type="http://schemas.openxmlformats.org/officeDocument/2006/relationships/footer" Target="footer104.xml" /><Relationship Id="rId67" Type="http://schemas.openxmlformats.org/officeDocument/2006/relationships/hyperlink" Target="https://advance.lexis.com/api/document?collection=cases-ca&amp;id=urn:contentItem:5F8T-N3T1-JJSF-233X-00000-00&amp;context=" TargetMode="External" /><Relationship Id="rId670" Type="http://schemas.openxmlformats.org/officeDocument/2006/relationships/header" Target="header105.xml" /><Relationship Id="rId671" Type="http://schemas.openxmlformats.org/officeDocument/2006/relationships/footer" Target="footer105.xml" /><Relationship Id="rId672" Type="http://schemas.openxmlformats.org/officeDocument/2006/relationships/hyperlink" Target="https://advance.lexis.com/api/document?collection=cases-ca&amp;id=urn:contentItem:5F7T-S7P1-JNJT-B2B5-00000-00&amp;context=" TargetMode="External" /><Relationship Id="rId673" Type="http://schemas.openxmlformats.org/officeDocument/2006/relationships/hyperlink" Target="https://advance.lexis.com/api/document?collection=cases-ca&amp;id=urn:contentItem:5F7T-S7K1-F1H1-22C6-00000-00&amp;context=" TargetMode="External" /><Relationship Id="rId674" Type="http://schemas.openxmlformats.org/officeDocument/2006/relationships/hyperlink" Target="https://advance.lexis.com/api/document?collection=cases-ca&amp;id=urn:contentItem:5F8T-N3V1-FC1F-M3WX-00000-00&amp;context=" TargetMode="External" /><Relationship Id="rId675" Type="http://schemas.openxmlformats.org/officeDocument/2006/relationships/hyperlink" Target="https://advance.lexis.com/api/document?collection=cases-ca&amp;id=urn:contentItem:5F7V-3DD1-JFKM-64FV-00000-00&amp;context=" TargetMode="External" /><Relationship Id="rId676" Type="http://schemas.openxmlformats.org/officeDocument/2006/relationships/hyperlink" Target="https://advance.lexis.com/api/document?collection=cases-ca&amp;id=urn:contentItem:5F7T-S7J1-JYYX-624T-00000-00&amp;context=" TargetMode="External" /><Relationship Id="rId677" Type="http://schemas.openxmlformats.org/officeDocument/2006/relationships/header" Target="header106.xml" /><Relationship Id="rId678" Type="http://schemas.openxmlformats.org/officeDocument/2006/relationships/header" Target="header107.xml" /><Relationship Id="rId679" Type="http://schemas.openxmlformats.org/officeDocument/2006/relationships/footer" Target="footer106.xml" /><Relationship Id="rId68" Type="http://schemas.openxmlformats.org/officeDocument/2006/relationships/hyperlink" Target="https://advance.lexis.com/api/document?collection=cases-ca&amp;id=urn:contentItem:5F7T-S711-JG02-S1HD-00000-00&amp;context=" TargetMode="External" /><Relationship Id="rId680" Type="http://schemas.openxmlformats.org/officeDocument/2006/relationships/footer" Target="footer107.xml" /><Relationship Id="rId681" Type="http://schemas.openxmlformats.org/officeDocument/2006/relationships/header" Target="header108.xml" /><Relationship Id="rId682" Type="http://schemas.openxmlformats.org/officeDocument/2006/relationships/footer" Target="footer108.xml" /><Relationship Id="rId683" Type="http://schemas.openxmlformats.org/officeDocument/2006/relationships/hyperlink" Target="https://advance.lexis.com/api/document?collection=cases-ca&amp;id=urn:contentItem:5F7T-S7P1-JSJC-X1SJ-00000-00&amp;context=" TargetMode="External" /><Relationship Id="rId684" Type="http://schemas.openxmlformats.org/officeDocument/2006/relationships/hyperlink" Target="https://advance.lexis.com/api/document?collection=cases-ca&amp;id=urn:contentItem:5F7T-S7N1-DXWW-20CN-00000-00&amp;context=" TargetMode="External" /><Relationship Id="rId685" Type="http://schemas.openxmlformats.org/officeDocument/2006/relationships/hyperlink" Target="https://advance.lexis.com/api/document?collection=cases-ca&amp;id=urn:contentItem:5F7T-S7M1-JJK6-S222-00000-00&amp;context=" TargetMode="External" /><Relationship Id="rId686" Type="http://schemas.openxmlformats.org/officeDocument/2006/relationships/hyperlink" Target="https://advance.lexis.com/api/document?collection=cases-ca&amp;id=urn:contentItem:5F7T-S781-F06F-23N7-00000-00&amp;context=" TargetMode="External" /><Relationship Id="rId687" Type="http://schemas.openxmlformats.org/officeDocument/2006/relationships/hyperlink" Target="https://advance.lexis.com/api/document?collection=cases-ca&amp;id=urn:contentItem:5F8P-SCK1-JCJ5-22YM-00000-00&amp;context=" TargetMode="External" /><Relationship Id="rId688" Type="http://schemas.openxmlformats.org/officeDocument/2006/relationships/hyperlink" Target="https://advance.lexis.com/api/document?collection=cases-ca&amp;id=urn:contentItem:5F7T-S7C1-JSRM-60TP-00000-00&amp;context=" TargetMode="External" /><Relationship Id="rId689" Type="http://schemas.openxmlformats.org/officeDocument/2006/relationships/hyperlink" Target="https://advance.lexis.com/api/document?collection=cases-ca&amp;id=urn:contentItem:5F7T-S7D1-JS5Y-B2JK-00000-00&amp;context=" TargetMode="External" /><Relationship Id="rId69" Type="http://schemas.openxmlformats.org/officeDocument/2006/relationships/hyperlink" Target="https://advance.lexis.com/api/document?collection=cases-ca&amp;id=urn:contentItem:5F7T-S6Y1-F4GK-M1V8-00000-00&amp;context=" TargetMode="External" /><Relationship Id="rId690" Type="http://schemas.openxmlformats.org/officeDocument/2006/relationships/hyperlink" Target="https://advance.lexis.com/api/document?collection=cases-ca&amp;id=urn:contentItem:5F7T-S7G1-JBT7-X40T-00000-00&amp;context=" TargetMode="External" /><Relationship Id="rId691" Type="http://schemas.openxmlformats.org/officeDocument/2006/relationships/hyperlink" Target="https://advance.lexis.com/api/document?collection=cases-ca&amp;id=urn:contentItem:5F7T-S7K1-JX3N-B31W-00000-00&amp;context=" TargetMode="External" /><Relationship Id="rId692" Type="http://schemas.openxmlformats.org/officeDocument/2006/relationships/hyperlink" Target="https://advance.lexis.com/api/document?collection=cases-ca&amp;id=urn:contentItem:5F7T-S7N1-F57G-S294-00000-00&amp;context=" TargetMode="External" /><Relationship Id="rId693" Type="http://schemas.openxmlformats.org/officeDocument/2006/relationships/hyperlink" Target="https://advance.lexis.com/api/document?collection=cases-ca&amp;id=urn:contentItem:5F7T-S721-FD4T-B106-00000-00&amp;context=" TargetMode="External" /><Relationship Id="rId694" Type="http://schemas.openxmlformats.org/officeDocument/2006/relationships/hyperlink" Target="https://advance.lexis.com/api/document?collection=cases-ca&amp;id=urn:contentItem:5F7T-S7M1-JCRC-B1SY-00000-00&amp;context=" TargetMode="External" /><Relationship Id="rId695" Type="http://schemas.openxmlformats.org/officeDocument/2006/relationships/hyperlink" Target="https://advance.lexis.com/api/document?collection=cases-ca&amp;id=urn:contentItem:5F7T-S7K1-F1H1-21YC-00000-00&amp;context=" TargetMode="External" /><Relationship Id="rId696" Type="http://schemas.openxmlformats.org/officeDocument/2006/relationships/hyperlink" Target="https://advance.lexis.com/api/document?collection=cases-ca&amp;id=urn:contentItem:5F7T-S7N1-JWR6-S2GP-00000-00&amp;context=" TargetMode="External" /><Relationship Id="rId697" Type="http://schemas.openxmlformats.org/officeDocument/2006/relationships/hyperlink" Target="https://advance.lexis.com/api/document?collection=cases-ca&amp;id=urn:contentItem:5F7T-S7P1-F2TK-2376-00000-00&amp;context=" TargetMode="External" /><Relationship Id="rId698" Type="http://schemas.openxmlformats.org/officeDocument/2006/relationships/hyperlink" Target="https://advance.lexis.com/api/document?collection=cases-ca&amp;id=urn:contentItem:5F7T-S7P1-JSJC-X18M-00000-00&amp;context=" TargetMode="External" /><Relationship Id="rId699" Type="http://schemas.openxmlformats.org/officeDocument/2006/relationships/hyperlink" Target="https://advance.lexis.com/api/document?collection=cases-ca&amp;id=urn:contentItem:5F7T-S7H1-JCRC-B158-00000-00&amp;context=" TargetMode="External" /><Relationship Id="rId7" Type="http://schemas.openxmlformats.org/officeDocument/2006/relationships/footer" Target="footer2.xml" /><Relationship Id="rId70" Type="http://schemas.openxmlformats.org/officeDocument/2006/relationships/hyperlink" Target="https://advance.lexis.com/api/document?collection=cases-ca&amp;id=urn:contentItem:5F8T-N3V1-JF75-M3F1-00000-00&amp;context=" TargetMode="External" /><Relationship Id="rId700" Type="http://schemas.openxmlformats.org/officeDocument/2006/relationships/hyperlink" Target="https://advance.lexis.com/api/document?collection=cases-ca&amp;id=urn:contentItem:5F7T-S7J1-JNS1-M265-00000-00&amp;context=" TargetMode="External" /><Relationship Id="rId701" Type="http://schemas.openxmlformats.org/officeDocument/2006/relationships/hyperlink" Target="https://advance.lexis.com/api/document?collection=cases-ca&amp;id=urn:contentItem:5F7T-S7K1-DY33-B1DN-00000-00&amp;context=" TargetMode="External" /><Relationship Id="rId702" Type="http://schemas.openxmlformats.org/officeDocument/2006/relationships/hyperlink" Target="https://advance.lexis.com/api/document?collection=cases-ca&amp;id=urn:contentItem:5F7T-S7J1-DXWW-2530-00000-00&amp;context=" TargetMode="External" /><Relationship Id="rId703" Type="http://schemas.openxmlformats.org/officeDocument/2006/relationships/hyperlink" Target="https://advance.lexis.com/api/document?collection=cases-ca&amp;id=urn:contentItem:5F7T-S7J1-DXWW-24V4-00000-00&amp;context=" TargetMode="External" /><Relationship Id="rId704" Type="http://schemas.openxmlformats.org/officeDocument/2006/relationships/hyperlink" Target="https://advance.lexis.com/api/document?collection=cases-ca&amp;id=urn:contentItem:5F7T-S7K1-JSJC-X10N-00000-00&amp;context=" TargetMode="External" /><Relationship Id="rId705" Type="http://schemas.openxmlformats.org/officeDocument/2006/relationships/hyperlink" Target="https://advance.lexis.com/api/document?collection=cases-ca&amp;id=urn:contentItem:5F7T-S7M1-JJK6-S20K-00000-00&amp;context=" TargetMode="External" /><Relationship Id="rId706" Type="http://schemas.openxmlformats.org/officeDocument/2006/relationships/hyperlink" Target="https://advance.lexis.com/api/document?collection=cases-ca&amp;id=urn:contentItem:5F7T-S7M1-JPP5-22N6-00000-00&amp;context=" TargetMode="External" /><Relationship Id="rId707" Type="http://schemas.openxmlformats.org/officeDocument/2006/relationships/hyperlink" Target="https://advance.lexis.com/api/document?collection=cases-ca&amp;id=urn:contentItem:5F7T-S7M1-JCRC-B1TW-00000-00&amp;context=" TargetMode="External" /><Relationship Id="rId708" Type="http://schemas.openxmlformats.org/officeDocument/2006/relationships/hyperlink" Target="https://advance.lexis.com/api/document?collection=cases-ca&amp;id=urn:contentItem:5F7T-S731-FFFC-B0K2-00000-00&amp;context=" TargetMode="External" /><Relationship Id="rId709" Type="http://schemas.openxmlformats.org/officeDocument/2006/relationships/hyperlink" Target="https://advance.lexis.com/api/document?collection=cases-ca&amp;id=urn:contentItem:5F7T-S7M1-DYMS-62FG-00000-00&amp;context=" TargetMode="External" /><Relationship Id="rId71" Type="http://schemas.openxmlformats.org/officeDocument/2006/relationships/hyperlink" Target="https://advance.lexis.com/api/document?collection=cases-ca&amp;id=urn:contentItem:5F7T-S711-F4GK-M29F-00000-00&amp;context=" TargetMode="External" /><Relationship Id="rId710" Type="http://schemas.openxmlformats.org/officeDocument/2006/relationships/hyperlink" Target="https://advance.lexis.com/api/document?collection=cases-ca&amp;id=urn:contentItem:5F7T-S7B1-F7ND-G50F-00000-00&amp;context=" TargetMode="External" /><Relationship Id="rId711" Type="http://schemas.openxmlformats.org/officeDocument/2006/relationships/hyperlink" Target="https://advance.lexis.com/api/document?collection=cases-ca&amp;id=urn:contentItem:5F7T-S701-JF75-M4N2-00000-00&amp;context=" TargetMode="External" /><Relationship Id="rId712" Type="http://schemas.openxmlformats.org/officeDocument/2006/relationships/hyperlink" Target="https://advance.lexis.com/api/document?collection=cases-ca&amp;id=urn:contentItem:5F7T-S7N1-JC5P-G1XT-00000-00&amp;context=" TargetMode="External" /><Relationship Id="rId713" Type="http://schemas.openxmlformats.org/officeDocument/2006/relationships/hyperlink" Target="https://advance.lexis.com/api/document?collection=cases-ca&amp;id=urn:contentItem:5F7T-S781-F27X-615P-00000-00&amp;context=" TargetMode="External" /><Relationship Id="rId714" Type="http://schemas.openxmlformats.org/officeDocument/2006/relationships/hyperlink" Target="https://advance.lexis.com/api/document?collection=cases-ca&amp;id=urn:contentItem:5F7T-S7M1-F4W2-62BF-00000-00&amp;context=" TargetMode="External" /><Relationship Id="rId715" Type="http://schemas.openxmlformats.org/officeDocument/2006/relationships/hyperlink" Target="https://advance.lexis.com/api/document?collection=cases-ca&amp;id=urn:contentItem:5F7T-S771-JSJC-X038-00000-00&amp;context=" TargetMode="External" /><Relationship Id="rId716" Type="http://schemas.openxmlformats.org/officeDocument/2006/relationships/hyperlink" Target="https://advance.lexis.com/api/document?collection=cases-ca&amp;id=urn:contentItem:5F7T-S7N1-F06F-24BC-00000-00&amp;context=" TargetMode="External" /><Relationship Id="rId717" Type="http://schemas.openxmlformats.org/officeDocument/2006/relationships/hyperlink" Target="https://advance.lexis.com/api/document?collection=cases-ca&amp;id=urn:contentItem:5F7T-S7F1-JX3N-B19D-00000-00&amp;context=" TargetMode="External" /><Relationship Id="rId718" Type="http://schemas.openxmlformats.org/officeDocument/2006/relationships/hyperlink" Target="https://advance.lexis.com/api/document?collection=cases-ca&amp;id=urn:contentItem:5F7T-S7M1-JCRC-B1SF-00000-00&amp;context=" TargetMode="External" /><Relationship Id="rId719" Type="http://schemas.openxmlformats.org/officeDocument/2006/relationships/header" Target="header109.xml" /><Relationship Id="rId72" Type="http://schemas.openxmlformats.org/officeDocument/2006/relationships/hyperlink" Target="https://advance.lexis.com/api/document?collection=cases-ca&amp;id=urn:contentItem:5F7T-S741-DXPM-S10P-00000-00&amp;context=" TargetMode="External" /><Relationship Id="rId720" Type="http://schemas.openxmlformats.org/officeDocument/2006/relationships/header" Target="header110.xml" /><Relationship Id="rId721" Type="http://schemas.openxmlformats.org/officeDocument/2006/relationships/footer" Target="footer109.xml" /><Relationship Id="rId722" Type="http://schemas.openxmlformats.org/officeDocument/2006/relationships/footer" Target="footer110.xml" /><Relationship Id="rId723" Type="http://schemas.openxmlformats.org/officeDocument/2006/relationships/header" Target="header111.xml" /><Relationship Id="rId724" Type="http://schemas.openxmlformats.org/officeDocument/2006/relationships/footer" Target="footer111.xml" /><Relationship Id="rId725" Type="http://schemas.openxmlformats.org/officeDocument/2006/relationships/hyperlink" Target="https://advance.lexis.com/api/document?collection=cases-ca&amp;id=urn:contentItem:5P57-9BJ1-FCSB-S43B-00000-00&amp;context=" TargetMode="External" /><Relationship Id="rId726" Type="http://schemas.openxmlformats.org/officeDocument/2006/relationships/hyperlink" Target="https://advance.lexis.com/api/document?collection=cases-ca&amp;id=urn:contentItem:5F7T-S7K1-F1H1-22DB-00000-00&amp;context=" TargetMode="External" /><Relationship Id="rId727" Type="http://schemas.openxmlformats.org/officeDocument/2006/relationships/hyperlink" Target="https://advance.lexis.com/api/document?collection=cases-ca&amp;id=urn:contentItem:5F7T-S741-F528-G21K-00000-00&amp;context=" TargetMode="External" /><Relationship Id="rId728" Type="http://schemas.openxmlformats.org/officeDocument/2006/relationships/hyperlink" Target="https://advance.lexis.com/api/document?collection=cases-ca&amp;id=urn:contentItem:5F7T-S701-JJ6S-61P3-00000-00&amp;context=" TargetMode="External" /><Relationship Id="rId729" Type="http://schemas.openxmlformats.org/officeDocument/2006/relationships/hyperlink" Target="https://advance.lexis.com/api/document?collection=cases-ca&amp;id=urn:contentItem:5F7T-S721-JSC5-M3N7-00000-00&amp;context=" TargetMode="External" /><Relationship Id="rId73" Type="http://schemas.openxmlformats.org/officeDocument/2006/relationships/hyperlink" Target="https://advance.lexis.com/api/document?collection=cases-ca&amp;id=urn:contentItem:5F7T-S711-JNY7-X2YX-00000-00&amp;context=" TargetMode="External" /><Relationship Id="rId730" Type="http://schemas.openxmlformats.org/officeDocument/2006/relationships/hyperlink" Target="https://advance.lexis.com/api/document?collection=cases-ca&amp;id=urn:contentItem:5F7T-S6Y1-F4GK-M1MX-00000-00&amp;context=" TargetMode="External" /><Relationship Id="rId731" Type="http://schemas.openxmlformats.org/officeDocument/2006/relationships/header" Target="header112.xml" /><Relationship Id="rId732" Type="http://schemas.openxmlformats.org/officeDocument/2006/relationships/header" Target="header113.xml" /><Relationship Id="rId733" Type="http://schemas.openxmlformats.org/officeDocument/2006/relationships/footer" Target="footer112.xml" /><Relationship Id="rId734" Type="http://schemas.openxmlformats.org/officeDocument/2006/relationships/footer" Target="footer113.xml" /><Relationship Id="rId735" Type="http://schemas.openxmlformats.org/officeDocument/2006/relationships/header" Target="header114.xml" /><Relationship Id="rId736" Type="http://schemas.openxmlformats.org/officeDocument/2006/relationships/footer" Target="footer114.xml" /><Relationship Id="rId737" Type="http://schemas.openxmlformats.org/officeDocument/2006/relationships/hyperlink" Target="https://advance.lexis.com/api/document?collection=cases-ca&amp;id=urn:contentItem:5VBR-C9J1-JJ6S-62Y2-00000-00&amp;context=" TargetMode="External" /><Relationship Id="rId738" Type="http://schemas.openxmlformats.org/officeDocument/2006/relationships/hyperlink" Target="https://advance.lexis.com/api/document?collection=cases-ca&amp;id=urn:contentItem:5F7T-S7N1-F06F-24KX-00000-00&amp;context=" TargetMode="External" /><Relationship Id="rId739" Type="http://schemas.openxmlformats.org/officeDocument/2006/relationships/hyperlink" Target="https://advance.lexis.com/api/document?collection=cases-ca&amp;id=urn:contentItem:5F7T-S7N1-DXWW-20F8-00000-00&amp;context=" TargetMode="External" /><Relationship Id="rId74" Type="http://schemas.openxmlformats.org/officeDocument/2006/relationships/hyperlink" Target="https://advance.lexis.com/api/document?collection=cases-ca&amp;id=urn:contentItem:5F7T-S6V1-JTNR-M3BH-00000-00&amp;context=" TargetMode="External" /><Relationship Id="rId740" Type="http://schemas.openxmlformats.org/officeDocument/2006/relationships/hyperlink" Target="https://advance.lexis.com/api/document?collection=cases-ca&amp;id=urn:contentItem:5F8T-N3V1-JF75-M3KJ-00000-00&amp;context=" TargetMode="External" /><Relationship Id="rId741" Type="http://schemas.openxmlformats.org/officeDocument/2006/relationships/hyperlink" Target="https://advance.lexis.com/api/document?collection=cases-ca&amp;id=urn:contentItem:5F7T-S7G1-JPP5-21N4-00000-00&amp;context=" TargetMode="External" /><Relationship Id="rId742" Type="http://schemas.openxmlformats.org/officeDocument/2006/relationships/hyperlink" Target="https://advance.lexis.com/api/document?collection=cases-ca&amp;id=urn:contentItem:5F8T-N3T1-JGHR-M1Y2-00000-00&amp;context=" TargetMode="External" /><Relationship Id="rId743" Type="http://schemas.openxmlformats.org/officeDocument/2006/relationships/hyperlink" Target="https://advance.lexis.com/api/document?collection=cases-ca&amp;id=urn:contentItem:5F8T-N3T1-JGHR-M1WB-00000-00&amp;context=" TargetMode="External" /><Relationship Id="rId744" Type="http://schemas.openxmlformats.org/officeDocument/2006/relationships/hyperlink" Target="https://advance.lexis.com/api/document?collection=cases-ca&amp;id=urn:contentItem:5F7T-S7N1-JWR6-S2K9-00000-00&amp;context=" TargetMode="External" /><Relationship Id="rId745" Type="http://schemas.openxmlformats.org/officeDocument/2006/relationships/hyperlink" Target="https://advance.lexis.com/api/document?collection=cases-ca&amp;id=urn:contentItem:5F8T-N3V1-JF75-M3W7-00000-00&amp;context=" TargetMode="External" /><Relationship Id="rId746" Type="http://schemas.openxmlformats.org/officeDocument/2006/relationships/hyperlink" Target="https://advance.lexis.com/api/document?collection=cases-ca&amp;id=urn:contentItem:5F7T-S7P1-F2TK-23GF-00000-00&amp;context=" TargetMode="External" /><Relationship Id="rId747" Type="http://schemas.openxmlformats.org/officeDocument/2006/relationships/header" Target="header115.xml" /><Relationship Id="rId748" Type="http://schemas.openxmlformats.org/officeDocument/2006/relationships/header" Target="header116.xml" /><Relationship Id="rId749" Type="http://schemas.openxmlformats.org/officeDocument/2006/relationships/footer" Target="footer115.xml" /><Relationship Id="rId75" Type="http://schemas.openxmlformats.org/officeDocument/2006/relationships/hyperlink" Target="https://advance.lexis.com/api/document?collection=cases-ca&amp;id=urn:contentItem:5F7T-S7H1-K054-G28F-00000-00&amp;context=" TargetMode="External" /><Relationship Id="rId750" Type="http://schemas.openxmlformats.org/officeDocument/2006/relationships/footer" Target="footer116.xml" /><Relationship Id="rId751" Type="http://schemas.openxmlformats.org/officeDocument/2006/relationships/header" Target="header117.xml" /><Relationship Id="rId752" Type="http://schemas.openxmlformats.org/officeDocument/2006/relationships/footer" Target="footer117.xml" /><Relationship Id="rId753" Type="http://schemas.openxmlformats.org/officeDocument/2006/relationships/hyperlink" Target="https://advance.lexis.com/api/document?collection=cases-ca&amp;id=urn:contentItem:5XXC-M2V1-F956-S12S-00000-00&amp;context=" TargetMode="External" /><Relationship Id="rId754" Type="http://schemas.openxmlformats.org/officeDocument/2006/relationships/hyperlink" Target="https://advance.lexis.com/api/document?collection=cases-ca&amp;id=urn:contentItem:5KP4-X8R1-JW09-M429-00000-00&amp;context=" TargetMode="External" /><Relationship Id="rId755" Type="http://schemas.openxmlformats.org/officeDocument/2006/relationships/hyperlink" Target="https://advance.lexis.com/api/document?collection=cases-ca&amp;id=urn:contentItem:5PXJ-HY71-JFKM-62SG-00000-00&amp;context=" TargetMode="External" /><Relationship Id="rId756" Type="http://schemas.openxmlformats.org/officeDocument/2006/relationships/hyperlink" Target="https://advance.lexis.com/api/document?collection=cases-ca&amp;id=urn:contentItem:5P57-9BJ1-FCSB-S43T-00000-00&amp;context=" TargetMode="External" /><Relationship Id="rId757" Type="http://schemas.openxmlformats.org/officeDocument/2006/relationships/hyperlink" Target="https://advance.lexis.com/api/document?collection=cases-ca&amp;id=urn:contentItem:5F82-1SF1-F361-M45M-00000-00&amp;context=" TargetMode="External" /><Relationship Id="rId758" Type="http://schemas.openxmlformats.org/officeDocument/2006/relationships/hyperlink" Target="https://advance.lexis.com/api/document?collection=cases-ca&amp;id=urn:contentItem:5N5Y-0C91-JF1Y-B3TR-00000-00&amp;context=" TargetMode="External" /><Relationship Id="rId759" Type="http://schemas.openxmlformats.org/officeDocument/2006/relationships/hyperlink" Target="https://advance.lexis.com/api/document?collection=cases-ca&amp;id=urn:contentItem:5F7T-S7K1-JX3N-B2NW-00000-00&amp;context=" TargetMode="External" /><Relationship Id="rId76" Type="http://schemas.openxmlformats.org/officeDocument/2006/relationships/hyperlink" Target="https://advance.lexis.com/api/document?collection=cases-ca&amp;id=urn:contentItem:5F2P-NNN1-FC6N-X2X6-00000-00&amp;context=" TargetMode="External" /><Relationship Id="rId760" Type="http://schemas.openxmlformats.org/officeDocument/2006/relationships/hyperlink" Target="https://advance.lexis.com/api/document?collection=cases-ca&amp;id=urn:contentItem:5W8R-N721-FCK4-G3B9-00000-00&amp;context=" TargetMode="External" /><Relationship Id="rId761" Type="http://schemas.openxmlformats.org/officeDocument/2006/relationships/hyperlink" Target="https://advance.lexis.com/api/document?collection=cases-ca&amp;id=urn:contentItem:5NJH-4X81-F5KY-B3SY-00000-00&amp;context=" TargetMode="External" /><Relationship Id="rId762" Type="http://schemas.openxmlformats.org/officeDocument/2006/relationships/hyperlink" Target="https://advance.lexis.com/api/document?collection=cases-ca&amp;id=urn:contentItem:5J5P-WBH1-F8KH-X370-00000-00&amp;context=" TargetMode="External" /><Relationship Id="rId763" Type="http://schemas.openxmlformats.org/officeDocument/2006/relationships/hyperlink" Target="https://advance.lexis.com/api/document?collection=cases-ca&amp;id=urn:contentItem:5J8P-FFP1-FBN1-23X5-00000-00&amp;context=" TargetMode="External" /><Relationship Id="rId764" Type="http://schemas.openxmlformats.org/officeDocument/2006/relationships/hyperlink" Target="https://advance.lexis.com/api/document?collection=cases-ca&amp;id=urn:contentItem:5XTD-4SK1-FCCX-623P-00000-00&amp;context=" TargetMode="External" /><Relationship Id="rId765" Type="http://schemas.openxmlformats.org/officeDocument/2006/relationships/hyperlink" Target="https://advance.lexis.com/api/document?collection=cases-ca&amp;id=urn:contentItem:5X47-57X1-F57G-S36J-00000-00&amp;context=" TargetMode="External" /><Relationship Id="rId766" Type="http://schemas.openxmlformats.org/officeDocument/2006/relationships/hyperlink" Target="https://advance.lexis.com/api/document?collection=cases-ca&amp;id=urn:contentItem:5HX7-VJ11-FCSB-S3Y4-00000-00&amp;context=" TargetMode="External" /><Relationship Id="rId767" Type="http://schemas.openxmlformats.org/officeDocument/2006/relationships/hyperlink" Target="https://advance.lexis.com/api/document?collection=cases-ca&amp;id=urn:contentItem:5F7T-S7N1-F57G-S2PF-00000-00&amp;context=" TargetMode="External" /><Relationship Id="rId768" Type="http://schemas.openxmlformats.org/officeDocument/2006/relationships/hyperlink" Target="https://advance.lexis.com/api/document?collection=cases-ca&amp;id=urn:contentItem:5F7T-S7M1-DYMS-62HB-00000-00&amp;context=" TargetMode="External" /><Relationship Id="rId769" Type="http://schemas.openxmlformats.org/officeDocument/2006/relationships/hyperlink" Target="https://advance.lexis.com/api/document?collection=cases-ca&amp;id=urn:contentItem:5SRY-8JT1-JW5H-X4RG-00000-00&amp;context=" TargetMode="External" /><Relationship Id="rId77" Type="http://schemas.openxmlformats.org/officeDocument/2006/relationships/header" Target="header7.xml" /><Relationship Id="rId770" Type="http://schemas.openxmlformats.org/officeDocument/2006/relationships/hyperlink" Target="https://advance.lexis.com/api/document?collection=cases-ca&amp;id=urn:contentItem:5F16-93D1-JN6B-S1WS-00000-00&amp;context=" TargetMode="External" /><Relationship Id="rId771" Type="http://schemas.openxmlformats.org/officeDocument/2006/relationships/hyperlink" Target="https://advance.lexis.com/api/document?collection=cases-ca&amp;id=urn:contentItem:5F7T-S7P1-JNJT-B2TJ-00000-00&amp;context=" TargetMode="External" /><Relationship Id="rId772" Type="http://schemas.openxmlformats.org/officeDocument/2006/relationships/hyperlink" Target="https://advance.lexis.com/api/document?collection=cases-ca&amp;id=urn:contentItem:5F7T-S7M1-JCRC-B1J8-00000-00&amp;context=" TargetMode="External" /><Relationship Id="rId773" Type="http://schemas.openxmlformats.org/officeDocument/2006/relationships/header" Target="header118.xml" /><Relationship Id="rId774" Type="http://schemas.openxmlformats.org/officeDocument/2006/relationships/header" Target="header119.xml" /><Relationship Id="rId775" Type="http://schemas.openxmlformats.org/officeDocument/2006/relationships/footer" Target="footer118.xml" /><Relationship Id="rId776" Type="http://schemas.openxmlformats.org/officeDocument/2006/relationships/footer" Target="footer119.xml" /><Relationship Id="rId777" Type="http://schemas.openxmlformats.org/officeDocument/2006/relationships/header" Target="header120.xml" /><Relationship Id="rId778" Type="http://schemas.openxmlformats.org/officeDocument/2006/relationships/footer" Target="footer120.xml" /><Relationship Id="rId779" Type="http://schemas.openxmlformats.org/officeDocument/2006/relationships/hyperlink" Target="https://advance.lexis.com/api/document?collection=cases-ca&amp;id=urn:contentItem:5GKS-NM31-FGY5-M2B6-00000-00&amp;context=" TargetMode="External" /><Relationship Id="rId78" Type="http://schemas.openxmlformats.org/officeDocument/2006/relationships/header" Target="header8.xml" /><Relationship Id="rId780" Type="http://schemas.openxmlformats.org/officeDocument/2006/relationships/hyperlink" Target="https://advance.lexis.com/api/document?collection=cases-ca&amp;id=urn:contentItem:5F7T-S7N1-JC5P-G2GM-00000-00&amp;context=" TargetMode="External" /><Relationship Id="rId781" Type="http://schemas.openxmlformats.org/officeDocument/2006/relationships/hyperlink" Target="https://advance.lexis.com/api/document?collection=cases-ca&amp;id=urn:contentItem:5F7T-S6V1-F2TK-21YN-00000-00&amp;context=" TargetMode="External" /><Relationship Id="rId782" Type="http://schemas.openxmlformats.org/officeDocument/2006/relationships/hyperlink" Target="https://advance.lexis.com/api/document?collection=cases-ca&amp;id=urn:contentItem:5F7T-S6W1-F8SS-62X1-00000-00&amp;context=" TargetMode="External" /><Relationship Id="rId783" Type="http://schemas.openxmlformats.org/officeDocument/2006/relationships/hyperlink" Target="https://advance.lexis.com/api/document?collection=cases-ca&amp;id=urn:contentItem:5F7T-S7N1-JWR6-S2JD-00000-00&amp;context=" TargetMode="External" /><Relationship Id="rId784" Type="http://schemas.openxmlformats.org/officeDocument/2006/relationships/hyperlink" Target="https://advance.lexis.com/api/document?collection=cases-ca&amp;id=urn:contentItem:5F7T-S711-JG02-S1F6-00000-00&amp;context=" TargetMode="External" /><Relationship Id="rId785" Type="http://schemas.openxmlformats.org/officeDocument/2006/relationships/hyperlink" Target="https://advance.lexis.com/api/document?collection=cases-ca&amp;id=urn:contentItem:5F7T-S7D1-FFFC-B1HB-00000-00&amp;context=" TargetMode="External" /><Relationship Id="rId786" Type="http://schemas.openxmlformats.org/officeDocument/2006/relationships/hyperlink" Target="https://advance.lexis.com/api/document?collection=cases-ca&amp;id=urn:contentItem:5F7T-S7P1-JBDT-B0TR-00000-00&amp;context=" TargetMode="External" /><Relationship Id="rId787" Type="http://schemas.openxmlformats.org/officeDocument/2006/relationships/hyperlink" Target="https://advance.lexis.com/api/document?collection=cases-ca&amp;id=urn:contentItem:5F7T-S7M1-DYMS-626K-00000-00&amp;context=" TargetMode="External" /><Relationship Id="rId788" Type="http://schemas.openxmlformats.org/officeDocument/2006/relationships/hyperlink" Target="https://advance.lexis.com/api/document?collection=cases-ca&amp;id=urn:contentItem:5F7T-S741-DY89-M3BS-00000-00&amp;context=" TargetMode="External" /><Relationship Id="rId789" Type="http://schemas.openxmlformats.org/officeDocument/2006/relationships/hyperlink" Target="https://advance.lexis.com/api/document?collection=cases-ca&amp;id=urn:contentItem:5F7T-S6W1-JYYX-61N3-00000-00&amp;context=" TargetMode="External" /><Relationship Id="rId79" Type="http://schemas.openxmlformats.org/officeDocument/2006/relationships/footer" Target="footer7.xml" /><Relationship Id="rId790" Type="http://schemas.openxmlformats.org/officeDocument/2006/relationships/hyperlink" Target="https://advance.lexis.com/api/document?collection=cases-ca&amp;id=urn:contentItem:5F7T-S7P1-F2TK-23K1-00000-00&amp;context=" TargetMode="External" /><Relationship Id="rId791" Type="http://schemas.openxmlformats.org/officeDocument/2006/relationships/hyperlink" Target="https://advance.lexis.com/api/document?collection=cases-ca&amp;id=urn:contentItem:5F7T-S781-F06F-242C-00000-00&amp;context=" TargetMode="External" /><Relationship Id="rId792" Type="http://schemas.openxmlformats.org/officeDocument/2006/relationships/hyperlink" Target="https://advance.lexis.com/api/document?collection=cases-ca&amp;id=urn:contentItem:5F7T-S7M1-JCRC-B1GS-00000-00&amp;context=" TargetMode="External" /><Relationship Id="rId793" Type="http://schemas.openxmlformats.org/officeDocument/2006/relationships/hyperlink" Target="https://advance.lexis.com/api/document?collection=cases-ca&amp;id=urn:contentItem:5F7T-S7C1-JXG3-X0CX-00000-00&amp;context=" TargetMode="External" /><Relationship Id="rId794" Type="http://schemas.openxmlformats.org/officeDocument/2006/relationships/hyperlink" Target="https://advance.lexis.com/api/document?collection=cases-ca&amp;id=urn:contentItem:5F7T-S7M1-JNCK-22H0-00000-00&amp;context=" TargetMode="External" /><Relationship Id="rId795" Type="http://schemas.openxmlformats.org/officeDocument/2006/relationships/hyperlink" Target="https://advance.lexis.com/api/document?collection=cases-ca&amp;id=urn:contentItem:5F7T-S7P1-JBDT-B18B-00000-00&amp;context=" TargetMode="External" /><Relationship Id="rId796" Type="http://schemas.openxmlformats.org/officeDocument/2006/relationships/hyperlink" Target="https://advance.lexis.com/api/document?collection=cases-ca&amp;id=urn:contentItem:5F7T-S7K1-JNY7-X4N5-00000-00&amp;context=" TargetMode="External" /><Relationship Id="rId797" Type="http://schemas.openxmlformats.org/officeDocument/2006/relationships/header" Target="header121.xml" /><Relationship Id="rId798" Type="http://schemas.openxmlformats.org/officeDocument/2006/relationships/header" Target="header122.xml" /><Relationship Id="rId799" Type="http://schemas.openxmlformats.org/officeDocument/2006/relationships/footer" Target="footer121.xml" /><Relationship Id="rId8" Type="http://schemas.openxmlformats.org/officeDocument/2006/relationships/header" Target="header3.xml" /><Relationship Id="rId80" Type="http://schemas.openxmlformats.org/officeDocument/2006/relationships/footer" Target="footer8.xml" /><Relationship Id="rId800" Type="http://schemas.openxmlformats.org/officeDocument/2006/relationships/footer" Target="footer122.xml" /><Relationship Id="rId801" Type="http://schemas.openxmlformats.org/officeDocument/2006/relationships/header" Target="header123.xml" /><Relationship Id="rId802" Type="http://schemas.openxmlformats.org/officeDocument/2006/relationships/footer" Target="footer123.xml" /><Relationship Id="rId803" Type="http://schemas.openxmlformats.org/officeDocument/2006/relationships/hyperlink" Target="https://advance.lexis.com/api/document?collection=cases-ca&amp;id=urn:contentItem:5F7T-S7C1-F7VM-S3F8-00000-00&amp;context=" TargetMode="External" /><Relationship Id="rId804" Type="http://schemas.openxmlformats.org/officeDocument/2006/relationships/hyperlink" Target="https://advance.lexis.com/api/document?collection=cases-ca&amp;id=urn:contentItem:5F7T-S751-JBM1-M2DV-00000-00&amp;context=" TargetMode="External" /><Relationship Id="rId805" Type="http://schemas.openxmlformats.org/officeDocument/2006/relationships/header" Target="header124.xml" /><Relationship Id="rId806" Type="http://schemas.openxmlformats.org/officeDocument/2006/relationships/header" Target="header125.xml" /><Relationship Id="rId807" Type="http://schemas.openxmlformats.org/officeDocument/2006/relationships/footer" Target="footer124.xml" /><Relationship Id="rId808" Type="http://schemas.openxmlformats.org/officeDocument/2006/relationships/footer" Target="footer125.xml" /><Relationship Id="rId809" Type="http://schemas.openxmlformats.org/officeDocument/2006/relationships/header" Target="header126.xml" /><Relationship Id="rId81" Type="http://schemas.openxmlformats.org/officeDocument/2006/relationships/header" Target="header9.xml" /><Relationship Id="rId810" Type="http://schemas.openxmlformats.org/officeDocument/2006/relationships/footer" Target="footer126.xml" /><Relationship Id="rId811" Type="http://schemas.openxmlformats.org/officeDocument/2006/relationships/hyperlink" Target="https://advance.lexis.com/api/document?collection=cases-ca&amp;id=urn:contentItem:5RCS-RS91-JGBH-B0SR-00000-00&amp;context=" TargetMode="External" /><Relationship Id="rId812" Type="http://schemas.openxmlformats.org/officeDocument/2006/relationships/hyperlink" Target="https://advance.lexis.com/api/document?collection=cases-ca&amp;id=urn:contentItem:5F7T-S731-JC0G-63F2-00000-00&amp;context=" TargetMode="External" /><Relationship Id="rId813" Type="http://schemas.openxmlformats.org/officeDocument/2006/relationships/hyperlink" Target="https://advance.lexis.com/api/document?collection=cases-ca&amp;id=urn:contentItem:5F7T-S721-F06F-236H-00000-00&amp;context=" TargetMode="External" /><Relationship Id="rId814" Type="http://schemas.openxmlformats.org/officeDocument/2006/relationships/hyperlink" Target="https://advance.lexis.com/api/document?collection=cases-ca&amp;id=urn:contentItem:5F7T-S721-FD4T-B0MP-00000-00&amp;context=" TargetMode="External" /><Relationship Id="rId815" Type="http://schemas.openxmlformats.org/officeDocument/2006/relationships/hyperlink" Target="https://advance.lexis.com/api/document?collection=cases-ca&amp;id=urn:contentItem:5F82-1SD1-FJTD-G064-00000-00&amp;context=" TargetMode="External" /><Relationship Id="rId816" Type="http://schemas.openxmlformats.org/officeDocument/2006/relationships/hyperlink" Target="https://advance.lexis.com/api/document?collection=cases-ca&amp;id=urn:contentItem:5F7T-S7K1-JWXF-21B3-00000-00&amp;context=" TargetMode="External" /><Relationship Id="rId817" Type="http://schemas.openxmlformats.org/officeDocument/2006/relationships/hyperlink" Target="https://advance.lexis.com/api/document?collection=cases-ca&amp;id=urn:contentItem:5F7T-S6X1-F06F-22BM-00000-00&amp;context=" TargetMode="External" /><Relationship Id="rId818" Type="http://schemas.openxmlformats.org/officeDocument/2006/relationships/hyperlink" Target="https://advance.lexis.com/api/document?collection=cases-ca&amp;id=urn:contentItem:5F7T-S7K1-DY33-B1N8-00000-00&amp;context=" TargetMode="External" /><Relationship Id="rId819" Type="http://schemas.openxmlformats.org/officeDocument/2006/relationships/hyperlink" Target="https://advance.lexis.com/api/document?collection=cases-ca&amp;id=urn:contentItem:5F7T-S7M1-JNCK-229M-00000-00&amp;context=" TargetMode="External" /><Relationship Id="rId82" Type="http://schemas.openxmlformats.org/officeDocument/2006/relationships/footer" Target="footer9.xml" /><Relationship Id="rId820" Type="http://schemas.openxmlformats.org/officeDocument/2006/relationships/hyperlink" Target="https://advance.lexis.com/api/document?collection=cases-ca&amp;id=urn:contentItem:5F7T-S7M1-JNCK-22HM-00000-00&amp;context=" TargetMode="External" /><Relationship Id="rId821" Type="http://schemas.openxmlformats.org/officeDocument/2006/relationships/hyperlink" Target="https://advance.lexis.com/api/document?collection=cases-ca&amp;id=urn:contentItem:5F7T-S7M1-F4W2-61YR-00000-00&amp;context=" TargetMode="External" /><Relationship Id="rId822" Type="http://schemas.openxmlformats.org/officeDocument/2006/relationships/hyperlink" Target="https://advance.lexis.com/api/document?collection=cases-ca&amp;id=urn:contentItem:5F7T-S7P1-F2TK-23SM-00000-00&amp;context=" TargetMode="External" /><Relationship Id="rId823" Type="http://schemas.openxmlformats.org/officeDocument/2006/relationships/hyperlink" Target="https://advance.lexis.com/api/document?collection=cases-ca&amp;id=urn:contentItem:5F7T-S7P1-JBDT-B18M-00000-00&amp;context=" TargetMode="External" /><Relationship Id="rId824" Type="http://schemas.openxmlformats.org/officeDocument/2006/relationships/hyperlink" Target="https://advance.lexis.com/api/document?collection=cases-ca&amp;id=urn:contentItem:5JS5-N5Y1-JKPJ-G1NN-00000-00&amp;context=" TargetMode="External" /><Relationship Id="rId825" Type="http://schemas.openxmlformats.org/officeDocument/2006/relationships/hyperlink" Target="https://advance.lexis.com/api/document?collection=cases-ca&amp;id=urn:contentItem:5JK1-44M1-JNS1-M11X-00000-00&amp;context=" TargetMode="External" /><Relationship Id="rId826" Type="http://schemas.openxmlformats.org/officeDocument/2006/relationships/hyperlink" Target="https://advance.lexis.com/api/document?collection=cases-ca&amp;id=urn:contentItem:5F7T-S7M1-DYMS-62BG-00000-00&amp;context=" TargetMode="External" /><Relationship Id="rId827" Type="http://schemas.openxmlformats.org/officeDocument/2006/relationships/hyperlink" Target="https://advance.lexis.com/api/document?collection=cases-ca&amp;id=urn:contentItem:5F7T-S7G1-F5KY-B1M0-00000-00&amp;context=" TargetMode="External" /><Relationship Id="rId828" Type="http://schemas.openxmlformats.org/officeDocument/2006/relationships/hyperlink" Target="https://advance.lexis.com/api/document?collection=cases-ca&amp;id=urn:contentItem:5F7T-S7J1-DXWW-24X6-00000-00&amp;context=" TargetMode="External" /><Relationship Id="rId829" Type="http://schemas.openxmlformats.org/officeDocument/2006/relationships/hyperlink" Target="https://advance.lexis.com/api/document?collection=cases-ca&amp;id=urn:contentItem:5F82-1SJ1-JWXF-21GH-00000-00&amp;context=" TargetMode="External" /><Relationship Id="rId83" Type="http://schemas.openxmlformats.org/officeDocument/2006/relationships/hyperlink" Target="https://advance.lexis.com/api/document?collection=cases-ca&amp;id=urn:contentItem:5F7T-S781-F06F-23YD-00000-00&amp;context=" TargetMode="External" /><Relationship Id="rId830" Type="http://schemas.openxmlformats.org/officeDocument/2006/relationships/hyperlink" Target="https://advance.lexis.com/api/document?collection=cases-ca&amp;id=urn:contentItem:5HBG-0YF1-F4W2-630M-00000-00&amp;context=" TargetMode="External" /><Relationship Id="rId831" Type="http://schemas.openxmlformats.org/officeDocument/2006/relationships/hyperlink" Target="https://advance.lexis.com/api/document?collection=cases-ca&amp;id=urn:contentItem:5F8T-N3S1-JT99-2517-00000-00&amp;context=" TargetMode="External" /><Relationship Id="rId832" Type="http://schemas.openxmlformats.org/officeDocument/2006/relationships/hyperlink" Target="https://advance.lexis.com/api/document?collection=cases-ca&amp;id=urn:contentItem:5F8T-N3V1-JTGH-B111-00000-00&amp;context=" TargetMode="External" /><Relationship Id="rId833" Type="http://schemas.openxmlformats.org/officeDocument/2006/relationships/hyperlink" Target="https://advance.lexis.com/api/document?collection=cases-ca&amp;id=urn:contentItem:5F8T-N3T1-JGHR-M1Y0-00000-00&amp;context=" TargetMode="External" /><Relationship Id="rId834" Type="http://schemas.openxmlformats.org/officeDocument/2006/relationships/hyperlink" Target="https://advance.lexis.com/api/document?collection=cases-ca&amp;id=urn:contentItem:5F8T-N3V1-JFKM-6096-00000-00&amp;context=" TargetMode="External" /><Relationship Id="rId835" Type="http://schemas.openxmlformats.org/officeDocument/2006/relationships/hyperlink" Target="https://advance.lexis.com/api/document?collection=cases-ca&amp;id=urn:contentItem:5F8T-N3V1-FC1F-M3W8-00000-00&amp;context=" TargetMode="External" /><Relationship Id="rId836" Type="http://schemas.openxmlformats.org/officeDocument/2006/relationships/hyperlink" Target="https://advance.lexis.com/api/document?collection=cases-ca&amp;id=urn:contentItem:5KH1-G391-F4W2-6255-00000-00&amp;context=" TargetMode="External" /><Relationship Id="rId837" Type="http://schemas.openxmlformats.org/officeDocument/2006/relationships/hyperlink" Target="https://advance.lexis.com/api/document?collection=cases-ca&amp;id=urn:contentItem:5F8T-N3V1-JF75-M3VS-00000-00&amp;context=" TargetMode="External" /><Relationship Id="rId838" Type="http://schemas.openxmlformats.org/officeDocument/2006/relationships/hyperlink" Target="https://advance.lexis.com/api/document?collection=cases-ca&amp;id=urn:contentItem:5F8T-N3T1-JFKM-6533-00000-00&amp;context=" TargetMode="External" /><Relationship Id="rId839" Type="http://schemas.openxmlformats.org/officeDocument/2006/relationships/hyperlink" Target="https://advance.lexis.com/api/document?collection=cases-ca&amp;id=urn:contentItem:5F8T-N3V1-FH4C-X1WF-00000-00&amp;context=" TargetMode="External" /><Relationship Id="rId84" Type="http://schemas.openxmlformats.org/officeDocument/2006/relationships/hyperlink" Target="https://advance.lexis.com/api/document?collection=legislation-ca&amp;id=urn:contentItem:5F41-1FK1-F2TK-214P-00000-00&amp;context=" TargetMode="External" /><Relationship Id="rId840" Type="http://schemas.openxmlformats.org/officeDocument/2006/relationships/hyperlink" Target="https://advance.lexis.com/api/document?collection=cases-ca&amp;id=urn:contentItem:5F7T-S7M1-F4W2-6245-00000-00&amp;context=" TargetMode="External" /><Relationship Id="rId841" Type="http://schemas.openxmlformats.org/officeDocument/2006/relationships/hyperlink" Target="https://advance.lexis.com/api/document?collection=cases-ca&amp;id=urn:contentItem:5G9F-PW81-F2F4-G0KJ-00000-00&amp;context=" TargetMode="External" /><Relationship Id="rId842" Type="http://schemas.openxmlformats.org/officeDocument/2006/relationships/hyperlink" Target="https://advance.lexis.com/api/document?collection=cases-ca&amp;id=urn:contentItem:5F7T-S7K1-F1H1-22GN-00000-00&amp;context=" TargetMode="External" /><Relationship Id="rId843" Type="http://schemas.openxmlformats.org/officeDocument/2006/relationships/hyperlink" Target="https://advance.lexis.com/api/document?collection=cases-ca&amp;id=urn:contentItem:5F8P-SFB1-JJYN-B3ST-00000-00&amp;context=" TargetMode="External" /><Relationship Id="rId844" Type="http://schemas.openxmlformats.org/officeDocument/2006/relationships/hyperlink" Target="https://advance.lexis.com/api/document?collection=cases-ca&amp;id=urn:contentItem:5F8T-N3T1-JJSF-2335-00000-00&amp;context=" TargetMode="External" /><Relationship Id="rId845" Type="http://schemas.openxmlformats.org/officeDocument/2006/relationships/hyperlink" Target="https://advance.lexis.com/api/document?collection=cases-ca&amp;id=urn:contentItem:5F7T-S721-F57G-S1F5-00000-00&amp;context=" TargetMode="External" /><Relationship Id="rId846" Type="http://schemas.openxmlformats.org/officeDocument/2006/relationships/hyperlink" Target="https://advance.lexis.com/api/document?collection=cases-ca&amp;id=urn:contentItem:5F7T-S7G1-FCYK-205N-00000-00&amp;context=" TargetMode="External" /><Relationship Id="rId847" Type="http://schemas.openxmlformats.org/officeDocument/2006/relationships/hyperlink" Target="https://advance.lexis.com/api/document?collection=cases-ca&amp;id=urn:contentItem:5F7T-S6R1-JCJ5-23YT-00000-00&amp;context=" TargetMode="External" /><Relationship Id="rId848" Type="http://schemas.openxmlformats.org/officeDocument/2006/relationships/hyperlink" Target="https://advance.lexis.com/api/document?collection=cases-ca&amp;id=urn:contentItem:5F7T-S741-F8D9-M1B6-00000-00&amp;context=" TargetMode="External" /><Relationship Id="rId849" Type="http://schemas.openxmlformats.org/officeDocument/2006/relationships/hyperlink" Target="https://advance.lexis.com/api/document?collection=cases-ca&amp;id=urn:contentItem:5F7T-S7G1-JNY7-X3MB-00000-00&amp;context=" TargetMode="External" /><Relationship Id="rId85" Type="http://schemas.openxmlformats.org/officeDocument/2006/relationships/hyperlink" Target="https://advance.lexis.com/api/document?collection=cases-ca&amp;id=urn:contentItem:5F7T-S741-F1H1-21F3-00000-00&amp;context=" TargetMode="External" /><Relationship Id="rId850" Type="http://schemas.openxmlformats.org/officeDocument/2006/relationships/hyperlink" Target="https://advance.lexis.com/api/document?collection=cases-ca&amp;id=urn:contentItem:5JSS-9XD1-F4W2-62XN-00000-00&amp;context=" TargetMode="External" /><Relationship Id="rId851" Type="http://schemas.openxmlformats.org/officeDocument/2006/relationships/hyperlink" Target="https://advance.lexis.com/api/document?collection=cases-ca&amp;id=urn:contentItem:5F8T-N3V1-JTGH-B1DR-00000-00&amp;context=" TargetMode="External" /><Relationship Id="rId852" Type="http://schemas.openxmlformats.org/officeDocument/2006/relationships/hyperlink" Target="https://advance.lexis.com/api/document?collection=cases-ca&amp;id=urn:contentItem:5N82-XP61-JX8W-M51C-00000-00&amp;context=" TargetMode="External" /><Relationship Id="rId853" Type="http://schemas.openxmlformats.org/officeDocument/2006/relationships/hyperlink" Target="https://advance.lexis.com/api/document?collection=legislation-ca&amp;id=urn:contentItem:5F3B-BCV1-JCRC-B259-00000-00&amp;context=" TargetMode="External" /><Relationship Id="rId854" Type="http://schemas.openxmlformats.org/officeDocument/2006/relationships/hyperlink" Target="https://advance.lexis.com/api/document?collection=cases-ca&amp;id=urn:contentItem:5F7T-S7K1-JWXF-213M-00000-00&amp;context=" TargetMode="External" /><Relationship Id="rId855" Type="http://schemas.openxmlformats.org/officeDocument/2006/relationships/hyperlink" Target="https://advance.lexis.com/api/document?collection=cases-ca&amp;id=urn:contentItem:5K0R-HRN1-JX8W-M232-00000-00&amp;context=" TargetMode="External" /><Relationship Id="rId856" Type="http://schemas.openxmlformats.org/officeDocument/2006/relationships/hyperlink" Target="https://advance.lexis.com/api/document?collection=cases-ca&amp;id=urn:contentItem:5F7T-S7P1-JBDT-B16C-00000-00&amp;context=" TargetMode="External" /><Relationship Id="rId857" Type="http://schemas.openxmlformats.org/officeDocument/2006/relationships/hyperlink" Target="https://advance.lexis.com/api/document?collection=cases-ca&amp;id=urn:contentItem:5H2B-YKT1-FGY5-M3SR-00000-00&amp;context=" TargetMode="External" /><Relationship Id="rId858" Type="http://schemas.openxmlformats.org/officeDocument/2006/relationships/hyperlink" Target="https://advance.lexis.com/api/document?collection=cases-ca&amp;id=urn:contentItem:5F7T-S7F1-JFKM-6202-00000-00&amp;context=" TargetMode="External" /><Relationship Id="rId859" Type="http://schemas.openxmlformats.org/officeDocument/2006/relationships/header" Target="header127.xml" /><Relationship Id="rId86" Type="http://schemas.openxmlformats.org/officeDocument/2006/relationships/hyperlink" Target="https://advance.lexis.com/api/document?collection=cases-ca&amp;id=urn:contentItem:5F81-VJX1-F22N-X1NF-00000-00&amp;context=" TargetMode="External" /><Relationship Id="rId860" Type="http://schemas.openxmlformats.org/officeDocument/2006/relationships/header" Target="header128.xml" /><Relationship Id="rId861" Type="http://schemas.openxmlformats.org/officeDocument/2006/relationships/footer" Target="footer127.xml" /><Relationship Id="rId862" Type="http://schemas.openxmlformats.org/officeDocument/2006/relationships/footer" Target="footer128.xml" /><Relationship Id="rId863" Type="http://schemas.openxmlformats.org/officeDocument/2006/relationships/header" Target="header129.xml" /><Relationship Id="rId864" Type="http://schemas.openxmlformats.org/officeDocument/2006/relationships/footer" Target="footer129.xml" /><Relationship Id="rId865" Type="http://schemas.openxmlformats.org/officeDocument/2006/relationships/hyperlink" Target="https://advance.lexis.com/api/document?collection=cases-ca&amp;id=urn:contentItem:5F7T-S7P1-JP4G-620F-00000-00&amp;context=" TargetMode="External" /><Relationship Id="rId866" Type="http://schemas.openxmlformats.org/officeDocument/2006/relationships/hyperlink" Target="https://advance.lexis.com/api/document?collection=cases-ca&amp;id=urn:contentItem:5F8T-N3V1-FH4C-X22V-00000-00&amp;context=" TargetMode="External" /><Relationship Id="rId867" Type="http://schemas.openxmlformats.org/officeDocument/2006/relationships/hyperlink" Target="https://advance.lexis.com/api/document?collection=cases-ca&amp;id=urn:contentItem:5F7T-S7M1-JNCK-22RP-00000-00&amp;context=" TargetMode="External" /><Relationship Id="rId868" Type="http://schemas.openxmlformats.org/officeDocument/2006/relationships/hyperlink" Target="https://advance.lexis.com/api/document?collection=cases-ca&amp;id=urn:contentItem:5F7T-S7N1-DXWW-206B-00000-00&amp;context=" TargetMode="External" /><Relationship Id="rId869" Type="http://schemas.openxmlformats.org/officeDocument/2006/relationships/hyperlink" Target="https://advance.lexis.com/api/document?collection=cases-ca&amp;id=urn:contentItem:5F7T-S721-F06F-230Y-00000-00&amp;context=" TargetMode="External" /><Relationship Id="rId87" Type="http://schemas.openxmlformats.org/officeDocument/2006/relationships/hyperlink" Target="https://advance.lexis.com/api/document?collection=cases-ca&amp;id=urn:contentItem:5F81-VJX1-JP9P-G4HJ-00000-00&amp;context=" TargetMode="External" /><Relationship Id="rId870" Type="http://schemas.openxmlformats.org/officeDocument/2006/relationships/hyperlink" Target="https://advance.lexis.com/api/document?collection=cases-ca&amp;id=urn:contentItem:5F7T-S7M1-JFSV-G3V4-00000-00&amp;context=" TargetMode="External" /><Relationship Id="rId871" Type="http://schemas.openxmlformats.org/officeDocument/2006/relationships/hyperlink" Target="https://advance.lexis.com/api/document?collection=cases-ca&amp;id=urn:contentItem:5F7T-S7M1-JPP5-2299-00000-00&amp;context=" TargetMode="External" /><Relationship Id="rId872" Type="http://schemas.openxmlformats.org/officeDocument/2006/relationships/hyperlink" Target="https://advance.lexis.com/api/document?collection=cases-ca&amp;id=urn:contentItem:5F7T-S7N1-JJ1H-X2MS-00000-00&amp;context=" TargetMode="External" /><Relationship Id="rId873" Type="http://schemas.openxmlformats.org/officeDocument/2006/relationships/hyperlink" Target="https://advance.lexis.com/api/document?collection=cases-ca&amp;id=urn:contentItem:5F7T-S7M1-DYMS-62B6-00000-00&amp;context=" TargetMode="External" /><Relationship Id="rId874" Type="http://schemas.openxmlformats.org/officeDocument/2006/relationships/hyperlink" Target="https://advance.lexis.com/api/document?collection=cases-ca&amp;id=urn:contentItem:5F81-VJX1-F5T5-M3YH-00000-00&amp;context=" TargetMode="External" /><Relationship Id="rId875" Type="http://schemas.openxmlformats.org/officeDocument/2006/relationships/hyperlink" Target="https://advance.lexis.com/api/document?collection=cases-ca&amp;id=urn:contentItem:5F7T-S7J1-DXWW-251K-00000-00&amp;context=" TargetMode="External" /><Relationship Id="rId876" Type="http://schemas.openxmlformats.org/officeDocument/2006/relationships/hyperlink" Target="https://advance.lexis.com/api/document?collection=cases-ca&amp;id=urn:contentItem:5F7T-S7N1-JJ1H-X31K-00000-00&amp;context=" TargetMode="External" /><Relationship Id="rId877" Type="http://schemas.openxmlformats.org/officeDocument/2006/relationships/hyperlink" Target="https://advance.lexis.com/api/document?collection=cases-ca&amp;id=urn:contentItem:5F7T-S7P1-JG02-S46D-00000-00&amp;context=" TargetMode="External" /><Relationship Id="rId878" Type="http://schemas.openxmlformats.org/officeDocument/2006/relationships/hyperlink" Target="https://advance.lexis.com/api/document?collection=cases-ca&amp;id=urn:contentItem:5F7T-S7P1-JSJC-X1F1-00000-00&amp;context=" TargetMode="External" /><Relationship Id="rId879" Type="http://schemas.openxmlformats.org/officeDocument/2006/relationships/hyperlink" Target="https://advance.lexis.com/api/document?collection=cases-ca&amp;id=urn:contentItem:5F7T-S7H1-JFSV-G35Y-00000-00&amp;context=" TargetMode="External" /><Relationship Id="rId88" Type="http://schemas.openxmlformats.org/officeDocument/2006/relationships/hyperlink" Target="https://advance.lexis.com/api/document?collection=cases-ca&amp;id=urn:contentItem:5F8P-SGB1-F873-B2MJ-00000-00&amp;context=" TargetMode="External" /><Relationship Id="rId880" Type="http://schemas.openxmlformats.org/officeDocument/2006/relationships/header" Target="header130.xml" /><Relationship Id="rId881" Type="http://schemas.openxmlformats.org/officeDocument/2006/relationships/header" Target="header131.xml" /><Relationship Id="rId882" Type="http://schemas.openxmlformats.org/officeDocument/2006/relationships/footer" Target="footer130.xml" /><Relationship Id="rId883" Type="http://schemas.openxmlformats.org/officeDocument/2006/relationships/footer" Target="footer131.xml" /><Relationship Id="rId884" Type="http://schemas.openxmlformats.org/officeDocument/2006/relationships/header" Target="header132.xml" /><Relationship Id="rId885" Type="http://schemas.openxmlformats.org/officeDocument/2006/relationships/footer" Target="footer132.xml" /><Relationship Id="rId886" Type="http://schemas.openxmlformats.org/officeDocument/2006/relationships/hyperlink" Target="https://advance.lexis.com/api/document?collection=cases-ca&amp;id=urn:contentItem:5XV8-1431-F2TK-20JB-00000-00&amp;context=" TargetMode="External" /><Relationship Id="rId887" Type="http://schemas.openxmlformats.org/officeDocument/2006/relationships/hyperlink" Target="https://advance.lexis.com/api/document?collection=cases-ca&amp;id=urn:contentItem:5F8P-SF61-JPP5-21HC-00000-00&amp;context=" TargetMode="External" /><Relationship Id="rId888" Type="http://schemas.openxmlformats.org/officeDocument/2006/relationships/hyperlink" Target="https://advance.lexis.com/api/document?collection=cases-ca&amp;id=urn:contentItem:5F81-VJX1-JP9P-G4MS-00000-00&amp;context=" TargetMode="External" /><Relationship Id="rId889" Type="http://schemas.openxmlformats.org/officeDocument/2006/relationships/hyperlink" Target="https://advance.lexis.com/api/document?collection=cases-ca&amp;id=urn:contentItem:5VVK-8581-F016-S373-00000-00&amp;context=" TargetMode="External" /><Relationship Id="rId89" Type="http://schemas.openxmlformats.org/officeDocument/2006/relationships/hyperlink" Target="https://advance.lexis.com/api/document?collection=cases-ca&amp;id=urn:contentItem:5F7T-S751-JP4G-614D-00000-00&amp;context=" TargetMode="External" /><Relationship Id="rId890" Type="http://schemas.openxmlformats.org/officeDocument/2006/relationships/hyperlink" Target="https://advance.lexis.com/api/document?collection=cases-ca&amp;id=urn:contentItem:5F7T-S7C1-FGRY-B03P-00000-00&amp;context=" TargetMode="External" /><Relationship Id="rId891" Type="http://schemas.openxmlformats.org/officeDocument/2006/relationships/hyperlink" Target="https://advance.lexis.com/api/document?collection=cases-ca&amp;id=urn:contentItem:5F7T-S751-FJDY-X3YD-00000-00&amp;context=" TargetMode="External" /><Relationship Id="rId892" Type="http://schemas.openxmlformats.org/officeDocument/2006/relationships/hyperlink" Target="https://advance.lexis.com/api/document?collection=cases-ca&amp;id=urn:contentItem:5J0C-MF51-JSXV-G2N2-00000-00&amp;context=" TargetMode="External" /><Relationship Id="rId893" Type="http://schemas.openxmlformats.org/officeDocument/2006/relationships/hyperlink" Target="https://advance.lexis.com/api/document?collection=cases-ca&amp;id=urn:contentItem:5F7T-S7G1-JPP5-2210-00000-00&amp;context=" TargetMode="External" /><Relationship Id="rId894" Type="http://schemas.openxmlformats.org/officeDocument/2006/relationships/hyperlink" Target="https://advance.lexis.com/api/document?collection=cases-ca&amp;id=urn:contentItem:5WX1-B7V1-JWR6-S3M9-00000-00&amp;context=" TargetMode="External" /><Relationship Id="rId895" Type="http://schemas.openxmlformats.org/officeDocument/2006/relationships/hyperlink" Target="https://advance.lexis.com/api/document?collection=cases-ca&amp;id=urn:contentItem:5WK2-N5H1-JWXF-200D-00000-00&amp;context=" TargetMode="External" /><Relationship Id="rId896" Type="http://schemas.openxmlformats.org/officeDocument/2006/relationships/hyperlink" Target="https://advance.lexis.com/api/document?collection=cases-ca&amp;id=urn:contentItem:5WCH-7DY1-DYFH-X1D3-00000-00&amp;context=" TargetMode="External" /><Relationship Id="rId897" Type="http://schemas.openxmlformats.org/officeDocument/2006/relationships/hyperlink" Target="https://advance.lexis.com/api/document?collection=cases-ca&amp;id=urn:contentItem:5KVM-43P1-JT42-S0X1-00000-00&amp;context=" TargetMode="External" /><Relationship Id="rId898" Type="http://schemas.openxmlformats.org/officeDocument/2006/relationships/hyperlink" Target="https://advance.lexis.com/api/document?collection=cases-ca&amp;id=urn:contentItem:5PMG-2XG1-DY89-M06R-00000-00&amp;context=" TargetMode="External" /><Relationship Id="rId899" Type="http://schemas.openxmlformats.org/officeDocument/2006/relationships/hyperlink" Target="https://advance.lexis.com/api/document?collection=cases-ca&amp;id=urn:contentItem:5JG1-HSD1-F5T5-M0SS-00000-00&amp;context=" TargetMode="External" /><Relationship Id="rId9" Type="http://schemas.openxmlformats.org/officeDocument/2006/relationships/footer" Target="footer3.xml" /><Relationship Id="rId90" Type="http://schemas.openxmlformats.org/officeDocument/2006/relationships/hyperlink" Target="https://advance.lexis.com/api/document?collection=cases-ca&amp;id=urn:contentItem:5F7T-S741-F57G-S226-00000-00&amp;context=" TargetMode="External" /><Relationship Id="rId900" Type="http://schemas.openxmlformats.org/officeDocument/2006/relationships/hyperlink" Target="https://advance.lexis.com/api/document?collection=cases-ca&amp;id=urn:contentItem:5F7V-3DH1-FFMK-M2NV-00000-00&amp;context=" TargetMode="External" /><Relationship Id="rId901" Type="http://schemas.openxmlformats.org/officeDocument/2006/relationships/hyperlink" Target="https://advance.lexis.com/api/document?collection=cases-ca&amp;id=urn:contentItem:5PB4-HVX1-F57G-S322-00000-00&amp;context=" TargetMode="External" /><Relationship Id="rId902" Type="http://schemas.openxmlformats.org/officeDocument/2006/relationships/hyperlink" Target="https://advance.lexis.com/api/document?collection=cases-ca&amp;id=urn:contentItem:5F7T-S7K1-JKHB-62J8-00000-00&amp;context=" TargetMode="External" /><Relationship Id="rId903" Type="http://schemas.openxmlformats.org/officeDocument/2006/relationships/hyperlink" Target="https://advance.lexis.com/api/document?collection=cases-ca&amp;id=urn:contentItem:5JDH-TJC1-F30T-B0DY-00000-00&amp;context=" TargetMode="External" /><Relationship Id="rId904" Type="http://schemas.openxmlformats.org/officeDocument/2006/relationships/hyperlink" Target="https://advance.lexis.com/api/document?collection=cases-ca&amp;id=urn:contentItem:5NYG-2N01-F2F4-G4KG-00000-00&amp;context=" TargetMode="External" /><Relationship Id="rId905" Type="http://schemas.openxmlformats.org/officeDocument/2006/relationships/hyperlink" Target="https://advance.lexis.com/api/document?collection=cases-ca&amp;id=urn:contentItem:5W2J-D5R1-JWJ0-G12N-00000-00&amp;context=" TargetMode="External" /><Relationship Id="rId906" Type="http://schemas.openxmlformats.org/officeDocument/2006/relationships/hyperlink" Target="https://advance.lexis.com/api/document?collection=cases-ca&amp;id=urn:contentItem:5GN8-FRT1-FC6N-X1Y8-00000-00&amp;context=" TargetMode="External" /><Relationship Id="rId907" Type="http://schemas.openxmlformats.org/officeDocument/2006/relationships/hyperlink" Target="https://advance.lexis.com/api/document?collection=cases-ca&amp;id=urn:contentItem:5M13-K1S1-JKHB-644X-00000-00&amp;context=" TargetMode="External" /><Relationship Id="rId908" Type="http://schemas.openxmlformats.org/officeDocument/2006/relationships/hyperlink" Target="https://advance.lexis.com/api/document?collection=cases-ca&amp;id=urn:contentItem:5SJD-51G1-F016-S1Y7-00000-00&amp;context=" TargetMode="External" /><Relationship Id="rId909" Type="http://schemas.openxmlformats.org/officeDocument/2006/relationships/hyperlink" Target="https://advance.lexis.com/api/document?collection=cases-ca&amp;id=urn:contentItem:5H60-GJS1-FD4T-B15X-00000-00&amp;context=" TargetMode="External" /><Relationship Id="rId91" Type="http://schemas.openxmlformats.org/officeDocument/2006/relationships/hyperlink" Target="https://advance.lexis.com/api/document?collection=cases-ca&amp;id=urn:contentItem:5F7T-S6Y1-JPP5-21DW-00000-00&amp;context=" TargetMode="External" /><Relationship Id="rId910" Type="http://schemas.openxmlformats.org/officeDocument/2006/relationships/hyperlink" Target="https://advance.lexis.com/api/document?collection=cases-ca&amp;id=urn:contentItem:5F7T-S7D1-DY89-M3VJ-00000-00&amp;context=" TargetMode="External" /><Relationship Id="rId911" Type="http://schemas.openxmlformats.org/officeDocument/2006/relationships/hyperlink" Target="https://advance.lexis.com/api/document?collection=cases-ca&amp;id=urn:contentItem:5XKD-SYJ1-FFTT-X1DB-00000-00&amp;context=" TargetMode="External" /><Relationship Id="rId912" Type="http://schemas.openxmlformats.org/officeDocument/2006/relationships/hyperlink" Target="https://advance.lexis.com/api/document?collection=cases-ca&amp;id=urn:contentItem:5J3K-3591-F956-S3CM-00000-00&amp;context=" TargetMode="External" /><Relationship Id="rId913" Type="http://schemas.openxmlformats.org/officeDocument/2006/relationships/hyperlink" Target="https://advance.lexis.com/api/document?collection=cases-ca&amp;id=urn:contentItem:5HR4-FPP1-JG02-S2B3-00000-00&amp;context=" TargetMode="External" /><Relationship Id="rId914" Type="http://schemas.openxmlformats.org/officeDocument/2006/relationships/hyperlink" Target="https://advance.lexis.com/api/document?collection=cases-ca&amp;id=urn:contentItem:5F7T-S7M1-F4W2-62B8-00000-00&amp;context=" TargetMode="External" /><Relationship Id="rId915" Type="http://schemas.openxmlformats.org/officeDocument/2006/relationships/hyperlink" Target="https://advance.lexis.com/api/document?collection=cases-ca&amp;id=urn:contentItem:5RTY-1871-JCBX-S0TB-00000-00&amp;context=" TargetMode="External" /><Relationship Id="rId916" Type="http://schemas.openxmlformats.org/officeDocument/2006/relationships/hyperlink" Target="https://advance.lexis.com/api/document?collection=cases-ca&amp;id=urn:contentItem:5VK4-J891-FGJR-2411-00000-00&amp;context=" TargetMode="External" /><Relationship Id="rId917" Type="http://schemas.openxmlformats.org/officeDocument/2006/relationships/hyperlink" Target="https://advance.lexis.com/api/document?collection=cases-ca&amp;id=urn:contentItem:5XFK-7HB1-JBM1-M11R-00000-00&amp;context=" TargetMode="External" /><Relationship Id="rId918" Type="http://schemas.openxmlformats.org/officeDocument/2006/relationships/header" Target="header133.xml" /><Relationship Id="rId919" Type="http://schemas.openxmlformats.org/officeDocument/2006/relationships/header" Target="header134.xml" /><Relationship Id="rId92" Type="http://schemas.openxmlformats.org/officeDocument/2006/relationships/hyperlink" Target="https://advance.lexis.com/api/document?collection=cases-ca&amp;id=urn:contentItem:5F7T-S6X1-K0BB-S05F-00000-00&amp;context=" TargetMode="External" /><Relationship Id="rId920" Type="http://schemas.openxmlformats.org/officeDocument/2006/relationships/footer" Target="footer133.xml" /><Relationship Id="rId921" Type="http://schemas.openxmlformats.org/officeDocument/2006/relationships/footer" Target="footer134.xml" /><Relationship Id="rId922" Type="http://schemas.openxmlformats.org/officeDocument/2006/relationships/header" Target="header135.xml" /><Relationship Id="rId923" Type="http://schemas.openxmlformats.org/officeDocument/2006/relationships/footer" Target="footer135.xml" /><Relationship Id="rId924" Type="http://schemas.openxmlformats.org/officeDocument/2006/relationships/hyperlink" Target="https://advance.lexis.com/api/document?collection=cases-ca&amp;id=urn:contentItem:5GCC-XVB1-FK0M-S552-00000-00&amp;context=" TargetMode="External" /><Relationship Id="rId925" Type="http://schemas.openxmlformats.org/officeDocument/2006/relationships/hyperlink" Target="https://advance.lexis.com/api/document?collection=cases-ca&amp;id=urn:contentItem:5F7T-S7N1-DXWW-20G7-00000-00&amp;context=" TargetMode="External" /><Relationship Id="rId926" Type="http://schemas.openxmlformats.org/officeDocument/2006/relationships/hyperlink" Target="https://advance.lexis.com/api/document?collection=cases-ca&amp;id=urn:contentItem:5F7T-S751-JCJ5-24PY-00000-00&amp;context=" TargetMode="External" /><Relationship Id="rId927" Type="http://schemas.openxmlformats.org/officeDocument/2006/relationships/hyperlink" Target="https://advance.lexis.com/api/document?collection=cases-ca&amp;id=urn:contentItem:5F7T-S711-F4W2-61JR-00000-00&amp;context=" TargetMode="External" /><Relationship Id="rId928" Type="http://schemas.openxmlformats.org/officeDocument/2006/relationships/hyperlink" Target="https://advance.lexis.com/api/document?collection=cases-ca&amp;id=urn:contentItem:5F7T-S7M1-DYMS-627Y-00000-00&amp;context=" TargetMode="External" /><Relationship Id="rId929" Type="http://schemas.openxmlformats.org/officeDocument/2006/relationships/hyperlink" Target="https://advance.lexis.com/api/document?collection=cases-ca&amp;id=urn:contentItem:5F7T-S7K1-F1H1-22F8-00000-00&amp;context=" TargetMode="External" /><Relationship Id="rId93" Type="http://schemas.openxmlformats.org/officeDocument/2006/relationships/hyperlink" Target="https://advance.lexis.com/api/document?collection=cases-ca&amp;id=urn:contentItem:5F7T-S6V1-JFKM-60TN-00000-00&amp;context=" TargetMode="External" /><Relationship Id="rId930" Type="http://schemas.openxmlformats.org/officeDocument/2006/relationships/hyperlink" Target="https://advance.lexis.com/api/document?collection=cases-ca&amp;id=urn:contentItem:5F7T-S771-F2TK-2323-00000-00&amp;context=" TargetMode="External" /><Relationship Id="rId931" Type="http://schemas.openxmlformats.org/officeDocument/2006/relationships/hyperlink" Target="https://advance.lexis.com/api/document?collection=cases-ca&amp;id=urn:contentItem:5F7T-S751-JNS1-M1V2-00000-00&amp;context=" TargetMode="External" /><Relationship Id="rId932" Type="http://schemas.openxmlformats.org/officeDocument/2006/relationships/header" Target="header136.xml" /><Relationship Id="rId933" Type="http://schemas.openxmlformats.org/officeDocument/2006/relationships/header" Target="header137.xml" /><Relationship Id="rId934" Type="http://schemas.openxmlformats.org/officeDocument/2006/relationships/footer" Target="footer136.xml" /><Relationship Id="rId935" Type="http://schemas.openxmlformats.org/officeDocument/2006/relationships/footer" Target="footer137.xml" /><Relationship Id="rId936" Type="http://schemas.openxmlformats.org/officeDocument/2006/relationships/header" Target="header138.xml" /><Relationship Id="rId937" Type="http://schemas.openxmlformats.org/officeDocument/2006/relationships/footer" Target="footer138.xml" /><Relationship Id="rId938" Type="http://schemas.openxmlformats.org/officeDocument/2006/relationships/hyperlink" Target="https://advance.lexis.com/api/document?collection=cases-ca&amp;id=urn:contentItem:5X7M-2361-JGBH-B2N1-00000-00&amp;context=" TargetMode="External" /><Relationship Id="rId939" Type="http://schemas.openxmlformats.org/officeDocument/2006/relationships/hyperlink" Target="https://advance.lexis.com/api/document?collection=cases-ca&amp;id=urn:contentItem:5F7T-S7M1-JCRC-B1SH-00000-00&amp;context=" TargetMode="External" /><Relationship Id="rId94" Type="http://schemas.openxmlformats.org/officeDocument/2006/relationships/hyperlink" Target="https://advance.lexis.com/api/document?collection=cases-ca&amp;id=urn:contentItem:5F8T-N3V1-JF75-M3GM-00000-00&amp;context=" TargetMode="External" /><Relationship Id="rId940" Type="http://schemas.openxmlformats.org/officeDocument/2006/relationships/hyperlink" Target="https://advance.lexis.com/api/document?collection=cases-ca&amp;id=urn:contentItem:5F7T-S7M1-JPP5-22SC-00000-00&amp;context=" TargetMode="External" /><Relationship Id="rId941" Type="http://schemas.openxmlformats.org/officeDocument/2006/relationships/hyperlink" Target="https://advance.lexis.com/api/document?collection=cases-ca&amp;id=urn:contentItem:5F7T-S7J1-FGCG-S05X-00000-00&amp;context=" TargetMode="External" /><Relationship Id="rId942" Type="http://schemas.openxmlformats.org/officeDocument/2006/relationships/hyperlink" Target="https://advance.lexis.com/api/document?collection=cases-ca&amp;id=urn:contentItem:5F7T-S771-JSJC-X02H-00000-00&amp;context=" TargetMode="External" /><Relationship Id="rId943" Type="http://schemas.openxmlformats.org/officeDocument/2006/relationships/hyperlink" Target="https://advance.lexis.com/api/document?collection=cases-ca&amp;id=urn:contentItem:5F8P-SDK1-JFSV-G3M2-00000-00&amp;context=" TargetMode="External" /><Relationship Id="rId944" Type="http://schemas.openxmlformats.org/officeDocument/2006/relationships/hyperlink" Target="https://advance.lexis.com/api/document?collection=cases-ca&amp;id=urn:contentItem:5F8T-N3V1-JFKM-607N-00000-00&amp;context=" TargetMode="External" /><Relationship Id="rId945" Type="http://schemas.openxmlformats.org/officeDocument/2006/relationships/header" Target="header139.xml" /><Relationship Id="rId946" Type="http://schemas.openxmlformats.org/officeDocument/2006/relationships/header" Target="header140.xml" /><Relationship Id="rId947" Type="http://schemas.openxmlformats.org/officeDocument/2006/relationships/footer" Target="footer139.xml" /><Relationship Id="rId948" Type="http://schemas.openxmlformats.org/officeDocument/2006/relationships/footer" Target="footer140.xml" /><Relationship Id="rId949" Type="http://schemas.openxmlformats.org/officeDocument/2006/relationships/header" Target="header141.xml" /><Relationship Id="rId95" Type="http://schemas.openxmlformats.org/officeDocument/2006/relationships/hyperlink" Target="https://advance.lexis.com/api/document?collection=cases-ca&amp;id=urn:contentItem:5F7V-3DD1-FG68-G228-00000-00&amp;context=" TargetMode="External" /><Relationship Id="rId950" Type="http://schemas.openxmlformats.org/officeDocument/2006/relationships/footer" Target="footer141.xml" /><Relationship Id="rId951" Type="http://schemas.openxmlformats.org/officeDocument/2006/relationships/hyperlink" Target="https://advance.lexis.com/api/document?collection=cases-ca&amp;id=urn:contentItem:5F7T-S7F1-F7VM-S42X-00000-00&amp;context=" TargetMode="External" /><Relationship Id="rId952" Type="http://schemas.openxmlformats.org/officeDocument/2006/relationships/hyperlink" Target="https://advance.lexis.com/api/document?collection=cases-ca&amp;id=urn:contentItem:5F7T-S6X1-FJDY-X10J-00000-00&amp;context=" TargetMode="External" /><Relationship Id="rId953" Type="http://schemas.openxmlformats.org/officeDocument/2006/relationships/hyperlink" Target="https://advance.lexis.com/api/document?collection=cases-ca&amp;id=urn:contentItem:5F7T-S7F1-DXWW-23NB-00000-00&amp;context=" TargetMode="External" /><Relationship Id="rId954" Type="http://schemas.openxmlformats.org/officeDocument/2006/relationships/hyperlink" Target="https://advance.lexis.com/api/document?collection=cases-ca&amp;id=urn:contentItem:5F7T-S771-F2TK-22SF-00000-00&amp;context=" TargetMode="External" /><Relationship Id="rId955" Type="http://schemas.openxmlformats.org/officeDocument/2006/relationships/header" Target="header142.xml" /><Relationship Id="rId956" Type="http://schemas.openxmlformats.org/officeDocument/2006/relationships/header" Target="header143.xml" /><Relationship Id="rId957" Type="http://schemas.openxmlformats.org/officeDocument/2006/relationships/footer" Target="footer142.xml" /><Relationship Id="rId958" Type="http://schemas.openxmlformats.org/officeDocument/2006/relationships/footer" Target="footer143.xml" /><Relationship Id="rId959" Type="http://schemas.openxmlformats.org/officeDocument/2006/relationships/header" Target="header144.xml" /><Relationship Id="rId96" Type="http://schemas.openxmlformats.org/officeDocument/2006/relationships/hyperlink" Target="https://advance.lexis.com/api/document?collection=cases-ca&amp;id=urn:contentItem:5F81-VJX1-F5KY-B4F7-00000-00&amp;context=" TargetMode="External" /><Relationship Id="rId960" Type="http://schemas.openxmlformats.org/officeDocument/2006/relationships/footer" Target="footer144.xml" /><Relationship Id="rId961" Type="http://schemas.openxmlformats.org/officeDocument/2006/relationships/hyperlink" Target="https://advance.lexis.com/api/document?collection=cases-ca&amp;id=urn:contentItem:5F7T-S7B1-FH4C-X3R9-00000-00&amp;context=" TargetMode="External" /><Relationship Id="rId962" Type="http://schemas.openxmlformats.org/officeDocument/2006/relationships/hyperlink" Target="https://advance.lexis.com/api/document?collection=cases-ca&amp;id=urn:contentItem:5F8T-N3R1-JNS1-M12J-00000-00&amp;context=" TargetMode="External" /><Relationship Id="rId963" Type="http://schemas.openxmlformats.org/officeDocument/2006/relationships/hyperlink" Target="https://advance.lexis.com/api/document?collection=cases-ca&amp;id=urn:contentItem:5F8T-N3S1-JBDT-B008-00000-00&amp;context=" TargetMode="External" /><Relationship Id="rId964" Type="http://schemas.openxmlformats.org/officeDocument/2006/relationships/hyperlink" Target="https://advance.lexis.com/api/document?collection=cases-ca&amp;id=urn:contentItem:5F7T-S751-JGHR-M1XM-00000-00&amp;context=" TargetMode="External" /><Relationship Id="rId965" Type="http://schemas.openxmlformats.org/officeDocument/2006/relationships/hyperlink" Target="https://advance.lexis.com/api/document?collection=cases-ca&amp;id=urn:contentItem:5F7T-S751-JGHR-M1YR-00000-00&amp;context=" TargetMode="External" /><Relationship Id="rId966" Type="http://schemas.openxmlformats.org/officeDocument/2006/relationships/hyperlink" Target="https://advance.lexis.com/api/document?collection=cases-ca&amp;id=urn:contentItem:5F7T-S741-F1H1-21N3-00000-00&amp;context=" TargetMode="External" /><Relationship Id="rId967" Type="http://schemas.openxmlformats.org/officeDocument/2006/relationships/hyperlink" Target="https://advance.lexis.com/api/document?collection=cases-ca&amp;id=urn:contentItem:5F7T-S751-JX3N-B0RR-00000-00&amp;context=" TargetMode="External" /><Relationship Id="rId968" Type="http://schemas.openxmlformats.org/officeDocument/2006/relationships/hyperlink" Target="https://advance.lexis.com/api/document?collection=cases-ca&amp;id=urn:contentItem:5F7T-S741-F2F4-G253-00000-00&amp;context=" TargetMode="External" /><Relationship Id="rId969" Type="http://schemas.openxmlformats.org/officeDocument/2006/relationships/header" Target="header145.xml" /><Relationship Id="rId97" Type="http://schemas.openxmlformats.org/officeDocument/2006/relationships/hyperlink" Target="https://advance.lexis.com/api/document?collection=cases-ca&amp;id=urn:contentItem:5F7T-S751-FJDY-X419-00000-00&amp;context=" TargetMode="External" /><Relationship Id="rId970" Type="http://schemas.openxmlformats.org/officeDocument/2006/relationships/header" Target="header146.xml" /><Relationship Id="rId971" Type="http://schemas.openxmlformats.org/officeDocument/2006/relationships/footer" Target="footer145.xml" /><Relationship Id="rId972" Type="http://schemas.openxmlformats.org/officeDocument/2006/relationships/footer" Target="footer146.xml" /><Relationship Id="rId973" Type="http://schemas.openxmlformats.org/officeDocument/2006/relationships/header" Target="header147.xml" /><Relationship Id="rId974" Type="http://schemas.openxmlformats.org/officeDocument/2006/relationships/footer" Target="footer147.xml" /><Relationship Id="rId975" Type="http://schemas.openxmlformats.org/officeDocument/2006/relationships/hyperlink" Target="https://advance.lexis.com/api/document?collection=cases-ca&amp;id=urn:contentItem:5TT5-H7W1-JXG3-X11F-00000-00&amp;context=" TargetMode="External" /><Relationship Id="rId976" Type="http://schemas.openxmlformats.org/officeDocument/2006/relationships/hyperlink" Target="https://advance.lexis.com/api/document?collection=cases-ca&amp;id=urn:contentItem:5G44-J3J1-JT42-S3K8-00000-00&amp;context=" TargetMode="External" /><Relationship Id="rId977" Type="http://schemas.openxmlformats.org/officeDocument/2006/relationships/hyperlink" Target="https://advance.lexis.com/api/document?collection=cases-ca&amp;id=urn:contentItem:5F8T-N3T1-JJSF-2339-00000-00&amp;context=" TargetMode="External" /><Relationship Id="rId978" Type="http://schemas.openxmlformats.org/officeDocument/2006/relationships/hyperlink" Target="https://advance.lexis.com/api/document?collection=cases-ca&amp;id=urn:contentItem:5F8T-N3V1-JF75-M3VR-00000-00&amp;context=" TargetMode="External" /><Relationship Id="rId979" Type="http://schemas.openxmlformats.org/officeDocument/2006/relationships/hyperlink" Target="https://advance.lexis.com/api/document?collection=cases-ca&amp;id=urn:contentItem:5F8T-N3V1-FC1F-M49J-00000-00&amp;context=" TargetMode="External" /><Relationship Id="rId98" Type="http://schemas.openxmlformats.org/officeDocument/2006/relationships/hyperlink" Target="https://advance.lexis.com/api/document?collection=cases-ca&amp;id=urn:contentItem:5F7T-S771-FG68-G103-00000-00&amp;context=" TargetMode="External" /><Relationship Id="rId980" Type="http://schemas.openxmlformats.org/officeDocument/2006/relationships/hyperlink" Target="https://advance.lexis.com/api/document?collection=cases-ca&amp;id=urn:contentItem:5F8T-N3V1-JFKM-609G-00000-00&amp;context=" TargetMode="External" /><Relationship Id="rId981" Type="http://schemas.openxmlformats.org/officeDocument/2006/relationships/hyperlink" Target="https://advance.lexis.com/api/document?collection=cases-ca&amp;id=urn:contentItem:5F7T-S7P1-JBDT-B0XV-00000-00&amp;context=" TargetMode="External" /><Relationship Id="rId982" Type="http://schemas.openxmlformats.org/officeDocument/2006/relationships/hyperlink" Target="https://advance.lexis.com/api/document?collection=cases-ca&amp;id=urn:contentItem:5F7T-S781-DYMS-61NY-00000-00&amp;context=" TargetMode="External" /><Relationship Id="rId983" Type="http://schemas.openxmlformats.org/officeDocument/2006/relationships/hyperlink" Target="https://advance.lexis.com/api/document?collection=cases-ca&amp;id=urn:contentItem:5F7T-S7C1-F30T-B2GP-00000-00&amp;context=" TargetMode="External" /><Relationship Id="rId984" Type="http://schemas.openxmlformats.org/officeDocument/2006/relationships/hyperlink" Target="https://advance.lexis.com/api/document?collection=cases-ca&amp;id=urn:contentItem:5F7V-3DH1-FK0M-S245-00000-00&amp;context=" TargetMode="External" /><Relationship Id="rId985" Type="http://schemas.openxmlformats.org/officeDocument/2006/relationships/hyperlink" Target="https://advance.lexis.com/api/document?collection=cases-ca&amp;id=urn:contentItem:5N2Y-D6D1-JF1Y-B2G0-00000-00&amp;context=" TargetMode="External" /><Relationship Id="rId986" Type="http://schemas.openxmlformats.org/officeDocument/2006/relationships/hyperlink" Target="https://advance.lexis.com/api/document?collection=cases-ca&amp;id=urn:contentItem:5PF4-4KK1-JJ6S-64T2-00000-00&amp;context=" TargetMode="External" /><Relationship Id="rId987" Type="http://schemas.openxmlformats.org/officeDocument/2006/relationships/hyperlink" Target="https://advance.lexis.com/api/document?collection=cases-ca&amp;id=urn:contentItem:5F7T-S751-JP4G-616T-00000-00&amp;context=" TargetMode="External" /><Relationship Id="rId988" Type="http://schemas.openxmlformats.org/officeDocument/2006/relationships/header" Target="header148.xml" /><Relationship Id="rId989" Type="http://schemas.openxmlformats.org/officeDocument/2006/relationships/header" Target="header149.xml" /><Relationship Id="rId99" Type="http://schemas.openxmlformats.org/officeDocument/2006/relationships/hyperlink" Target="https://advance.lexis.com/api/document?collection=cases-ca&amp;id=urn:contentItem:5F81-VJX1-FFTT-X1XP-00000-00&amp;context=" TargetMode="External" /><Relationship Id="rId990" Type="http://schemas.openxmlformats.org/officeDocument/2006/relationships/footer" Target="footer148.xml" /><Relationship Id="rId991" Type="http://schemas.openxmlformats.org/officeDocument/2006/relationships/footer" Target="footer149.xml" /><Relationship Id="rId992" Type="http://schemas.openxmlformats.org/officeDocument/2006/relationships/header" Target="header150.xml" /><Relationship Id="rId993" Type="http://schemas.openxmlformats.org/officeDocument/2006/relationships/footer" Target="footer150.xml" /><Relationship Id="rId994" Type="http://schemas.openxmlformats.org/officeDocument/2006/relationships/hyperlink" Target="https://advance.lexis.com/api/document?collection=cases-ca&amp;id=urn:contentItem:5TX5-0TT1-JTGH-B0JR-00000-00&amp;context=" TargetMode="External" /><Relationship Id="rId995" Type="http://schemas.openxmlformats.org/officeDocument/2006/relationships/hyperlink" Target="https://advance.lexis.com/api/document?collection=cases-ca&amp;id=urn:contentItem:5F7T-S7H1-K054-G2J0-00000-00&amp;context=" TargetMode="External" /><Relationship Id="rId996" Type="http://schemas.openxmlformats.org/officeDocument/2006/relationships/hyperlink" Target="https://advance.lexis.com/api/document?collection=cases-ca&amp;id=urn:contentItem:5PTJ-X351-FD4T-B2T0-00000-00&amp;context=" TargetMode="External" /><Relationship Id="rId997" Type="http://schemas.openxmlformats.org/officeDocument/2006/relationships/hyperlink" Target="https://advance.lexis.com/api/document?collection=cases-ca&amp;id=urn:contentItem:5F7T-S7N1-F57G-S2D8-00000-00&amp;context=" TargetMode="External" /><Relationship Id="rId998" Type="http://schemas.openxmlformats.org/officeDocument/2006/relationships/hyperlink" Target="https://advance.lexis.com/api/document?collection=cases-ca&amp;id=urn:contentItem:5K7J-N351-F2TK-20FB-00000-00&amp;context=" TargetMode="External" /><Relationship Id="rId999" Type="http://schemas.openxmlformats.org/officeDocument/2006/relationships/hyperlink" Target="https://advance.lexis.com/api/document?collection=cases-ca&amp;id=urn:contentItem:5P57-9BJ1-FCSB-S43Y-00000-00&amp;context=" TargetMode="Externa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Sarkari v. Carew, [2018] B.C.J. No. 6787</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115052927</vt:lpwstr>
  </property>
  <property fmtid="{D5CDD505-2E9C-101B-9397-08002B2CF9AE}" pid="3" name="LADocCount">
    <vt:i4>50</vt:i4>
  </property>
  <property fmtid="{D5CDD505-2E9C-101B-9397-08002B2CF9AE}" pid="4" name="Language">
    <vt:lpwstr>en-CA</vt:lpwstr>
  </property>
  <property fmtid="{D5CDD505-2E9C-101B-9397-08002B2CF9AE}" pid="5" name="UserPermID">
    <vt:lpwstr>urn:user:PA187417739</vt:lpwstr>
  </property>
</Properties>
</file>